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tbl>
      <w:tblPr>
        <w:tblW w:w="9191" w:type="dxa"/>
        <w:jc w:val="center"/>
        <w:tblInd w:w="0" w:type="dxa"/>
        <w:tblLayout w:type="fixed"/>
        <w:tblCellMar>
          <w:top w:w="28" w:type="dxa"/>
          <w:left w:w="28" w:type="dxa"/>
          <w:bottom w:w="28" w:type="dxa"/>
          <w:right w:w="28" w:type="dxa"/>
        </w:tblCellMar>
      </w:tblPr>
      <w:tblGrid>
        <w:gridCol w:w="124"/>
        <w:gridCol w:w="109"/>
        <w:gridCol w:w="109"/>
        <w:gridCol w:w="2587"/>
        <w:gridCol w:w="2587"/>
        <w:gridCol w:w="3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January 31, 2026</w:t>
      </w:r>
    </w:p>
    <w:tbl>
      <w:tblPr>
        <w:tblW w:w="9222" w:type="dxa"/>
        <w:jc w:val="center"/>
        <w:tblInd w:w="0" w:type="dxa"/>
        <w:tblLayout w:type="fixed"/>
        <w:tblCellMar>
          <w:top w:w="28" w:type="dxa"/>
          <w:left w:w="28" w:type="dxa"/>
          <w:bottom w:w="28" w:type="dxa"/>
          <w:right w:w="28" w:type="dxa"/>
        </w:tblCellMar>
      </w:tblPr>
      <w:tblGrid>
        <w:gridCol w:w="124"/>
        <w:gridCol w:w="109"/>
        <w:gridCol w:w="109"/>
        <w:gridCol w:w="2601"/>
        <w:gridCol w:w="2601"/>
        <w:gridCol w:w="36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1-8597 </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The Cooper Companies,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94-2657368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pPr>
      <w:r>
        <w:rPr>
          <w:rFonts w:ascii="Times New Roman;serif" w:hAnsi="Times New Roman;serif"/>
          <w:b/>
          <w:color w:val="000000"/>
          <w:sz w:val="19"/>
        </w:rPr>
        <w:t>6</w:t>
      </w:r>
      <w:r>
        <w:rPr>
          <w:rFonts w:ascii="Times New Roman;serif" w:hAnsi="Times New Roman;serif"/>
          <w:b/>
          <w:color w:val="000000"/>
          <w:sz w:val="20"/>
        </w:rPr>
        <w:t>101 Bollinger Canyon Road, Suite 500,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San Ramon, California 94583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(925) 460-3600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On March 2, 2026, 195,114,398 shares of Common Stock, $0.10 par value,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INDEX</w:t>
      </w:r>
    </w:p>
    <w:p>
      <w:pPr>
        <w:pStyle w:val="TextBody"/>
        <w:bidi w:val="0"/>
        <w:spacing w:lineRule="auto" w:line="288" w:before="0" w:after="0"/>
        <w:jc w:val="left"/>
        <w:rPr>
          <w:color w:val="000000"/>
        </w:rPr>
      </w:pPr>
      <w:r>
        <w:rPr>
          <w:color w:val="000000"/>
        </w:rPr>
        <w:t> </w:t>
      </w:r>
    </w:p>
    <w:tbl>
      <w:tblPr>
        <w:tblW w:w="9062" w:type="dxa"/>
        <w:jc w:val="left"/>
        <w:tblInd w:w="0" w:type="dxa"/>
        <w:tblLayout w:type="fixed"/>
        <w:tblCellMar>
          <w:top w:w="28" w:type="dxa"/>
          <w:left w:w="28" w:type="dxa"/>
          <w:bottom w:w="28" w:type="dxa"/>
          <w:right w:w="28" w:type="dxa"/>
        </w:tblCellMar>
      </w:tblPr>
      <w:tblGrid>
        <w:gridCol w:w="298"/>
        <w:gridCol w:w="263"/>
        <w:gridCol w:w="265"/>
        <w:gridCol w:w="2453"/>
        <w:gridCol w:w="2453"/>
        <w:gridCol w:w="2459"/>
        <w:gridCol w:w="255"/>
        <w:gridCol w:w="255"/>
        <w:gridCol w:w="361"/>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Page No.</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3">
              <w:r>
                <w:rPr>
                  <w:rStyle w:val="InternetLink"/>
                  <w:rFonts w:ascii="Times New Roman;serif" w:hAnsi="Times New Roman;serif"/>
                  <w:b w:val="false"/>
                  <w:color w:val="0000FF"/>
                  <w:sz w:val="19"/>
                  <w:u w:val="single"/>
                </w:rPr>
                <w:t>FINANCIAL INFORMATION</w:t>
              </w:r>
            </w:hyperlink>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6">
              <w:r>
                <w:rPr>
                  <w:rStyle w:val="InternetLink"/>
                  <w:rFonts w:ascii="Times New Roman;serif" w:hAnsi="Times New Roman;serif"/>
                  <w:b w:val="false"/>
                  <w:color w:val="0000FF"/>
                  <w:sz w:val="19"/>
                  <w:u w:val="single"/>
                </w:rPr>
                <w:t>Unaudited Financial Statements</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9">
              <w:r>
                <w:rPr>
                  <w:rStyle w:val="InternetLink"/>
                  <w:rFonts w:ascii="Times New Roman;serif" w:hAnsi="Times New Roman;serif"/>
                  <w:b w:val="false"/>
                  <w:color w:val="0000FF"/>
                  <w:sz w:val="19"/>
                  <w:u w:val="single"/>
                </w:rPr>
                <w:t>Consolidated Condensed Statements of Income and Comprehensive Income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19">
              <w:r>
                <w:rPr>
                  <w:rStyle w:val="InternetLink"/>
                  <w:rFonts w:ascii="Times New Roman;serif" w:hAnsi="Times New Roman;serif"/>
                  <w:b w:val="false"/>
                  <w:color w:val="0000FF"/>
                  <w:sz w:val="19"/>
                  <w:u w:val="single"/>
                </w:rPr>
                <w:t>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22">
              <w:r>
                <w:rPr>
                  <w:rStyle w:val="InternetLink"/>
                  <w:rFonts w:ascii="Times New Roman;serif" w:hAnsi="Times New Roman;serif"/>
                  <w:b w:val="false"/>
                  <w:color w:val="0000FF"/>
                  <w:sz w:val="19"/>
                  <w:u w:val="single"/>
                </w:rPr>
                <w:t>Consolidated Condensed Balance Sheets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22">
              <w:r>
                <w:rPr>
                  <w:rStyle w:val="InternetLink"/>
                  <w:rFonts w:ascii="Times New Roman;serif" w:hAnsi="Times New Roman;serif"/>
                  <w:b w:val="false"/>
                  <w:color w:val="0000FF"/>
                  <w:sz w:val="19"/>
                  <w:u w:val="singl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25">
              <w:r>
                <w:rPr>
                  <w:rStyle w:val="InternetLink"/>
                  <w:rFonts w:ascii="Times New Roman;serif" w:hAnsi="Times New Roman;serif"/>
                  <w:b w:val="false"/>
                  <w:color w:val="0000FF"/>
                  <w:sz w:val="19"/>
                  <w:u w:val="single"/>
                </w:rPr>
                <w:t>Consolidated Condensed Statements of Stockholders' Equity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25">
              <w:r>
                <w:rPr>
                  <w:rStyle w:val="InternetLink"/>
                  <w:rFonts w:ascii="Times New Roman;serif" w:hAnsi="Times New Roman;serif"/>
                  <w:b w:val="false"/>
                  <w:color w:val="0000FF"/>
                  <w:sz w:val="19"/>
                  <w:u w:val="single"/>
                </w:rPr>
                <w:t>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28">
              <w:r>
                <w:rPr>
                  <w:rStyle w:val="InternetLink"/>
                  <w:rFonts w:ascii="Times New Roman;serif" w:hAnsi="Times New Roman;serif"/>
                  <w:b w:val="false"/>
                  <w:color w:val="0000FF"/>
                  <w:sz w:val="19"/>
                  <w:u w:val="single"/>
                </w:rPr>
                <w:t>Consolidated Condensed Statements of Cash Flows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28">
              <w:r>
                <w:rPr>
                  <w:rStyle w:val="InternetLink"/>
                  <w:rFonts w:ascii="Times New Roman;serif" w:hAnsi="Times New Roman;serif"/>
                  <w:b w:val="false"/>
                  <w:color w:val="0000FF"/>
                  <w:sz w:val="19"/>
                  <w:u w:val="single"/>
                </w:rPr>
                <w:t>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34">
              <w:r>
                <w:rPr>
                  <w:rStyle w:val="InternetLink"/>
                  <w:rFonts w:ascii="Times New Roman;serif" w:hAnsi="Times New Roman;serif"/>
                  <w:b w:val="false"/>
                  <w:color w:val="0000FF"/>
                  <w:sz w:val="19"/>
                  <w:u w:val="single"/>
                </w:rPr>
                <w:t>Notes to Consolidated Condensed 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34">
              <w:r>
                <w:rPr>
                  <w:rStyle w:val="InternetLink"/>
                  <w:rFonts w:ascii="Times New Roman;serif" w:hAnsi="Times New Roman;serif"/>
                  <w:b w:val="false"/>
                  <w:color w:val="0000FF"/>
                  <w:sz w:val="19"/>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70">
              <w:r>
                <w:rPr>
                  <w:rStyle w:val="InternetLink"/>
                  <w:rFonts w:ascii="Times New Roman;serif" w:hAnsi="Times New Roman;serif"/>
                  <w:b w:val="false"/>
                  <w:color w:val="0000FF"/>
                  <w:sz w:val="19"/>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70">
              <w:r>
                <w:rPr>
                  <w:rStyle w:val="InternetLink"/>
                  <w:rFonts w:ascii="Times New Roman;serif" w:hAnsi="Times New Roman;serif"/>
                  <w:b w:val="false"/>
                  <w:color w:val="0000FF"/>
                  <w:sz w:val="19"/>
                  <w:u w:val="single"/>
                </w:rPr>
                <w:t>16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85">
              <w:r>
                <w:rPr>
                  <w:rStyle w:val="InternetLink"/>
                  <w:rFonts w:ascii="Times New Roman;serif" w:hAnsi="Times New Roman;serif"/>
                  <w:b w:val="false"/>
                  <w:color w:val="0000FF"/>
                  <w:sz w:val="19"/>
                  <w:u w:val="single"/>
                </w:rPr>
                <w:t>Quantitative and Qualitative Disclosure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85">
              <w:r>
                <w:rPr>
                  <w:rStyle w:val="InternetLink"/>
                  <w:rFonts w:ascii="Times New Roman;serif" w:hAnsi="Times New Roman;serif"/>
                  <w:b w:val="false"/>
                  <w:color w:val="0000FF"/>
                  <w:sz w:val="19"/>
                  <w:u w:val="single"/>
                </w:rPr>
                <w:t>26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88">
              <w:r>
                <w:rPr>
                  <w:rStyle w:val="InternetLink"/>
                  <w:rFonts w:ascii="Times New Roman;serif" w:hAnsi="Times New Roman;serif"/>
                  <w:b w:val="false"/>
                  <w:color w:val="0000FF"/>
                  <w:sz w:val="19"/>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88">
              <w:r>
                <w:rPr>
                  <w:rStyle w:val="InternetLink"/>
                  <w:rFonts w:ascii="Times New Roman;serif" w:hAnsi="Times New Roman;serif"/>
                  <w:b w:val="false"/>
                  <w:color w:val="0000FF"/>
                  <w:sz w:val="19"/>
                  <w:u w:val="single"/>
                </w:rPr>
                <w:t>26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91">
              <w:r>
                <w:rPr>
                  <w:rStyle w:val="InternetLink"/>
                  <w:rFonts w:ascii="Times New Roman;serif" w:hAnsi="Times New Roman;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94">
              <w:r>
                <w:rPr>
                  <w:rStyle w:val="InternetLink"/>
                  <w:rFonts w:ascii="Times New Roman;serif" w:hAnsi="Times New Roman;serif"/>
                  <w:b w:val="false"/>
                  <w:color w:val="0000FF"/>
                  <w:sz w:val="19"/>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94">
              <w:r>
                <w:rPr>
                  <w:rStyle w:val="InternetLink"/>
                  <w:rFonts w:ascii="Times New Roman;serif" w:hAnsi="Times New Roman;serif"/>
                  <w:b w:val="false"/>
                  <w:color w:val="0000FF"/>
                  <w:sz w:val="19"/>
                  <w:u w:val="single"/>
                </w:rPr>
                <w:t>27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97">
              <w:r>
                <w:rPr>
                  <w:rStyle w:val="InternetLink"/>
                  <w:rFonts w:ascii="Times New Roman;serif" w:hAnsi="Times New Roman;serif"/>
                  <w:b w:val="false"/>
                  <w:color w:val="0000FF"/>
                  <w:sz w:val="19"/>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97">
              <w:r>
                <w:rPr>
                  <w:rStyle w:val="InternetLink"/>
                  <w:rFonts w:ascii="Times New Roman;serif" w:hAnsi="Times New Roman;serif"/>
                  <w:b w:val="false"/>
                  <w:color w:val="0000FF"/>
                  <w:sz w:val="19"/>
                  <w:u w:val="single"/>
                </w:rPr>
                <w:t>27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00">
              <w:r>
                <w:rPr>
                  <w:rStyle w:val="InternetLink"/>
                  <w:rFonts w:ascii="Times New Roman;serif" w:hAnsi="Times New Roman;serif"/>
                  <w:b w:val="false"/>
                  <w:color w:val="0000FF"/>
                  <w:sz w:val="19"/>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100">
              <w:r>
                <w:rPr>
                  <w:rStyle w:val="InternetLink"/>
                  <w:rFonts w:ascii="Times New Roman;serif" w:hAnsi="Times New Roman;serif"/>
                  <w:b w:val="false"/>
                  <w:color w:val="0000FF"/>
                  <w:sz w:val="19"/>
                  <w:u w:val="single"/>
                </w:rPr>
                <w:t>27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03">
              <w:r>
                <w:rPr>
                  <w:rStyle w:val="InternetLink"/>
                  <w:rFonts w:ascii="Times New Roman;serif" w:hAnsi="Times New Roman;serif"/>
                  <w:b w:val="false"/>
                  <w:color w:val="0000FF"/>
                  <w:sz w:val="19"/>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103">
              <w:r>
                <w:rPr>
                  <w:rStyle w:val="InternetLink"/>
                  <w:rFonts w:ascii="Times New Roman;serif" w:hAnsi="Times New Roman;serif"/>
                  <w:b w:val="false"/>
                  <w:color w:val="0000FF"/>
                  <w:sz w:val="19"/>
                  <w:u w:val="single"/>
                </w:rPr>
                <w:t>27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06">
              <w:r>
                <w:rPr>
                  <w:rStyle w:val="InternetLink"/>
                  <w:rFonts w:ascii="Times New Roman;serif" w:hAnsi="Times New Roman;serif"/>
                  <w:b w:val="false"/>
                  <w:color w:val="0000FF"/>
                  <w:sz w:val="19"/>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106">
              <w:r>
                <w:rPr>
                  <w:rStyle w:val="InternetLink"/>
                  <w:rFonts w:ascii="Times New Roman;serif" w:hAnsi="Times New Roman;serif"/>
                  <w:b w:val="false"/>
                  <w:color w:val="0000FF"/>
                  <w:sz w:val="19"/>
                  <w:u w:val="single"/>
                </w:rPr>
                <w:t>27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09">
              <w:r>
                <w:rPr>
                  <w:rStyle w:val="InternetLink"/>
                  <w:rFonts w:ascii="Times New Roman;serif" w:hAnsi="Times New Roman;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109">
              <w:r>
                <w:rPr>
                  <w:rStyle w:val="InternetLink"/>
                  <w:rFonts w:ascii="Times New Roman;serif" w:hAnsi="Times New Roman;serif"/>
                  <w:b w:val="false"/>
                  <w:color w:val="0000FF"/>
                  <w:sz w:val="19"/>
                  <w:u w:val="single"/>
                </w:rPr>
                <w:t>27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12">
              <w:r>
                <w:rPr>
                  <w:rStyle w:val="InternetLink"/>
                  <w:rFonts w:ascii="Times New Roman;serif" w:hAnsi="Times New Roman;serif"/>
                  <w:b w:val="false"/>
                  <w:color w:val="0000FF"/>
                  <w:sz w:val="19"/>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112">
              <w:r>
                <w:rPr>
                  <w:rStyle w:val="InternetLink"/>
                  <w:rFonts w:ascii="Times New Roman;serif" w:hAnsi="Times New Roman;serif"/>
                  <w:b w:val="false"/>
                  <w:color w:val="0000FF"/>
                  <w:sz w:val="19"/>
                  <w:u w:val="single"/>
                </w:rPr>
                <w:t>28</w:t>
              </w:r>
            </w:hyperlink>
          </w:p>
        </w:tc>
      </w:tr>
      <w:tr>
        <w:trPr/>
        <w:tc>
          <w:tcPr>
            <w:tcW w:w="81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db8c4890c54b1f9b1d0e3fe75357ed_115">
              <w:r>
                <w:rPr>
                  <w:rStyle w:val="InternetLink"/>
                  <w:rFonts w:ascii="Times New Roman;serif" w:hAnsi="Times New Roman;serif"/>
                  <w:b w:val="false"/>
                  <w:color w:val="0000FF"/>
                  <w:sz w:val="19"/>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b8c4890c54b1f9b1d0e3fe75357ed_115">
              <w:r>
                <w:rPr>
                  <w:rStyle w:val="InternetLink"/>
                  <w:rFonts w:ascii="Times New Roman;serif" w:hAnsi="Times New Roman;serif"/>
                  <w:b w:val="false"/>
                  <w:color w:val="0000FF"/>
                  <w:sz w:val="19"/>
                  <w:u w:val="singl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9065"/>
                <wp:effectExtent l="0" t="0" r="0" b="0"/>
                <wp:wrapNone/>
                <wp:docPr id="2" name="Frame2"/>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Consolidated Condensed Statements of Income and Comprehensive Income</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 xml:space="preserve">Periods Ended January 31, </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(In millions, except per share amounts)</w:t>
      </w:r>
    </w:p>
    <w:p>
      <w:pPr>
        <w:pStyle w:val="TextBody"/>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(Unaudited)</w:t>
      </w:r>
    </w:p>
    <w:tbl>
      <w:tblPr>
        <w:tblW w:w="7284" w:type="dxa"/>
        <w:jc w:val="left"/>
        <w:tblInd w:w="0" w:type="dxa"/>
        <w:tblLayout w:type="fixed"/>
        <w:tblCellMar>
          <w:top w:w="28" w:type="dxa"/>
          <w:left w:w="28" w:type="dxa"/>
          <w:bottom w:w="28" w:type="dxa"/>
          <w:right w:w="28" w:type="dxa"/>
        </w:tblCellMar>
      </w:tblPr>
      <w:tblGrid>
        <w:gridCol w:w="1909"/>
        <w:gridCol w:w="1262"/>
        <w:gridCol w:w="1283"/>
        <w:gridCol w:w="211"/>
        <w:gridCol w:w="766"/>
        <w:gridCol w:w="109"/>
        <w:gridCol w:w="109"/>
        <w:gridCol w:w="109"/>
        <w:gridCol w:w="109"/>
        <w:gridCol w:w="211"/>
        <w:gridCol w:w="616"/>
        <w:gridCol w:w="109"/>
        <w:gridCol w:w="109"/>
        <w:gridCol w:w="109"/>
        <w:gridCol w:w="109"/>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Provision for income taxes (Note 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Earnings per share (Note 6):</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Number of shares used to compute earnings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net of tax:</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 hedges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9065"/>
                <wp:effectExtent l="0" t="0" r="0" b="0"/>
                <wp:wrapNone/>
                <wp:docPr id="3" name="Frame3"/>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Consolidated Condensed Balance Sheets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(In millions, except per share data)</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895"/>
        <w:gridCol w:w="2127"/>
        <w:gridCol w:w="2101"/>
        <w:gridCol w:w="240"/>
        <w:gridCol w:w="995"/>
        <w:gridCol w:w="124"/>
        <w:gridCol w:w="109"/>
        <w:gridCol w:w="109"/>
        <w:gridCol w:w="109"/>
        <w:gridCol w:w="237"/>
        <w:gridCol w:w="981"/>
        <w:gridCol w:w="178"/>
      </w:tblGrid>
      <w:tr>
        <w:trPr/>
        <w:tc>
          <w:tcPr>
            <w:tcW w:w="2895"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Trade accounts receivable, net of allowance for credit losses of $58.7 at January 31, 2026, and $51.9 at October 31, 2025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Inventories (Note 2)</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 and other current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2,116.7 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2,082.0 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intangibles, net (Note 3)</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assets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12,424.2 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debt (Note 4)</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Employee compensation and benefits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Deferred revenue (Note 2)</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debt (Note 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liabilities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tax payable</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Deferred revenue </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4,155.7 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Contingencies and commitments (Note 9)</w:t>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$0.10 par value, 1.0 shares authorized, zero shares issued or outstanding</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$0.10 par value, 480.0 shares authorized, 217.9 issued and 195.1 outstanding at January 31, 2026, and 217.6 issued and 195.9 outstanding at October 31, 2025</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7,643.3 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Treasury stock at cost: 22.8 shares at January 31, 2026, and 21.7 shares at October 31, 2025</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(995.2)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Cooper stockholders’ equity</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8,363.8 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8,238.9 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Stockholders’ equity (Note 8)</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8,364.0 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8,239.1 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12,424.2 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9065"/>
                <wp:effectExtent l="0" t="0" r="0" b="0"/>
                <wp:wrapNone/>
                <wp:docPr id="4" name="Frame4"/>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Consolidated Condensed Statements of Stockholders' Equity</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(In millions, unaudited)</w:t>
      </w:r>
    </w:p>
    <w:tbl>
      <w:tblPr>
        <w:tblW w:w="14886" w:type="dxa"/>
        <w:jc w:val="left"/>
        <w:tblInd w:w="0" w:type="dxa"/>
        <w:tblLayout w:type="fixed"/>
        <w:tblCellMar>
          <w:top w:w="28" w:type="dxa"/>
          <w:left w:w="28" w:type="dxa"/>
          <w:bottom w:w="28" w:type="dxa"/>
          <w:right w:w="28" w:type="dxa"/>
        </w:tblCellMar>
      </w:tblPr>
      <w:tblGrid>
        <w:gridCol w:w="853"/>
        <w:gridCol w:w="248"/>
        <w:gridCol w:w="250"/>
        <w:gridCol w:w="308"/>
        <w:gridCol w:w="308"/>
        <w:gridCol w:w="226"/>
        <w:gridCol w:w="109"/>
        <w:gridCol w:w="109"/>
        <w:gridCol w:w="109"/>
        <w:gridCol w:w="211"/>
        <w:gridCol w:w="511"/>
        <w:gridCol w:w="109"/>
        <w:gridCol w:w="109"/>
        <w:gridCol w:w="109"/>
        <w:gridCol w:w="109"/>
        <w:gridCol w:w="255"/>
        <w:gridCol w:w="256"/>
        <w:gridCol w:w="226"/>
        <w:gridCol w:w="109"/>
        <w:gridCol w:w="109"/>
        <w:gridCol w:w="109"/>
        <w:gridCol w:w="226"/>
        <w:gridCol w:w="436"/>
        <w:gridCol w:w="119"/>
        <w:gridCol w:w="109"/>
        <w:gridCol w:w="109"/>
        <w:gridCol w:w="109"/>
        <w:gridCol w:w="211"/>
        <w:gridCol w:w="766"/>
        <w:gridCol w:w="109"/>
        <w:gridCol w:w="109"/>
        <w:gridCol w:w="109"/>
        <w:gridCol w:w="109"/>
        <w:gridCol w:w="316"/>
        <w:gridCol w:w="946"/>
        <w:gridCol w:w="164"/>
        <w:gridCol w:w="109"/>
        <w:gridCol w:w="109"/>
        <w:gridCol w:w="109"/>
        <w:gridCol w:w="211"/>
        <w:gridCol w:w="766"/>
        <w:gridCol w:w="109"/>
        <w:gridCol w:w="109"/>
        <w:gridCol w:w="109"/>
        <w:gridCol w:w="109"/>
        <w:gridCol w:w="211"/>
        <w:gridCol w:w="781"/>
        <w:gridCol w:w="109"/>
        <w:gridCol w:w="109"/>
        <w:gridCol w:w="109"/>
        <w:gridCol w:w="109"/>
        <w:gridCol w:w="405"/>
        <w:gridCol w:w="780"/>
        <w:gridCol w:w="211"/>
        <w:gridCol w:w="109"/>
        <w:gridCol w:w="109"/>
        <w:gridCol w:w="109"/>
        <w:gridCol w:w="243"/>
        <w:gridCol w:w="884"/>
        <w:gridCol w:w="179"/>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Shares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Additional Paid-In 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w:t>
              <w:br/>
              <w:t>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Retained 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Noncontrolling 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br/>
              <w:t>Stockholders'</w:t>
              <w:br/>
              <w:t>Equity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9"/>
              </w:rPr>
            </w:pPr>
            <w:r>
              <w:rPr>
                <w:rFonts w:ascii="Times New Roman;serif" w:hAnsi="Times New Roman;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October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8,083.6 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January 31,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8,127.5 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at October 31, 2025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Stock repurchase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at January 31, 2026</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(334.0)</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8,364.0 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9065"/>
                <wp:effectExtent l="0" t="0" r="0" b="0"/>
                <wp:wrapNone/>
                <wp:docPr id="5" name="Frame5"/>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Consolidated Condensed Statements of Cash Flows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 xml:space="preserve">Three Months Ended January 31, </w:t>
      </w:r>
    </w:p>
    <w:p>
      <w:pPr>
        <w:pStyle w:val="TextBody"/>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(In millions, unaudited)</w:t>
      </w:r>
    </w:p>
    <w:tbl>
      <w:tblPr>
        <w:tblW w:w="8573" w:type="dxa"/>
        <w:jc w:val="left"/>
        <w:tblInd w:w="0" w:type="dxa"/>
        <w:tblLayout w:type="fixed"/>
        <w:tblCellMar>
          <w:top w:w="28" w:type="dxa"/>
          <w:left w:w="28" w:type="dxa"/>
          <w:bottom w:w="28" w:type="dxa"/>
          <w:right w:w="28" w:type="dxa"/>
        </w:tblCellMar>
      </w:tblPr>
      <w:tblGrid>
        <w:gridCol w:w="2289"/>
        <w:gridCol w:w="2014"/>
        <w:gridCol w:w="2026"/>
        <w:gridCol w:w="211"/>
        <w:gridCol w:w="616"/>
        <w:gridCol w:w="109"/>
        <w:gridCol w:w="109"/>
        <w:gridCol w:w="109"/>
        <w:gridCol w:w="109"/>
        <w:gridCol w:w="211"/>
        <w:gridCol w:w="616"/>
        <w:gridCol w:w="154"/>
      </w:tblGrid>
      <w:tr>
        <w:trPr/>
        <w:tc>
          <w:tcPr>
            <w:tcW w:w="228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Settlement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changes in operating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of businesses and assets, net of cash acquired,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long-term debt, net of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Acquisition installment payment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proceeds from short-term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payments related to share-based compensation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employee stock purchase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Settlement of contingent consideration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 on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Reconciliation of cash flow information: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included in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9065"/>
                <wp:effectExtent l="0" t="0" r="0" b="0"/>
                <wp:wrapNone/>
                <wp:docPr id="6" name="Frame6"/>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0" w:after="0"/>
        <w:jc w:val="left"/>
        <w:rPr>
          <w:rFonts w:ascii="Times New Roman;serif" w:hAnsi="Times New Roman;serif"/>
          <w:b/>
          <w:color w:val="000000"/>
          <w:sz w:val="19"/>
          <w:u w:val="single"/>
        </w:rPr>
      </w:pPr>
      <w:r>
        <w:rPr>
          <w:rFonts w:ascii="Times New Roman;serif" w:hAnsi="Times New Roman;serif"/>
          <w:b/>
          <w:color w:val="000000"/>
          <w:sz w:val="19"/>
          <w:u w:val="single"/>
        </w:rPr>
        <w:t>Note 1. General</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2025. The Consolidated Condensed Financial Statements include all adjustments (consisting only of normal recurring adjustments) and accruals necessary in the judgment of management for a fair presentation of the results for the interim periods presented.</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Accounting Policies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There have been no material changes to our significant accounting policies described in our Annual Report on Form 10-K for the fiscal year ended October 31, 2025.</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Estimates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Accounting Pronouncements Issued But Not Yet Adopted</w:t>
      </w:r>
    </w:p>
    <w:p>
      <w:pPr>
        <w:pStyle w:val="TextBody"/>
        <w:bidi w:val="0"/>
        <w:spacing w:lineRule="auto" w:line="288" w:before="180" w:after="283"/>
        <w:jc w:val="left"/>
        <w:rPr/>
      </w:pPr>
      <w:r>
        <w:rPr>
          <w:rFonts w:ascii="Times New Roman;serif" w:hAnsi="Times New Roman;serif"/>
          <w:b w:val="false"/>
          <w:color w:val="000000"/>
          <w:sz w:val="19"/>
        </w:rPr>
        <w:t xml:space="preserve">In December 2025, the Financial Accounting Standards Board (FASB) issued Accounting Standards Update (ASU) 2025-10, </w:t>
      </w:r>
      <w:r>
        <w:rPr>
          <w:rFonts w:ascii="Times New Roman;serif" w:hAnsi="Times New Roman;serif"/>
          <w:b w:val="false"/>
          <w:i/>
          <w:color w:val="000000"/>
          <w:sz w:val="19"/>
        </w:rPr>
        <w:t xml:space="preserve">Government Grants (Topic 832): Accounting for Government Grants Received by Business Entities, </w:t>
      </w:r>
      <w:r>
        <w:rPr>
          <w:rFonts w:ascii="Times New Roman;serif" w:hAnsi="Times New Roman;serif"/>
          <w:b w:val="false"/>
          <w:color w:val="000000"/>
          <w:sz w:val="19"/>
        </w:rPr>
        <w:t>which establishes authoritative guidance on the accounting for government grants including recognition, measurement, and presentation. This ASU is effective for fiscal years beginning after December 15, 2028, including interim periods within those fiscal years with early adoption permitted. The ASU can be applied on a modified prospective basis, modified retrospective basis, or full retrospective basis. We are currently evaluating the impact that the adoption of this guidance will have on our consolidated financial statements and disclosures.</w:t>
      </w:r>
    </w:p>
    <w:p>
      <w:pPr>
        <w:pStyle w:val="TextBody"/>
        <w:bidi w:val="0"/>
        <w:spacing w:lineRule="auto" w:line="288" w:before="180" w:after="283"/>
        <w:jc w:val="left"/>
        <w:rPr/>
      </w:pPr>
      <w:r>
        <w:rPr>
          <w:rFonts w:ascii="Times New Roman;serif" w:hAnsi="Times New Roman;serif"/>
          <w:b w:val="false"/>
          <w:color w:val="000000"/>
          <w:sz w:val="19"/>
        </w:rPr>
        <w:t xml:space="preserve">In September 2025, the FASB issued ASU 2025-07, </w:t>
      </w:r>
      <w:r>
        <w:rPr>
          <w:rFonts w:ascii="Times New Roman;serif" w:hAnsi="Times New Roman;serif"/>
          <w:b w:val="false"/>
          <w:i/>
          <w:color w:val="000000"/>
          <w:sz w:val="19"/>
        </w:rPr>
        <w:t>Derivatives and Hedging (Topic 815) and Revenue from Contracts with Customers (Topic 606)</w:t>
      </w:r>
      <w:r>
        <w:rPr>
          <w:rFonts w:ascii="Times New Roman;serif" w:hAnsi="Times New Roman;serif"/>
          <w:b w:val="false"/>
          <w:color w:val="000000"/>
          <w:sz w:val="19"/>
        </w:rPr>
        <w:t>, which clarifies the application of derivative accounting to certain contracts. This update introduces a scope exception for contracts that are not exchange-traded and whose underlying is tied to operations or activities specific to one of the parties to the contract. It also clarifies the guidance for share-based noncash consideration from a customer, which is not applicable to us. This ASU is effective for fiscal years beginning after December 15, 2026, and interim periods within those annual reporting periods, with early adoption permitted and the option to apply on a prospective or modified retrospective basis. We do not expect the adoption of this guidance to have a material impact on our consolidated financial statements.</w:t>
      </w:r>
    </w:p>
    <w:p>
      <w:pPr>
        <w:pStyle w:val="TextBody"/>
        <w:bidi w:val="0"/>
        <w:spacing w:lineRule="auto" w:line="288" w:before="180" w:after="283"/>
        <w:jc w:val="left"/>
        <w:rPr/>
      </w:pPr>
      <w:r>
        <w:rPr>
          <w:rFonts w:ascii="Times New Roman;serif" w:hAnsi="Times New Roman;serif"/>
          <w:b w:val="false"/>
          <w:color w:val="000000"/>
          <w:sz w:val="19"/>
        </w:rPr>
        <w:t xml:space="preserve">In September 2025, the FASB issued ASU 2025-06, </w:t>
      </w:r>
      <w:r>
        <w:rPr>
          <w:rFonts w:ascii="Times New Roman;serif" w:hAnsi="Times New Roman;serif"/>
          <w:b w:val="false"/>
          <w:i/>
          <w:color w:val="000000"/>
          <w:sz w:val="19"/>
        </w:rPr>
        <w:t>Intangibles—Goodwill and Other—Internal-Use Software (Subtopic 350-40)</w:t>
      </w:r>
      <w:r>
        <w:rPr>
          <w:rFonts w:ascii="Times New Roman;serif" w:hAnsi="Times New Roman;serif"/>
          <w:b w:val="false"/>
          <w:color w:val="000000"/>
          <w:sz w:val="19"/>
        </w:rPr>
        <w:t>, which removes references to sequential project stages and requires capitalization of software costs to begin when: (1) management has authorized and committed to funding the software project, and (2) it is probable the project will be completed and the software will be used to perform the function intended. This ASU is effective for fiscal years beginning after December 15, 2027, and interim periods within those annual reporting periods, with early adoption permitted as of the beginning of an annual reporting period. The update permits either a prospective, modified prospective, or retrospective adoption approach. We are currently evaluating the impact that the adoption of this guidance will have on our consolidated financial statements and disclosures.</w:t>
      </w:r>
    </w:p>
    <w:p>
      <w:pPr>
        <w:pStyle w:val="TextBody"/>
        <w:bidi w:val="0"/>
        <w:spacing w:lineRule="auto" w:line="288" w:before="180" w:after="283"/>
        <w:jc w:val="left"/>
        <w:rPr/>
      </w:pPr>
      <w:r>
        <w:rPr>
          <w:rFonts w:ascii="Times New Roman;serif" w:hAnsi="Times New Roman;serif"/>
          <w:b w:val="false"/>
          <w:color w:val="000000"/>
          <w:sz w:val="19"/>
        </w:rPr>
        <w:t xml:space="preserve">In July 2025, the FASB issued ASU 2025-05, </w:t>
      </w:r>
      <w:r>
        <w:rPr>
          <w:rFonts w:ascii="Times New Roman;serif" w:hAnsi="Times New Roman;serif"/>
          <w:b w:val="false"/>
          <w:i/>
          <w:color w:val="000000"/>
          <w:sz w:val="19"/>
        </w:rPr>
        <w:t>Financial Instruments - Credit Losses (Topic 326): Measurement of Credit Losses for Accounts Receivable and Contract Assets</w:t>
      </w:r>
      <w:r>
        <w:rPr>
          <w:rFonts w:ascii="Times New Roman;serif" w:hAnsi="Times New Roman;serif"/>
          <w:b w:val="false"/>
          <w:color w:val="000000"/>
          <w:sz w:val="19"/>
        </w:rPr>
        <w:t>, which provides a practical expedient to measure credit losses on current accounts receivable and current contract assets. The practical expedient assumes that current conditions as of the balance sheet do not change for the remaining life of the asset. This ASU is effective for fiscal years beginning after December 15, 2025, and interim periods within those annual reporting periods, with early adoption permitted. We are currently evaluating the impact that the adoption of this guidance will have on our consolidated financial statements and disclosures.</w:t>
      </w:r>
    </w:p>
    <w:p>
      <w:pPr>
        <w:pStyle w:val="TextBody"/>
        <w:bidi w:val="0"/>
        <w:spacing w:lineRule="auto" w:line="288" w:before="180" w:after="283"/>
        <w:jc w:val="left"/>
        <w:rPr/>
      </w:pPr>
      <w:r>
        <w:rPr>
          <w:rFonts w:ascii="Times New Roman;serif" w:hAnsi="Times New Roman;serif"/>
          <w:b w:val="false"/>
          <w:color w:val="000000"/>
          <w:sz w:val="19"/>
        </w:rPr>
        <w:t xml:space="preserve">In November 2024, the FASB issued ASU 2024-03, </w:t>
      </w:r>
      <w:r>
        <w:rPr>
          <w:rFonts w:ascii="Times New Roman;serif" w:hAnsi="Times New Roman;serif"/>
          <w:b w:val="false"/>
          <w:i/>
          <w:color w:val="000000"/>
          <w:sz w:val="19"/>
        </w:rPr>
        <w:t>Income Statement - Reporting Comprehensive Income - Expense Disaggregation Disclosures (Subtopic 220-40): Disaggregation of Income Statement Expenses</w:t>
      </w:r>
      <w:r>
        <w:rPr>
          <w:rFonts w:ascii="Times New Roman;serif" w:hAnsi="Times New Roman;serif"/>
          <w:b w:val="false"/>
          <w:color w:val="000000"/>
          <w:sz w:val="19"/>
        </w:rPr>
        <w:t xml:space="preserve">, which requires additional disclosure of the nature of expenses included in the income statement. The standard requires disclosures about specific types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9065"/>
                <wp:effectExtent l="0" t="0" r="0" b="0"/>
                <wp:wrapNone/>
                <wp:docPr id="7" name="Frame7"/>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pStyle w:val="TextBody"/>
        <w:bidi w:val="0"/>
        <w:spacing w:lineRule="auto" w:line="288" w:before="180" w:after="283"/>
        <w:jc w:val="left"/>
        <w:rPr/>
      </w:pPr>
      <w:r>
        <w:rPr>
          <w:rFonts w:ascii="Times New Roman;serif" w:hAnsi="Times New Roman;serif"/>
          <w:b w:val="false"/>
          <w:color w:val="000000"/>
          <w:sz w:val="19"/>
        </w:rPr>
        <w:t xml:space="preserve">In December 2023, the FASB issued ASU 2023-09, </w:t>
      </w:r>
      <w:r>
        <w:rPr>
          <w:rFonts w:ascii="Times New Roman;serif" w:hAnsi="Times New Roman;serif"/>
          <w:b w:val="false"/>
          <w:i/>
          <w:color w:val="000000"/>
          <w:sz w:val="19"/>
        </w:rPr>
        <w:t>Income Taxes (Topic 740): Improvements to Income Tax Disclosures.</w:t>
      </w:r>
      <w:r>
        <w:rPr>
          <w:color w:val="000000"/>
        </w:rPr>
        <w:t xml:space="preserve"> </w:t>
      </w:r>
      <w:r>
        <w:rPr>
          <w:rFonts w:ascii="Times New Roman;serif" w:hAnsi="Times New Roman;serif"/>
          <w:b w:val="false"/>
          <w:color w:val="000000"/>
          <w:sz w:val="19"/>
        </w:rPr>
        <w:t>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 and expect to adopt this ASU for the fiscal year ending October 31, 2026.</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No other recently issued accounting pronouncements had or are expected to have a material impact on our Consolidated Condensed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2. Balance Sheet Components</w:t>
      </w:r>
    </w:p>
    <w:p>
      <w:pPr>
        <w:pStyle w:val="TextBody"/>
        <w:bidi w:val="0"/>
        <w:spacing w:lineRule="auto" w:line="288" w:before="180" w:after="283"/>
        <w:jc w:val="both"/>
        <w:rPr>
          <w:rFonts w:ascii="Times New Roman;serif" w:hAnsi="Times New Roman;serif"/>
          <w:b/>
          <w:color w:val="000000"/>
          <w:sz w:val="19"/>
        </w:rPr>
      </w:pPr>
      <w:r>
        <w:rPr>
          <w:rFonts w:ascii="Times New Roman;serif" w:hAnsi="Times New Roman;serif"/>
          <w:b/>
          <w:color w:val="000000"/>
          <w:sz w:val="19"/>
        </w:rPr>
        <w:t>Inventories</w:t>
      </w:r>
    </w:p>
    <w:tbl>
      <w:tblPr>
        <w:tblW w:w="5037" w:type="dxa"/>
        <w:jc w:val="left"/>
        <w:tblInd w:w="0" w:type="dxa"/>
        <w:tblLayout w:type="fixed"/>
        <w:tblCellMar>
          <w:top w:w="28" w:type="dxa"/>
          <w:left w:w="28" w:type="dxa"/>
          <w:bottom w:w="28" w:type="dxa"/>
          <w:right w:w="28" w:type="dxa"/>
        </w:tblCellMar>
      </w:tblPr>
      <w:tblGrid>
        <w:gridCol w:w="599"/>
        <w:gridCol w:w="456"/>
        <w:gridCol w:w="460"/>
        <w:gridCol w:w="358"/>
        <w:gridCol w:w="1047"/>
        <w:gridCol w:w="185"/>
        <w:gridCol w:w="109"/>
        <w:gridCol w:w="109"/>
        <w:gridCol w:w="109"/>
        <w:gridCol w:w="345"/>
        <w:gridCol w:w="1008"/>
        <w:gridCol w:w="252"/>
      </w:tblGrid>
      <w:tr>
        <w:trPr/>
        <w:tc>
          <w:tcPr>
            <w:tcW w:w="59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Raw materials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Work-in-process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Finished goods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inventories</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846.0 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Deferred revenue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recognized revenue of approximately $32.0 million and $32.5 million for the three months ended January 31, 2026 and 2025, respectively, that was included in the deferred revenue balance at October 31, 2025 and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3. Intangible Assets</w:t>
      </w:r>
    </w:p>
    <w:p>
      <w:pPr>
        <w:pStyle w:val="TextBody"/>
        <w:bidi w:val="0"/>
        <w:spacing w:lineRule="auto" w:line="288" w:before="180" w:after="283"/>
        <w:jc w:val="both"/>
        <w:rPr>
          <w:rFonts w:ascii="Times New Roman;serif" w:hAnsi="Times New Roman;serif"/>
          <w:b/>
          <w:color w:val="000000"/>
          <w:sz w:val="19"/>
        </w:rPr>
      </w:pPr>
      <w:r>
        <w:rPr>
          <w:rFonts w:ascii="Times New Roman;serif" w:hAnsi="Times New Roman;serif"/>
          <w:b/>
          <w:color w:val="000000"/>
          <w:sz w:val="19"/>
        </w:rPr>
        <w:t>Intangible assets consisted of the following:</w:t>
      </w:r>
    </w:p>
    <w:tbl>
      <w:tblPr>
        <w:tblW w:w="9867" w:type="dxa"/>
        <w:jc w:val="left"/>
        <w:tblInd w:w="0" w:type="dxa"/>
        <w:tblLayout w:type="fixed"/>
        <w:tblCellMar>
          <w:top w:w="28" w:type="dxa"/>
          <w:left w:w="28" w:type="dxa"/>
          <w:bottom w:w="28" w:type="dxa"/>
          <w:right w:w="28" w:type="dxa"/>
        </w:tblCellMar>
      </w:tblPr>
      <w:tblGrid>
        <w:gridCol w:w="1436"/>
        <w:gridCol w:w="1258"/>
        <w:gridCol w:w="1265"/>
        <w:gridCol w:w="211"/>
        <w:gridCol w:w="766"/>
        <w:gridCol w:w="109"/>
        <w:gridCol w:w="109"/>
        <w:gridCol w:w="109"/>
        <w:gridCol w:w="109"/>
        <w:gridCol w:w="242"/>
        <w:gridCol w:w="878"/>
        <w:gridCol w:w="126"/>
        <w:gridCol w:w="109"/>
        <w:gridCol w:w="109"/>
        <w:gridCol w:w="109"/>
        <w:gridCol w:w="211"/>
        <w:gridCol w:w="766"/>
        <w:gridCol w:w="109"/>
        <w:gridCol w:w="109"/>
        <w:gridCol w:w="109"/>
        <w:gridCol w:w="109"/>
        <w:gridCol w:w="242"/>
        <w:gridCol w:w="878"/>
        <w:gridCol w:w="126"/>
        <w:gridCol w:w="109"/>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with definite lives: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Composite intangible assets </w:t>
            </w:r>
            <w:r>
              <w:rPr>
                <w:rFonts w:ascii="Times New Roman;serif" w:hAnsi="Times New Roman;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Technology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Trademarks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License and distribution rights and 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1,636.2 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accumulated amortization and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with definite lives,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Intangible assets with indefinite lives, net </w:t>
            </w:r>
            <w:r>
              <w:rPr>
                <w:rFonts w:ascii="Times New Roman;serif" w:hAnsi="Times New Roman;serif"/>
                <w:b w:val="false"/>
                <w:color w:val="000000"/>
                <w:sz w:val="12"/>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intangibles,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i/>
          <w:color w:val="000000"/>
          <w:sz w:val="11"/>
        </w:rPr>
        <w:t xml:space="preserve">(1) </w:t>
      </w:r>
      <w:r>
        <w:rPr>
          <w:rFonts w:ascii="Times New Roman;serif" w:hAnsi="Times New Roman;serif"/>
          <w:b w:val="false"/>
          <w:i/>
          <w:color w:val="000000"/>
          <w:sz w:val="17"/>
        </w:rPr>
        <w:t>Composite intangible assets primarily consist of technology, trade name, New Drug Application approval and physician relationships</w:t>
      </w:r>
      <w:r>
        <w:rPr>
          <w:rFonts w:ascii="Times New Roman;serif" w:hAnsi="Times New Roman;serif"/>
          <w:b w:val="false"/>
          <w:color w:val="000000"/>
          <w:sz w:val="19"/>
        </w:rPr>
        <w:t xml:space="preserve">. </w:t>
      </w:r>
      <w:r>
        <w:rPr>
          <w:rFonts w:ascii="Times New Roman;serif" w:hAnsi="Times New Roman;serif"/>
          <w:b w:val="false"/>
          <w:i/>
          <w:color w:val="000000"/>
          <w:sz w:val="17"/>
        </w:rPr>
        <w:t>The components are not reflected separately or within the corresponding categories because they are inextricably linked.</w:t>
      </w:r>
    </w:p>
    <w:p>
      <w:pPr>
        <w:pStyle w:val="TextBody"/>
        <w:bidi w:val="0"/>
        <w:spacing w:lineRule="auto" w:line="288" w:before="180" w:after="283"/>
        <w:jc w:val="both"/>
        <w:rPr/>
      </w:pPr>
      <w:r>
        <w:rPr>
          <w:rFonts w:ascii="Times New Roman;serif" w:hAnsi="Times New Roman;serif"/>
          <w:b w:val="false"/>
          <w:i/>
          <w:color w:val="000000"/>
          <w:sz w:val="11"/>
        </w:rPr>
        <w:t xml:space="preserve">(2) </w:t>
      </w:r>
      <w:r>
        <w:rPr>
          <w:rFonts w:ascii="Times New Roman;serif" w:hAnsi="Times New Roman;serif"/>
          <w:b w:val="false"/>
          <w:i/>
          <w:color w:val="000000"/>
          <w:sz w:val="17"/>
        </w:rPr>
        <w:t>Intangible assets with indefinite lives include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9065"/>
                <wp:effectExtent l="0" t="0" r="0" b="0"/>
                <wp:wrapNone/>
                <wp:docPr id="8" name="Frame8"/>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Balances include foreign currency translation adjustments. </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As of January 31, 2026, the estimate of future amortization expenses for intangible assets with definite lives is as follows:</w:t>
      </w:r>
    </w:p>
    <w:tbl>
      <w:tblPr>
        <w:tblW w:w="6869" w:type="dxa"/>
        <w:jc w:val="left"/>
        <w:tblInd w:w="0" w:type="dxa"/>
        <w:tblLayout w:type="fixed"/>
        <w:tblCellMar>
          <w:top w:w="28" w:type="dxa"/>
          <w:left w:w="28" w:type="dxa"/>
          <w:bottom w:w="28" w:type="dxa"/>
          <w:right w:w="28" w:type="dxa"/>
        </w:tblCellMar>
      </w:tblPr>
      <w:tblGrid>
        <w:gridCol w:w="2052"/>
        <w:gridCol w:w="1811"/>
        <w:gridCol w:w="1821"/>
        <w:gridCol w:w="221"/>
        <w:gridCol w:w="803"/>
        <w:gridCol w:w="161"/>
      </w:tblGrid>
      <w:tr>
        <w:trPr/>
        <w:tc>
          <w:tcPr>
            <w:tcW w:w="205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Fiscal Years: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millions)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Remainder of 2026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2028</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2029</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2030</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Thereafter</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remaining amortization for intangible assets with definite lives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1,540.5 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There was no material impairment of goodwill or intangible assets recorded in the three months ended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4. Financing Arrangements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The Company had outstanding debt as follows:</w:t>
      </w:r>
    </w:p>
    <w:tbl>
      <w:tblPr>
        <w:tblW w:w="7165" w:type="dxa"/>
        <w:jc w:val="left"/>
        <w:tblInd w:w="0" w:type="dxa"/>
        <w:tblLayout w:type="fixed"/>
        <w:tblCellMar>
          <w:top w:w="28" w:type="dxa"/>
          <w:left w:w="28" w:type="dxa"/>
          <w:bottom w:w="28" w:type="dxa"/>
          <w:right w:w="28" w:type="dxa"/>
        </w:tblCellMar>
      </w:tblPr>
      <w:tblGrid>
        <w:gridCol w:w="1322"/>
        <w:gridCol w:w="1158"/>
        <w:gridCol w:w="1164"/>
        <w:gridCol w:w="309"/>
        <w:gridCol w:w="1122"/>
        <w:gridCol w:w="159"/>
        <w:gridCol w:w="109"/>
        <w:gridCol w:w="109"/>
        <w:gridCol w:w="109"/>
        <w:gridCol w:w="299"/>
        <w:gridCol w:w="1087"/>
        <w:gridCol w:w="218"/>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Term loans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debt, excluding financing leases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lease liabilities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debt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Revolving credit</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Term loans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unamortized debt issuance cost</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excluding financing leases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2,455.7 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lease liabilities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2,457.5 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debt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2,499.7 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2,505.3 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Additional information regarding our indebtedness is included in our notes to our consolidated financial statements in our Annual Report on Form 10-K for the fiscal year ended October 31, 2025. The carrying value of the Company's revolving credit facility and term loans approximates fair value based on current market rates (Level 2). As of January 31, 2026, the Company was in compliance with all debt covenants.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Revolving Credit Agreement on May 1, 2024</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$2,300.0 million which, unless terminated earlier, matures on May 1, 2029. On May 1, 2024, the Company used $1,170.0 million under the 2024 Revolving Credit Facility to fully repay all borrowings outstanding under the 2020 Term Loan Facility and the 2020 Revolving Credit Facility, and terminated the 2020 Credit Agreement (all as defined below). The Company has an uncommitted option to increase the revolving credit facility or establish a new term loan in an aggregate amount up to the greater of $1,150.0 million or 100% of consolidated Earnings Before Interest, Taxes, Depreciation and Amortization (EBITDA), as defined in the 2024 Credit Agreement.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9065"/>
                <wp:effectExtent l="0" t="0" r="0" b="0"/>
                <wp:wrapNone/>
                <wp:docPr id="9" name="Frame9"/>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pays an annual commitment fee that ranges from 0.10% to 0.20% of the unused portion of the 2024 Revolving Credit Facility based upon the Company’s Total Leverage Ratio, as defined in the 2024 Credit Agreement.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2024 Credit Agreement contains customary restrictive covenants, as well as financial covenants that require the Company to maintain a certain Total Leverage Ratio and Interest Coverage Ratio, each as defined in the 2024 Credit Agreement.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January 31, 2026, the Company had $927.7 million outstanding under the 2024 Revolving Credit Facility and the weighted-average interest rate on the 2024 Revolving Credit Facility was 4.78%.</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Subsequent to the fiscal quarter ended January 31, 2026, the Company entered into Amendment No. 1 to the 2024 Credit Agreement. Refer to Note 12. Subsequent Events for additional information.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Term Loan Agreement on December 17, 2021</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$1,500.0 million, which, unless terminated earlier, matures on December 17, 2026.</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January 31, 2026, the Company had $1,500.0 million outstanding under the 2021 Term Loan Facility and the interest rate was 4.67%.</w:t>
      </w:r>
    </w:p>
    <w:p>
      <w:pPr>
        <w:pStyle w:val="TextBody"/>
        <w:bidi w:val="0"/>
        <w:spacing w:lineRule="auto" w:line="288" w:before="180" w:after="283"/>
        <w:jc w:val="left"/>
        <w:rPr/>
      </w:pPr>
      <w:r>
        <w:rPr>
          <w:rFonts w:ascii="Times New Roman;serif" w:hAnsi="Times New Roman;serif"/>
          <w:b w:val="false"/>
          <w:color w:val="000000"/>
          <w:sz w:val="19"/>
        </w:rPr>
        <w:t>Subsequent to the fiscal quarter ended January 31, 2026, the Company entered into Amendment No. 3 to the 2021 Credit Agreement. Refer to</w:t>
      </w:r>
      <w:r>
        <w:rPr>
          <w:color w:val="000000"/>
        </w:rPr>
        <w:t xml:space="preserve"> </w:t>
      </w:r>
      <w:r>
        <w:rPr>
          <w:rFonts w:ascii="Times New Roman;serif" w:hAnsi="Times New Roman;serif"/>
          <w:b w:val="false"/>
          <w:color w:val="000000"/>
          <w:sz w:val="19"/>
        </w:rPr>
        <w:t>Note 12. Subsequent Events</w:t>
      </w:r>
      <w:r>
        <w:rPr>
          <w:color w:val="000000"/>
        </w:rPr>
        <w:t xml:space="preserve"> </w:t>
      </w:r>
      <w:r>
        <w:rPr>
          <w:rFonts w:ascii="Times New Roman;serif" w:hAnsi="Times New Roman;serif"/>
          <w:b w:val="false"/>
          <w:color w:val="000000"/>
          <w:sz w:val="19"/>
        </w:rPr>
        <w:t xml:space="preserve">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5. Income Taxes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effective tax rates for the three months ended January 31, 2026 and January 31, 2025 were 31.9% and 32.0%, respectively. The decrease was primarily due to changes in the geographic composition of pre-tax earnings, primarily offset by increases related to unrecognized tax benefits and excess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6. Earnings Per Share</w:t>
      </w:r>
    </w:p>
    <w:tbl>
      <w:tblPr>
        <w:tblW w:w="6189" w:type="dxa"/>
        <w:jc w:val="left"/>
        <w:tblInd w:w="0" w:type="dxa"/>
        <w:tblLayout w:type="fixed"/>
        <w:tblCellMar>
          <w:top w:w="28" w:type="dxa"/>
          <w:left w:w="28" w:type="dxa"/>
          <w:bottom w:w="28" w:type="dxa"/>
          <w:right w:w="28" w:type="dxa"/>
        </w:tblCellMar>
      </w:tblPr>
      <w:tblGrid>
        <w:gridCol w:w="1269"/>
        <w:gridCol w:w="1118"/>
        <w:gridCol w:w="1122"/>
        <w:gridCol w:w="211"/>
        <w:gridCol w:w="616"/>
        <w:gridCol w:w="109"/>
        <w:gridCol w:w="109"/>
        <w:gridCol w:w="109"/>
        <w:gridCol w:w="109"/>
        <w:gridCol w:w="211"/>
        <w:gridCol w:w="616"/>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 except per share amounts)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Basic:</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Diluted: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dilutive stock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weighted-average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Diluted earnings per share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table sets forth stock options to purchase our common stock and restricted stock units that were not included in the diluted earnings per share calculation because their effect would have been antidilutive for the periods presented:</w:t>
      </w:r>
    </w:p>
    <w:tbl>
      <w:tblPr>
        <w:tblW w:w="7132" w:type="dxa"/>
        <w:jc w:val="left"/>
        <w:tblInd w:w="0" w:type="dxa"/>
        <w:tblLayout w:type="fixed"/>
        <w:tblCellMar>
          <w:top w:w="28" w:type="dxa"/>
          <w:left w:w="28" w:type="dxa"/>
          <w:bottom w:w="28" w:type="dxa"/>
          <w:right w:w="28" w:type="dxa"/>
        </w:tblCellMar>
      </w:tblPr>
      <w:tblGrid>
        <w:gridCol w:w="1166"/>
        <w:gridCol w:w="1027"/>
        <w:gridCol w:w="1031"/>
        <w:gridCol w:w="582"/>
        <w:gridCol w:w="582"/>
        <w:gridCol w:w="335"/>
        <w:gridCol w:w="143"/>
        <w:gridCol w:w="143"/>
        <w:gridCol w:w="143"/>
        <w:gridCol w:w="543"/>
        <w:gridCol w:w="543"/>
        <w:gridCol w:w="413"/>
        <w:gridCol w:w="109"/>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3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thousands, except exercise prices)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option shares excluded</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1,481 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Exercise prices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$78.51 - $101.54</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$82.46 - $101.54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stock units excluded</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9065"/>
                <wp:effectExtent l="0" t="0" r="0" b="0"/>
                <wp:wrapNone/>
                <wp:docPr id="10" name="Frame10"/>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7. Share-Based Compensation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has several stock plans that are described in the Company’s Annual Report on Form 10</w:t>
        <w:noBreakHyphen/>
        <w:t>K for the fiscal year ended October 31, 2025. The compensation expense and related income tax benefit recognized in our Consolidated Condensed Statements of Income and Comprehensive Income for share-based awards, including the employee stock purchase plan, were as follows:</w:t>
      </w:r>
    </w:p>
    <w:tbl>
      <w:tblPr>
        <w:tblW w:w="6129" w:type="dxa"/>
        <w:jc w:val="left"/>
        <w:tblInd w:w="0" w:type="dxa"/>
        <w:tblLayout w:type="fixed"/>
        <w:tblCellMar>
          <w:top w:w="28" w:type="dxa"/>
          <w:left w:w="28" w:type="dxa"/>
          <w:bottom w:w="28" w:type="dxa"/>
          <w:right w:w="28" w:type="dxa"/>
        </w:tblCellMar>
      </w:tblPr>
      <w:tblGrid>
        <w:gridCol w:w="1323"/>
        <w:gridCol w:w="1166"/>
        <w:gridCol w:w="1170"/>
        <w:gridCol w:w="211"/>
        <w:gridCol w:w="511"/>
        <w:gridCol w:w="109"/>
        <w:gridCol w:w="109"/>
        <w:gridCol w:w="109"/>
        <w:gridCol w:w="109"/>
        <w:gridCol w:w="211"/>
        <w:gridCol w:w="511"/>
        <w:gridCol w:w="109"/>
        <w:gridCol w:w="109"/>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share-based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Related income tax benefit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Market-based award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During the three months ended January 31, 2026, the Company granted 78,286 restricted stock units to selected key employees which vest over approximately three years and are earned based on the Company's total shareholder return (TSR) relative to a designated peer group over a three-year performance period. The TSR metric is considered a market condition. The Company measured the fair value of such awards on the grant date using Monte Carlo simulation, incorporating valuation inputs including (a) simulation term of 2.9 years (b) risk-free interest rate of 3.6% (c) historical volatility of 29.2% (d) dividend yield of 0%. The grant-date fair value of the TSR award was $116.05 per share. The performance shares ultimately earned will range from zero to 200% of the target number of shares.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recognize compensation expense ratably over the requisite service period regardless of actual TSR achievement. As of January 31, 2026, there was $8.7 million of total unrecognized compensation cost related to unvested TSR award, which is expected to be recognized over a remaining weighted-average period of 3.0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8. Stockholders' Equity</w:t>
      </w:r>
    </w:p>
    <w:p>
      <w:pPr>
        <w:pStyle w:val="TextBody"/>
        <w:bidi w:val="0"/>
        <w:spacing w:lineRule="auto" w:line="288" w:before="180" w:after="283"/>
        <w:jc w:val="both"/>
        <w:rPr>
          <w:rFonts w:ascii="Times New Roman;serif" w:hAnsi="Times New Roman;serif"/>
          <w:b/>
          <w:color w:val="000000"/>
          <w:sz w:val="19"/>
        </w:rPr>
      </w:pPr>
      <w:r>
        <w:rPr>
          <w:rFonts w:ascii="Times New Roman;serif" w:hAnsi="Times New Roman;serif"/>
          <w:b/>
          <w:color w:val="000000"/>
          <w:sz w:val="19"/>
        </w:rPr>
        <w:t>Analysis of Changes in Accumulated Other Comprehensive Loss:</w:t>
      </w:r>
    </w:p>
    <w:tbl>
      <w:tblPr>
        <w:tblW w:w="10205" w:type="dxa"/>
        <w:jc w:val="left"/>
        <w:tblInd w:w="0" w:type="dxa"/>
        <w:tblLayout w:type="fixed"/>
        <w:tblCellMar>
          <w:top w:w="28" w:type="dxa"/>
          <w:left w:w="28" w:type="dxa"/>
          <w:bottom w:w="28" w:type="dxa"/>
          <w:right w:w="28" w:type="dxa"/>
        </w:tblCellMar>
      </w:tblPr>
      <w:tblGrid>
        <w:gridCol w:w="666"/>
        <w:gridCol w:w="584"/>
        <w:gridCol w:w="586"/>
        <w:gridCol w:w="608"/>
        <w:gridCol w:w="1822"/>
        <w:gridCol w:w="316"/>
        <w:gridCol w:w="109"/>
        <w:gridCol w:w="109"/>
        <w:gridCol w:w="109"/>
        <w:gridCol w:w="539"/>
        <w:gridCol w:w="1076"/>
        <w:gridCol w:w="280"/>
        <w:gridCol w:w="109"/>
        <w:gridCol w:w="109"/>
        <w:gridCol w:w="109"/>
        <w:gridCol w:w="433"/>
        <w:gridCol w:w="1050"/>
        <w:gridCol w:w="224"/>
        <w:gridCol w:w="109"/>
        <w:gridCol w:w="109"/>
        <w:gridCol w:w="109"/>
        <w:gridCol w:w="211"/>
        <w:gridCol w:w="669"/>
        <w:gridCol w:w="160"/>
      </w:tblGrid>
      <w:tr>
        <w:trPr/>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Minimum Pension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October 31, 2024</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change in value</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effect</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January 31, 2025</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(528.4)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October 31, 2025</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change in value</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bookmarkStart w:id="0" w:name="ie024509478494b6ba59298afac7ccc18_7-7-1-"/>
            <w:bookmarkEnd w:id="0"/>
            <w:r>
              <w:rPr>
                <w:rFonts w:ascii="Times New Roman;serif" w:hAnsi="Times New Roman;serif"/>
                <w:b w:val="false"/>
                <w:color w:val="000000"/>
                <w:sz w:val="19"/>
              </w:rPr>
              <w:t>71.2 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effect</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January 31, 2026</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(349.7)</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Share Repurchases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 September 2025, the authorization under the 2012 Share Repurchase Program was increased to $2.0 billion by the Company's Board of Directors. As of January 31, 2026, $873.9 million remains authorized for repurchase.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During the three months ended January 31, 2026, the Company repurchased 1.1 million shares of its common stock for $92.5 million, at a weighted average price of $82.04 per share. There were no share repurchases during the three months ended January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9065"/>
                <wp:effectExtent l="0" t="0" r="0" b="0"/>
                <wp:wrapNone/>
                <wp:docPr id="11" name="Frame1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9. Contingencies and Commitments</w:t>
      </w:r>
    </w:p>
    <w:p>
      <w:pPr>
        <w:pStyle w:val="TextBody"/>
        <w:bidi w:val="0"/>
        <w:spacing w:lineRule="auto" w:line="288" w:before="0" w:after="180"/>
        <w:jc w:val="left"/>
        <w:rPr/>
      </w:pPr>
      <w:r>
        <w:rPr>
          <w:rFonts w:ascii="Times New Roman;serif" w:hAnsi="Times New Roman;serif"/>
          <w:b w:val="false"/>
          <w:color w:val="000000"/>
          <w:sz w:val="19"/>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w:t>
      </w:r>
      <w:r>
        <w:rPr>
          <w:color w:val="000000"/>
          <w:shd w:fill="FFFFFF" w:val="clear"/>
        </w:rPr>
        <w:t xml:space="preserve"> </w:t>
      </w:r>
      <w:r>
        <w:rPr>
          <w:rFonts w:ascii="Times New Roman;serif" w:hAnsi="Times New Roman;serif"/>
          <w:b w:val="false"/>
          <w:color w:val="000000"/>
          <w:sz w:val="19"/>
        </w:rPr>
        <w:t xml:space="preserve">At each reporting period, the Company evaluates whether or not a potential loss amount or a potential range of loss is probable and reasonably estimable under ASC 450, </w:t>
      </w:r>
      <w:r>
        <w:rPr>
          <w:rFonts w:ascii="Times New Roman;serif" w:hAnsi="Times New Roman;serif"/>
          <w:b w:val="false"/>
          <w:i/>
          <w:color w:val="000000"/>
          <w:sz w:val="19"/>
        </w:rPr>
        <w:t>Contingencies</w:t>
      </w:r>
      <w:r>
        <w:rPr>
          <w:rFonts w:ascii="Times New Roman;serif" w:hAnsi="Times New Roman;serif"/>
          <w:b w:val="false"/>
          <w:color w:val="000000"/>
          <w:sz w:val="19"/>
        </w:rPr>
        <w:t>. Legal fees are expensed as incurred.</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The Company has been in a dispute with HM Revenue &amp; Customs (HMRC) relating to payroll tax withholding matters related to consideration paid to company founders in the acquisition of the Sauflon Group in 2014 before the U.K. First-tier Tribunal (FTT). The FTT issued a decision on March 2, 2026 that largely supports HMRC’s position that the Company had failed to properly withhold payroll taxes with respect to a portion of the consideration paid by the Company in the Sauflon acquisition.</w:t>
      </w:r>
    </w:p>
    <w:p>
      <w:pPr>
        <w:pStyle w:val="TextBody"/>
        <w:bidi w:val="0"/>
        <w:spacing w:lineRule="auto" w:line="276"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believes the FTT’s decision was incorrect and intends to appeal the FTT’s decision. Although the Company does not believe that a loss is probable, an adverse outcome is reasonably possible. Depending on the results of the appeal, the Company could prevail on some or all of the issues in dispute, which could result in an obligation to pay a portion or all of the assessed amounts, with an estimated loss ranging from £0 to £71.7 million, plus accrued interest.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Because the ultimate outcome of the matter remains uncertain, the Company has not recorded any liability reserves in its financial statements.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As of January 31, 2026, the Company entered into additional leases that have not yet commenced in order to expand manufacturing as well as research and development capacity. The undiscounted lease payments are estimated at $140.2 million for leases that will commence starting in the third quarter of fiscal 2026, with initial terms ranging from 20 to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10. Business Segment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discloses information about its operating segments, which were established based on the way that our Chief Operating Decision Maker (CODM) organizes segments within the Company for making operating decisions and assessing financial performance. Our CODM is our Chief Executive Officer. The Company's two operating segments are described below.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19"/>
        </w:rPr>
        <w:t xml:space="preserve">CooperVision. </w:t>
      </w:r>
      <w:r>
        <w:rPr>
          <w:rFonts w:ascii="Times New Roman;serif" w:hAnsi="Times New Roman;serif"/>
          <w:b w:val="false"/>
          <w:color w:val="000000"/>
          <w:sz w:val="19"/>
        </w:rPr>
        <w:t>Competes in the worldwide contact lens market by developing, manufacturing and marketing a broad range of products for contact lens wearers, featuring advanced materials and optics.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19"/>
        </w:rPr>
        <w:t xml:space="preserve">CooperSurgical. </w:t>
      </w:r>
      <w:r>
        <w:rPr>
          <w:rFonts w:ascii="Times New Roman;serif" w:hAnsi="Times New Roman;serif"/>
          <w:b w:val="false"/>
          <w:color w:val="000000"/>
          <w:sz w:val="19"/>
        </w:rPr>
        <w:t>Competes in the fertility and women's health care market through its diversified portfolio of products and services, including fertility products and services, medical devices, cryostorage (such as cord blood and cord tissue storage) and contraception.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CODM uses operating income, as presented in our financial reports, as the primary measure of segment profitability to assess the performance of the segments and make decisions on resource allocation across segments. The CODM evaluates segment operating income on a quarterly basis by comparing actual results to forecasted amounts and historical performance. These evaluations, supported by discussions with the leadership team responsible for managing the operations of each reportable segment, are used to assess segment results, monitor operating trends, and support decisions regarding the allocation of resources and consideration of investment opportunities. The Company does not allocate costs from corporate functions to segment operating income. The Company uses the same accounting policies to generate segment results as it does for consolidated results.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tables present revenue and other financial information by reportable segment: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Segment information:</w:t>
      </w:r>
    </w:p>
    <w:tbl>
      <w:tblPr>
        <w:tblW w:w="6024" w:type="dxa"/>
        <w:jc w:val="left"/>
        <w:tblInd w:w="0" w:type="dxa"/>
        <w:tblLayout w:type="fixed"/>
        <w:tblCellMar>
          <w:top w:w="28" w:type="dxa"/>
          <w:left w:w="28" w:type="dxa"/>
          <w:bottom w:w="28" w:type="dxa"/>
          <w:right w:w="28" w:type="dxa"/>
        </w:tblCellMar>
      </w:tblPr>
      <w:tblGrid>
        <w:gridCol w:w="1155"/>
        <w:gridCol w:w="1018"/>
        <w:gridCol w:w="1021"/>
        <w:gridCol w:w="211"/>
        <w:gridCol w:w="766"/>
        <w:gridCol w:w="109"/>
        <w:gridCol w:w="109"/>
        <w:gridCol w:w="109"/>
        <w:gridCol w:w="109"/>
        <w:gridCol w:w="211"/>
        <w:gridCol w:w="616"/>
        <w:gridCol w:w="109"/>
        <w:gridCol w:w="109"/>
        <w:gridCol w:w="109"/>
        <w:gridCol w:w="109"/>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 net sales by category: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Toric and multifocal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Sphere,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CooperVision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 net sales by category: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Office and surgical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Fertility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CooperSurgical net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9065"/>
                <wp:effectExtent l="0" t="0" r="0" b="0"/>
                <wp:wrapNone/>
                <wp:docPr id="12" name="Frame12"/>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tbl>
      <w:tblPr>
        <w:tblW w:w="9817" w:type="dxa"/>
        <w:jc w:val="left"/>
        <w:tblInd w:w="0" w:type="dxa"/>
        <w:tblLayout w:type="fixed"/>
        <w:tblCellMar>
          <w:top w:w="28" w:type="dxa"/>
          <w:left w:w="28" w:type="dxa"/>
          <w:bottom w:w="28" w:type="dxa"/>
          <w:right w:w="28" w:type="dxa"/>
        </w:tblCellMar>
      </w:tblPr>
      <w:tblGrid>
        <w:gridCol w:w="1328"/>
        <w:gridCol w:w="1163"/>
        <w:gridCol w:w="1168"/>
        <w:gridCol w:w="247"/>
        <w:gridCol w:w="900"/>
        <w:gridCol w:w="129"/>
        <w:gridCol w:w="109"/>
        <w:gridCol w:w="109"/>
        <w:gridCol w:w="109"/>
        <w:gridCol w:w="282"/>
        <w:gridCol w:w="1026"/>
        <w:gridCol w:w="148"/>
        <w:gridCol w:w="109"/>
        <w:gridCol w:w="109"/>
        <w:gridCol w:w="109"/>
        <w:gridCol w:w="266"/>
        <w:gridCol w:w="780"/>
        <w:gridCol w:w="138"/>
        <w:gridCol w:w="109"/>
        <w:gridCol w:w="109"/>
        <w:gridCol w:w="109"/>
        <w:gridCol w:w="215"/>
        <w:gridCol w:w="888"/>
        <w:gridCol w:w="158"/>
      </w:tblGrid>
      <w:tr>
        <w:trPr/>
        <w:tc>
          <w:tcPr>
            <w:tcW w:w="132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CooperVision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 xml:space="preserve">Corporate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Consolidated</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 2026</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expense (income),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expense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94.2 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As of January 31, 2026</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Identifiable assets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12,424.2 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 2025</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expense (income),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expense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89.4 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As of October 31, 2025</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Identifiable assets</w:t>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7,604.4 </w:t>
            </w:r>
          </w:p>
        </w:tc>
        <w:tc>
          <w:tcPr>
            <w:tcW w:w="1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4,619.3 </w:t>
            </w:r>
          </w:p>
        </w:tc>
        <w:tc>
          <w:tcPr>
            <w:tcW w:w="1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171.1 </w:t>
            </w:r>
          </w:p>
        </w:tc>
        <w:tc>
          <w:tcPr>
            <w:tcW w:w="1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12,394.8 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i/>
          <w:color w:val="000000"/>
          <w:sz w:val="12"/>
        </w:rPr>
        <w:t xml:space="preserve">(1) </w:t>
      </w:r>
      <w:r>
        <w:rPr>
          <w:rFonts w:ascii="Times New Roman;serif" w:hAnsi="Times New Roman;serif"/>
          <w:b w:val="false"/>
          <w:i/>
          <w:color w:val="000000"/>
          <w:sz w:val="19"/>
        </w:rPr>
        <w:t>Corporate SGA expenses are not allocated to the segments.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Geographic information:</w:t>
      </w:r>
    </w:p>
    <w:tbl>
      <w:tblPr>
        <w:tblW w:w="7689" w:type="dxa"/>
        <w:jc w:val="left"/>
        <w:tblInd w:w="0" w:type="dxa"/>
        <w:tblLayout w:type="fixed"/>
        <w:tblCellMar>
          <w:top w:w="28" w:type="dxa"/>
          <w:left w:w="28" w:type="dxa"/>
          <w:bottom w:w="28" w:type="dxa"/>
          <w:right w:w="28" w:type="dxa"/>
        </w:tblCellMar>
      </w:tblPr>
      <w:tblGrid>
        <w:gridCol w:w="1757"/>
        <w:gridCol w:w="1548"/>
        <w:gridCol w:w="1554"/>
        <w:gridCol w:w="211"/>
        <w:gridCol w:w="766"/>
        <w:gridCol w:w="109"/>
        <w:gridCol w:w="109"/>
        <w:gridCol w:w="109"/>
        <w:gridCol w:w="109"/>
        <w:gridCol w:w="211"/>
        <w:gridCol w:w="616"/>
        <w:gridCol w:w="109"/>
        <w:gridCol w:w="109"/>
        <w:gridCol w:w="109"/>
        <w:gridCol w:w="109"/>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to unaffiliated customers by country of domicile: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Europe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 of world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95" w:type="dxa"/>
        <w:jc w:val="left"/>
        <w:tblInd w:w="0" w:type="dxa"/>
        <w:tblLayout w:type="fixed"/>
        <w:tblCellMar>
          <w:top w:w="28" w:type="dxa"/>
          <w:left w:w="28" w:type="dxa"/>
          <w:bottom w:w="28" w:type="dxa"/>
          <w:right w:w="28" w:type="dxa"/>
        </w:tblCellMar>
      </w:tblPr>
      <w:tblGrid>
        <w:gridCol w:w="1768"/>
        <w:gridCol w:w="1549"/>
        <w:gridCol w:w="1557"/>
        <w:gridCol w:w="309"/>
        <w:gridCol w:w="1122"/>
        <w:gridCol w:w="159"/>
        <w:gridCol w:w="109"/>
        <w:gridCol w:w="109"/>
        <w:gridCol w:w="109"/>
        <w:gridCol w:w="299"/>
        <w:gridCol w:w="1087"/>
        <w:gridCol w:w="218"/>
      </w:tblGrid>
      <w:tr>
        <w:trPr/>
        <w:tc>
          <w:tcPr>
            <w:tcW w:w="176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property, plant and equipment by country of domicile:</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Europe</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 of world</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2,116.7 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2,082.0 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9065"/>
                <wp:effectExtent l="0" t="0" r="0" b="0"/>
                <wp:wrapNone/>
                <wp:docPr id="13" name="Frame13"/>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11. Financial Derivatives and Hedging</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As of January 31, 2026, the notional amount of outstanding foreign currency forward contracts was $29.9 million. The resulting impact on our Consolidated Financial Statements from currency hedging activities was not significant for the three months ended January 31, 2026 and January 31, 2025.</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As of January 31, 2026, the Company has eight interest rate swap contracts that have a total notional amount of $1.6 billion and remaining maturities of less than two years.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table summarizes the amounts recognized with respect to our derivative instruments within the accompanying Consolidated Condensed Statements of Income and Comprehensive Income:</w:t>
      </w:r>
    </w:p>
    <w:tbl>
      <w:tblPr>
        <w:tblW w:w="10205" w:type="dxa"/>
        <w:jc w:val="left"/>
        <w:tblInd w:w="0" w:type="dxa"/>
        <w:tblLayout w:type="fixed"/>
        <w:tblCellMar>
          <w:top w:w="28" w:type="dxa"/>
          <w:left w:w="28" w:type="dxa"/>
          <w:bottom w:w="28" w:type="dxa"/>
          <w:right w:w="28" w:type="dxa"/>
        </w:tblCellMar>
      </w:tblPr>
      <w:tblGrid>
        <w:gridCol w:w="1243"/>
        <w:gridCol w:w="1066"/>
        <w:gridCol w:w="1071"/>
        <w:gridCol w:w="109"/>
        <w:gridCol w:w="109"/>
        <w:gridCol w:w="109"/>
        <w:gridCol w:w="1330"/>
        <w:gridCol w:w="1330"/>
        <w:gridCol w:w="1335"/>
        <w:gridCol w:w="211"/>
        <w:gridCol w:w="473"/>
        <w:gridCol w:w="109"/>
        <w:gridCol w:w="109"/>
        <w:gridCol w:w="109"/>
        <w:gridCol w:w="109"/>
        <w:gridCol w:w="211"/>
        <w:gridCol w:w="578"/>
        <w:gridCol w:w="109"/>
        <w:gridCol w:w="109"/>
        <w:gridCol w:w="109"/>
        <w:gridCol w:w="109"/>
        <w:gridCol w:w="158"/>
      </w:tblGrid>
      <w:tr>
        <w:trPr/>
        <w:tc>
          <w:tcPr>
            <w:tcW w:w="124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u w:val="single"/>
              </w:rPr>
            </w:pPr>
            <w:r>
              <w:rPr>
                <w:rFonts w:ascii="Times New Roman;serif" w:hAnsi="Times New Roman;serif"/>
                <w:b/>
                <w:color w:val="000000"/>
                <w:sz w:val="19"/>
                <w:u w:val="single"/>
              </w:rPr>
              <w:t>Location of (Gain)/Loss Recognized on Derivatives</w:t>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5"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5"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5"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tbl>
      <w:tblPr>
        <w:tblW w:w="10205" w:type="dxa"/>
        <w:jc w:val="left"/>
        <w:tblInd w:w="0" w:type="dxa"/>
        <w:tblLayout w:type="fixed"/>
        <w:tblCellMar>
          <w:top w:w="28" w:type="dxa"/>
          <w:left w:w="28" w:type="dxa"/>
          <w:bottom w:w="28" w:type="dxa"/>
          <w:right w:w="28" w:type="dxa"/>
        </w:tblCellMar>
      </w:tblPr>
      <w:tblGrid>
        <w:gridCol w:w="2724"/>
        <w:gridCol w:w="2337"/>
        <w:gridCol w:w="2346"/>
        <w:gridCol w:w="109"/>
        <w:gridCol w:w="109"/>
        <w:gridCol w:w="109"/>
        <w:gridCol w:w="211"/>
        <w:gridCol w:w="511"/>
        <w:gridCol w:w="109"/>
        <w:gridCol w:w="109"/>
        <w:gridCol w:w="109"/>
        <w:gridCol w:w="109"/>
        <w:gridCol w:w="211"/>
        <w:gridCol w:w="511"/>
        <w:gridCol w:w="109"/>
        <w:gridCol w:w="109"/>
        <w:gridCol w:w="109"/>
        <w:gridCol w:w="109"/>
        <w:gridCol w:w="155"/>
      </w:tblGrid>
      <w:tr>
        <w:trPr/>
        <w:tc>
          <w:tcPr>
            <w:tcW w:w="272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Amount recognized in accumulated other comprehensive income on interest rate swap contracts,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Amount reclassified from accumulated other comprehensive income into earnings, gross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Ending balance gain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amount recognized in other comprehensive income on interest rate swap contracts was $0.7 million and $6.9 million, net of tax effect, for the three months ended January 31, 2026 and 2025, respectively.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amount reclassified from other comprehensive income into earnings was $(4.7) million and $(8.4) million, net of tax, for the three months ended January 31, 2026 and 2025, respectively.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Refer to Note 8. Stockholders' Equity for amounts presented net of the related tax impact in "Accumulated other comprehensive loss."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expects that $(18.1) million recorded as a component of "Accumulated other comprehensive loss" will be realized in the Consolidated Condensed Statements of Income over the next twelve months and the amount will vary depending on prevailing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12. Subsequent Events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Amendment No.3 to the 2021 Credit Agreement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On February 3, 2026, the Company entered into Amendment No. 3 to the 2021 Credit Agreement, by and among the Company, the lenders from time to time party thereto, and PNC Bank, National Association, as administrative agent. The amendment modifies the 2021 Credit Agreement by, among other things, extending the maturity date of $950.0 million of term loans to February 3, 2031, with the remaining $550.0 million of term loans retaining their original maturity date. The amendment also removes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9065"/>
                <wp:effectExtent l="0" t="0" r="0" b="0"/>
                <wp:wrapNone/>
                <wp:docPr id="14" name="Frame14"/>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pPr>
      <w:r>
        <w:rPr>
          <w:rFonts w:ascii="Times New Roman;serif" w:hAnsi="Times New Roman;serif"/>
          <w:b w:val="false"/>
          <w:color w:val="000000"/>
          <w:sz w:val="19"/>
        </w:rPr>
        <w:t>credit spread adjustment and increases the cap on incremental term loans to the greater of $1,365.0 million and 100% of consolidated EBITDA.</w:t>
      </w:r>
      <w:r>
        <w:rPr>
          <w:color w:val="FF0000"/>
        </w:rPr>
        <w:t xml:space="preserve">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addition, the amendment provides that, at the Company’s option, the applicable pricing rates may be determined based on the Company’s non-credit enhanced, senior unsecured long-term debt ratings or the existing basis of the Company’s ratio of consolidated net indebtedness to consolidated EBITDA.</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Accordingly, we classified $950.0 million of the 2021 Credit Agreement loan amount as long-term and the remaining $550.0 million as short-term on our Consolidated Condensed Balance Sheet as of January 31, 2026.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Amendment No.1 to the 2024 Credit Agreement</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On February 3, 2026, in connection with the Company’s entry into Amendment No.3 to the 2021 Credit Agreement, the Company also entered into Amendment No. 1 to the 2024 Credit Agreement, modifying the 2024 Credit Agreement by, among other things, conforming certain provisions therein to those contained in the 2021 Credit Agreement, as amended by Amendment No. 3 to the 2021 Credit Agreement, including the removal of the credit spread adjustments.</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Non-Income Tax Matters</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On March 2, 2026, the U.K. FTT issued a decision that largely supports HMRC in the Company’s dispute relating to payroll tax matters arising from the acquisition of the Sauflon Group in 2014. </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believes the FTT’s decision was incorrect and intends to appeal the FTT’s decision. Although the Company does not believe that a loss is probable, an adverse outcome is reasonably possible. Depending on the results of the appeal, the Company could prevail on some or all of the issues in dispute, which could result in an obligation to pay a portion or all of the assessed amounts, with an estimated loss ranging from £0 to £71.7 million, plus accrued interest. </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Refer to Note 9 – Commitments and Contingencies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9065"/>
                <wp:effectExtent l="0" t="0" r="0" b="0"/>
                <wp:wrapNone/>
                <wp:docPr id="15" name="Frame15"/>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40"/>
        <w:jc w:val="left"/>
        <w:rPr>
          <w:rFonts w:ascii="Times New Roman;serif" w:hAnsi="Times New Roman;serif"/>
          <w:b w:val="false"/>
          <w:color w:val="000000"/>
          <w:sz w:val="19"/>
        </w:rPr>
      </w:pPr>
      <w:r>
        <w:rPr>
          <w:rFonts w:ascii="Times New Roman;serif" w:hAnsi="Times New Roman;serif"/>
          <w:b w:val="false"/>
          <w:color w:val="000000"/>
          <w:sz w:val="19"/>
        </w:rPr>
        <w:t>Note numbers refer to “Notes to Consolidated Condensed Financial Statements” in 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Forward-Looking Statements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pStyle w:val="TextBody"/>
        <w:bidi w:val="0"/>
        <w:spacing w:lineRule="auto" w:line="288" w:before="180" w:after="283"/>
        <w:ind w:left="0" w:right="0" w:hanging="720"/>
        <w:jc w:val="left"/>
        <w:rPr/>
      </w:pPr>
      <w:r>
        <w:rPr>
          <w:color w:val="000000"/>
        </w:rPr>
        <w:t>•</w:t>
      </w:r>
      <w:r>
        <w:rPr>
          <w:rFonts w:ascii="Times New Roman;serif" w:hAnsi="Times New Roman;serif"/>
          <w:b w:val="false"/>
          <w:color w:val="000000"/>
          <w:sz w:val="19"/>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The impact of international conflicts, including the ongoing conflict in the Middle East, and the global response to international conflicts on the global and local economy, financial markets, energy markets, currency rates and our ability to supply product to, or through, or around, affected countries.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Our substantial and expanding international operations and the challenges of managing an organization spread throughout multiple countries and complying with a variety of legal, compliance and regulatory requirements.</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19"/>
        </w:rPr>
        <w:t>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Foreign currency exchange rate and interest rate fluctuations including the risk of fluctuations in the value of foreign currencies or interest rates that would decrease our net sales and earnings.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Our existing and future variable rate indebtedness and associated interest expense is impacted by rate increases, which could adversely affect our financial health or limit our ability to borrow additional funds.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 xml:space="preserve">Changes in tax laws, examinations by tax authorities, and changes in our geographic composition of income.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Compliance costs and potential liability in connection with U.S. and foreign laws and health care regulations pertaining to privacy and security of personal information, such as the Health Insurance Portability and Accountability Act of 1996 and the California Consumer Privacy Act in the U.S. and the General Data Protection Regulation requirements in Europe, including but not limited to those resulting from data security breaches.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 successful cybersecurity attack which could interrupt or disrupt our information technology systems, or those of our third-party service providers, or cause the loss of confidential or protected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9065"/>
                <wp:effectExtent l="0" t="0" r="0" b="0"/>
                <wp:wrapNone/>
                <wp:docPr id="16" name="Frame16"/>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Market consolidation of large customers globally through mergers or acquisitions resulting in a larger proportion or concentration of our business being derived from fewer customers.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Disruptions in supplies of raw materials, particularly components used to manufacture our silicone hydrogel lenses.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Legal costs, insurance expenses, settlement costs and the risk of an adverse decision, prohibitive injunction or settlement related to product liability, patent infringement, contractual disputes, or other litigation.</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Limitations on sales following product introductions due to poor market acceptance.</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New competitors, product innovations or technologies, including but not limited to, technological advances by competitors, new products and patents attained by competitors, and competitors' expansion through acquisitions.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Reduced sales, loss of customers, reputational harm and costs and expenses, including from claims and litigation related to product recalls and warning letters.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Failure to receive, or delays in receiving, regulatory approvals or certifications for products.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Failure of our customers and end users to obtain adequate coverage and reimbursement from third-party payers for our products and services.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The requirement to provide for a significant liability or to write off, or accelerate depreciation on, a significant asset, including goodwill, other intangible assets and idle manufacturing facilities and equipment.</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The success of our research and development activities and other start-up projects.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Dilution to earnings per share from acquisitions or issuing stock.</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Impact and costs incurred from changes in accounting standards and policies.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Risks related to environmental laws and requirements applicable to our facilities, products or manufacturing processes, including evolving regulations regarding the use of hazardous substances or chemicals in our products.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Risks related to environmental, social and corporate governance issues, including those related to regulatory and disclosure requirements, climate change and sustainability.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Other events described in our Securities and Exchange Commission filings, including the “Business” and “Risk Factors” sections in our Annual Report on Form 10-K for the fiscal year ended October 31, 2025, as such Risk Factors may be updated in quarterly filings including updates made in this filing.</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caution investors that forward-looking statements reflect our analysis only on their stated date. We disclaim any intent to update them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9065"/>
                <wp:effectExtent l="0" t="0" r="0" b="0"/>
                <wp:wrapNone/>
                <wp:docPr id="17" name="Frame17"/>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Results of Operations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this section, we discuss the results of our operations for the first quarter of fiscal 2026 ended January 31, 2026, compared with the same period of fiscal 2025.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Outlook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and disruptions, such as the impact of tariffs. These risks and uncertainties have adversely affected our sales, cash flow and performance in the past and could further adversely affect our future sales, cash flow and performance.</w:t>
      </w:r>
    </w:p>
    <w:p>
      <w:pPr>
        <w:pStyle w:val="TextBody"/>
        <w:bidi w:val="0"/>
        <w:spacing w:lineRule="auto" w:line="288" w:before="180" w:after="283"/>
        <w:jc w:val="left"/>
        <w:rPr/>
      </w:pPr>
      <w:r>
        <w:rPr>
          <w:rFonts w:ascii="Times New Roman;serif" w:hAnsi="Times New Roman;serif"/>
          <w:b w:val="false"/>
          <w:i/>
          <w:color w:val="000000"/>
          <w:sz w:val="19"/>
        </w:rPr>
        <w:t>CooperVision</w:t>
      </w:r>
      <w:r>
        <w:rPr>
          <w:color w:val="000000"/>
        </w:rPr>
        <w:t xml:space="preserve"> </w:t>
      </w:r>
      <w:r>
        <w:rPr>
          <w:rFonts w:ascii="Times New Roman;serif" w:hAnsi="Times New Roman;serif"/>
          <w:b w:val="false"/>
          <w:color w:val="000000"/>
          <w:sz w:val="19"/>
        </w:rPr>
        <w:t xml:space="preserve">- We compete in the worldwide contact lens market with our spherical, toric, multifocal and toric multifocal contact lenses offered in materials like 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received Chinese National Medical Products Administration approval for use of the MiSight 1 day lens in China and received Japanese Ministry of Health, Labour and Welfare approval for use of the MiSight 1 day lens in Japan. CooperVision is focused on greater worldwide market penetration using recently introduced products, and we continue to expand our presence in existing and emerging markets, including through acquisitions. </w:t>
      </w:r>
    </w:p>
    <w:p>
      <w:pPr>
        <w:pStyle w:val="TextBody"/>
        <w:bidi w:val="0"/>
        <w:spacing w:lineRule="auto" w:line="288" w:before="180" w:after="283"/>
        <w:jc w:val="left"/>
        <w:rPr/>
      </w:pPr>
      <w:r>
        <w:rPr>
          <w:rFonts w:ascii="Times New Roman;serif" w:hAnsi="Times New Roman;serif"/>
          <w:b w:val="false"/>
          <w:color w:val="000000"/>
          <w:sz w:val="19"/>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w:t>
      </w:r>
      <w:r>
        <w:rPr>
          <w:color w:val="000000"/>
        </w:rPr>
        <w:t xml:space="preserve"> </w:t>
      </w:r>
      <w:r>
        <w:rPr>
          <w:rFonts w:ascii="Times New Roman;serif" w:hAnsi="Times New Roman;serif"/>
          <w:b w:val="false"/>
          <w:color w:val="000000"/>
          <w:sz w:val="19"/>
        </w:rPr>
        <w:t>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pStyle w:val="TextBody"/>
        <w:bidi w:val="0"/>
        <w:spacing w:lineRule="auto" w:line="288" w:before="180" w:after="283"/>
        <w:jc w:val="left"/>
        <w:rPr/>
      </w:pPr>
      <w:r>
        <w:rPr>
          <w:rFonts w:ascii="Times New Roman;serif" w:hAnsi="Times New Roman;serif"/>
          <w:b w:val="false"/>
          <w:i/>
          <w:color w:val="000000"/>
          <w:sz w:val="19"/>
        </w:rPr>
        <w:t>CooperSurgical -</w:t>
      </w:r>
      <w:r>
        <w:rPr>
          <w:color w:val="000000"/>
        </w:rPr>
        <w:t xml:space="preserve"> </w:t>
      </w:r>
      <w:r>
        <w:rPr>
          <w:rFonts w:ascii="Times New Roman;serif" w:hAnsi="Times New Roman;serif"/>
          <w:b w:val="false"/>
          <w:color w:val="000000"/>
          <w:sz w:val="19"/>
        </w:rPr>
        <w:t xml:space="preserve">Our CooperSurgical business competes in the fertility and women's health care market through its diversified portfolio of products and services, 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9065"/>
                <wp:effectExtent l="0" t="0" r="0" b="0"/>
                <wp:wrapNone/>
                <wp:docPr id="18" name="Frame18"/>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Net Sales</w:t>
      </w:r>
    </w:p>
    <w:p>
      <w:pPr>
        <w:pStyle w:val="TextBody"/>
        <w:bidi w:val="0"/>
        <w:spacing w:before="100" w:after="283"/>
        <w:jc w:val="center"/>
        <w:rPr/>
      </w:pPr>
      <w:r>
        <w:rPr/>
        <w:drawing>
          <wp:inline distT="0" distB="0" distL="0" distR="0">
            <wp:extent cx="3095625" cy="241935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3095625" cy="2419350"/>
                    </a:xfrm>
                    <a:prstGeom prst="rect">
                      <a:avLst/>
                    </a:prstGeom>
                  </pic:spPr>
                </pic:pic>
              </a:graphicData>
            </a:graphic>
          </wp:inline>
        </w:drawing>
      </w:r>
      <w:bookmarkStart w:id="1" w:name="i-1"/>
      <w:bookmarkEnd w:id="1"/>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contact lens market has two major product categories: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Spherical lenses, including lenses that correct near- and farsightedness uncomplicated by more complex visual defects, myopia management lenses, which slow the progression of and correct myopia in age-appropriate children, and other specialty lenses.</w:t>
      </w:r>
    </w:p>
    <w:p>
      <w:pPr>
        <w:pStyle w:val="TextBody"/>
        <w:bidi w:val="0"/>
        <w:spacing w:lineRule="auto" w:line="288" w:before="180" w:after="283"/>
        <w:jc w:val="left"/>
        <w:rPr>
          <w:rFonts w:ascii="Times New Roman;serif" w:hAnsi="Times New Roman;serif"/>
          <w:b/>
          <w:color w:val="000000"/>
          <w:sz w:val="19"/>
          <w:shd w:fill="FFFFFF" w:val="clear"/>
        </w:rPr>
      </w:pPr>
      <w:r>
        <w:rPr>
          <w:rFonts w:ascii="Times New Roman;serif" w:hAnsi="Times New Roman;serif"/>
          <w:b/>
          <w:color w:val="000000"/>
          <w:sz w:val="19"/>
          <w:shd w:fill="FFFFFF" w:val="clear"/>
        </w:rPr>
        <w:t>CooperVision Net Sales by Category</w:t>
      </w:r>
    </w:p>
    <w:p>
      <w:pPr>
        <w:pStyle w:val="TextBody"/>
        <w:bidi w:val="0"/>
        <w:spacing w:before="100" w:after="283"/>
        <w:jc w:val="center"/>
        <w:rPr/>
      </w:pPr>
      <w:r>
        <w:rPr/>
        <w:drawing>
          <wp:inline distT="0" distB="0" distL="0" distR="0">
            <wp:extent cx="2857500" cy="272415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2857500" cy="2724150"/>
                    </a:xfrm>
                    <a:prstGeom prst="rect">
                      <a:avLst/>
                    </a:prstGeom>
                  </pic:spPr>
                </pic:pic>
              </a:graphicData>
            </a:graphic>
          </wp:inline>
        </w:drawing>
      </w:r>
      <w:bookmarkStart w:id="2" w:name="i-2"/>
      <w:bookmarkEnd w:id="2"/>
      <w:r>
        <w:rPr/>
        <w:drawing>
          <wp:inline distT="0" distB="0" distL="0" distR="0">
            <wp:extent cx="2857500" cy="272415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2857500" cy="2724150"/>
                    </a:xfrm>
                    <a:prstGeom prst="rect">
                      <a:avLst/>
                    </a:prstGeom>
                  </pic:spPr>
                </pic:pic>
              </a:graphicData>
            </a:graphic>
          </wp:inline>
        </w:drawing>
      </w:r>
      <w:bookmarkStart w:id="3" w:name="i-3"/>
      <w:bookmarkEnd w:id="3"/>
    </w:p>
    <w:tbl>
      <w:tblPr>
        <w:tblW w:w="6957" w:type="dxa"/>
        <w:jc w:val="center"/>
        <w:tblInd w:w="0" w:type="dxa"/>
        <w:tblLayout w:type="fixed"/>
        <w:tblCellMar>
          <w:top w:w="28" w:type="dxa"/>
          <w:left w:w="28" w:type="dxa"/>
          <w:bottom w:w="28" w:type="dxa"/>
          <w:right w:w="28" w:type="dxa"/>
        </w:tblCellMar>
      </w:tblPr>
      <w:tblGrid>
        <w:gridCol w:w="1068"/>
        <w:gridCol w:w="941"/>
        <w:gridCol w:w="945"/>
        <w:gridCol w:w="109"/>
        <w:gridCol w:w="211"/>
        <w:gridCol w:w="616"/>
        <w:gridCol w:w="109"/>
        <w:gridCol w:w="109"/>
        <w:gridCol w:w="109"/>
        <w:gridCol w:w="109"/>
        <w:gridCol w:w="109"/>
        <w:gridCol w:w="211"/>
        <w:gridCol w:w="616"/>
        <w:gridCol w:w="109"/>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Toric and multifocal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Sphere, other</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tbl>
      <w:tblPr>
        <w:tblW w:w="224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9065"/>
                <wp:effectExtent l="0" t="0" r="0" b="0"/>
                <wp:wrapNone/>
                <wp:docPr id="22" name="Frame19"/>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 the three months ended January 31, 2026, the growth experienced across all categories was positively impacted by favorable foreign exchange rate fluctuations of approximately $28.1 million.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Toric and multifocal grew primarily through the success of MyDay and Biofinity.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Sphere, other grew primarily through MiSight, Biofinity, and MyDay.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 xml:space="preserve">"Other" products represented less than 1% of net sales in the three months ended January 31, 2026 and 2025, respectively.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CooperVision Net Sales by Geography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 competes in the worldwide soft contact lens market and services in three primary regions: the Americas, EMEA (Europe, Middle East and Africa) and Asia Pacific.</w:t>
      </w:r>
    </w:p>
    <w:tbl>
      <w:tblPr>
        <w:tblW w:w="7180" w:type="dxa"/>
        <w:jc w:val="left"/>
        <w:tblInd w:w="0" w:type="dxa"/>
        <w:tblLayout w:type="fixed"/>
        <w:tblCellMar>
          <w:top w:w="28" w:type="dxa"/>
          <w:left w:w="28" w:type="dxa"/>
          <w:bottom w:w="28" w:type="dxa"/>
          <w:right w:w="28" w:type="dxa"/>
        </w:tblCellMar>
      </w:tblPr>
      <w:tblGrid>
        <w:gridCol w:w="873"/>
        <w:gridCol w:w="769"/>
        <w:gridCol w:w="772"/>
        <w:gridCol w:w="109"/>
        <w:gridCol w:w="109"/>
        <w:gridCol w:w="109"/>
        <w:gridCol w:w="211"/>
        <w:gridCol w:w="616"/>
        <w:gridCol w:w="109"/>
        <w:gridCol w:w="109"/>
        <w:gridCol w:w="109"/>
        <w:gridCol w:w="109"/>
        <w:gridCol w:w="211"/>
        <w:gridCol w:w="616"/>
        <w:gridCol w:w="109"/>
        <w:gridCol w:w="109"/>
        <w:gridCol w:w="109"/>
        <w:gridCol w:w="109"/>
        <w:gridCol w:w="269"/>
        <w:gridCol w:w="269"/>
        <w:gridCol w:w="676"/>
        <w:gridCol w:w="109"/>
        <w:gridCol w:w="109"/>
        <w:gridCol w:w="109"/>
        <w:gridCol w:w="109"/>
        <w:gridCol w:w="109"/>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CooperVision's growth in net sales in the Americas and EMEA was primarily attributable to market gains of silicone hydrogel contact lenses. The growth in EMEA was positively impacted by favorable foreign exchange rate fluctuations. Refer to CooperVision Net Sales by Category above for further discussion.</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 xml:space="preserve">CooperSurgical Net Sales </w:t>
      </w:r>
    </w:p>
    <w:p>
      <w:pPr>
        <w:pStyle w:val="TextBody"/>
        <w:bidi w:val="0"/>
        <w:spacing w:lineRule="auto" w:line="288" w:before="180" w:after="283"/>
        <w:jc w:val="left"/>
        <w:rPr/>
      </w:pPr>
      <w:r>
        <w:rPr>
          <w:rFonts w:ascii="Times New Roman;serif" w:hAnsi="Times New Roman;serif"/>
          <w:b w:val="false"/>
          <w:color w:val="000000"/>
          <w:sz w:val="19"/>
        </w:rPr>
        <w:t>CooperSurgical supplies the fertility and women's heal</w:t>
      </w:r>
      <w:r>
        <w:rPr>
          <w:rFonts w:ascii="Times New Roman;serif" w:hAnsi="Times New Roman;serif"/>
          <w:b w:val="false"/>
          <w:color w:val="000000"/>
          <w:sz w:val="19"/>
          <w:shd w:fill="FFFFFF" w:val="clear"/>
        </w:rPr>
        <w:t>th care market with a diversified portfolio of products and services in two categories: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Fertility offerings include highly specialized products and services that target the in vitro fertilization process, including diagnostics testing with a goal to make fertility treatment safer, more efficient and convenient. This includes fertility consumables and equipment, donor gamete services, and genomic services (including genetic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9065"/>
                <wp:effectExtent l="0" t="0" r="0" b="0"/>
                <wp:wrapNone/>
                <wp:docPr id="23" name="Frame20"/>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CooperSurgical Net Sales by Category</w:t>
      </w:r>
    </w:p>
    <w:p>
      <w:pPr>
        <w:pStyle w:val="TextBody"/>
        <w:bidi w:val="0"/>
        <w:spacing w:before="100" w:after="283"/>
        <w:jc w:val="center"/>
        <w:rPr/>
      </w:pPr>
      <w:r>
        <w:rPr/>
        <w:drawing>
          <wp:inline distT="0" distB="0" distL="0" distR="0">
            <wp:extent cx="2857500" cy="272415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2857500" cy="2724150"/>
                    </a:xfrm>
                    <a:prstGeom prst="rect">
                      <a:avLst/>
                    </a:prstGeom>
                  </pic:spPr>
                </pic:pic>
              </a:graphicData>
            </a:graphic>
          </wp:inline>
        </w:drawing>
      </w:r>
      <w:bookmarkStart w:id="4" w:name="i-4"/>
      <w:bookmarkEnd w:id="4"/>
      <w:r>
        <w:rPr/>
        <w:drawing>
          <wp:inline distT="0" distB="0" distL="0" distR="0">
            <wp:extent cx="2876550" cy="27432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2876550" cy="2743200"/>
                    </a:xfrm>
                    <a:prstGeom prst="rect">
                      <a:avLst/>
                    </a:prstGeom>
                  </pic:spPr>
                </pic:pic>
              </a:graphicData>
            </a:graphic>
          </wp:inline>
        </w:drawing>
      </w:r>
      <w:bookmarkStart w:id="5" w:name="i-5"/>
      <w:bookmarkEnd w:id="5"/>
    </w:p>
    <w:tbl>
      <w:tblPr>
        <w:tblW w:w="6957" w:type="dxa"/>
        <w:jc w:val="left"/>
        <w:tblInd w:w="0" w:type="dxa"/>
        <w:tblLayout w:type="fixed"/>
        <w:tblCellMar>
          <w:top w:w="28" w:type="dxa"/>
          <w:left w:w="28" w:type="dxa"/>
          <w:bottom w:w="28" w:type="dxa"/>
          <w:right w:w="28" w:type="dxa"/>
        </w:tblCellMar>
      </w:tblPr>
      <w:tblGrid>
        <w:gridCol w:w="1068"/>
        <w:gridCol w:w="941"/>
        <w:gridCol w:w="945"/>
        <w:gridCol w:w="109"/>
        <w:gridCol w:w="211"/>
        <w:gridCol w:w="616"/>
        <w:gridCol w:w="109"/>
        <w:gridCol w:w="109"/>
        <w:gridCol w:w="109"/>
        <w:gridCol w:w="109"/>
        <w:gridCol w:w="211"/>
        <w:gridCol w:w="616"/>
        <w:gridCol w:w="109"/>
        <w:gridCol w:w="109"/>
        <w:gridCol w:w="109"/>
        <w:gridCol w:w="109"/>
        <w:gridCol w:w="269"/>
        <w:gridCol w:w="269"/>
        <w:gridCol w:w="67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Office and surgical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Fertility</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the three months ended January 31, 2026, office and surgical net sales increased primarily due to increased sales of surgical products, partially offset by a decrease in revenue of Paragard contraceptive intrauterine devices. Fertility net sales increased primarily due to an increase in revenue from consumable products.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Gross Margin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Consolidated gross margin remained flat at 68% for both the three months ended January 31, 2026 and January 31, 2025.</w:t>
      </w:r>
    </w:p>
    <w:p>
      <w:pPr>
        <w:pStyle w:val="TextBody"/>
        <w:bidi w:val="0"/>
        <w:spacing w:lineRule="auto" w:line="288" w:before="180" w:after="180"/>
        <w:jc w:val="left"/>
        <w:rPr>
          <w:rFonts w:ascii="Times New Roman;serif" w:hAnsi="Times New Roman;serif"/>
          <w:b/>
          <w:color w:val="000000"/>
          <w:sz w:val="19"/>
        </w:rPr>
      </w:pPr>
      <w:r>
        <w:rPr>
          <w:rFonts w:ascii="Times New Roman;serif" w:hAnsi="Times New Roman;serif"/>
          <w:b/>
          <w:color w:val="000000"/>
          <w:sz w:val="19"/>
        </w:rPr>
        <w:t xml:space="preserve">Selling, General and Administrative (SGA) Expenses </w:t>
      </w:r>
    </w:p>
    <w:tbl>
      <w:tblPr>
        <w:tblW w:w="994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CooperVision's SGA expenses increased in the three months ended January 31, 2026, compared to the three months ended January 31, 2025, primarily due to increased selling activities.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CooperSurgical's SGA expenses decreased in the three months ended January 31, 2026, compared to the three months ended January 31, 2025, primarily due to a decrease in headcount.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Corporate SGA expenses increased in the three months ended January 31, 2026, compared to the three months ended January 31, 2025, primarily due to an increase in share-based compensation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9065"/>
                <wp:effectExtent l="0" t="0" r="0" b="0"/>
                <wp:wrapNone/>
                <wp:docPr id="26" name="Frame2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 xml:space="preserve">Research and Development (R&amp;D) Expenses </w:t>
      </w:r>
    </w:p>
    <w:tbl>
      <w:tblPr>
        <w:tblW w:w="973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CooperVision's R&amp;D expenses were relatively flat in the three months ended January 31, 2026, compared to the three months ended January 31, 2025. CooperVision's R&amp;D activities are primarily focused on the development of contact lenses, manufacturing technology, and process enhancements.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CooperSurgical's R&amp;D expenses increased in the three months ended January 31, 2026, compared to the three months ended January 31, 2025, primarily due to an increase in R&amp;D project spend and pharmacovigilance related fees, partially offset by a decrease in MDR costs. CooperSurgical's R&amp;D activities are primarily focused on the development of surgical devices and fertility solutions, manufacturing technology, and process enhancements.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Amortization Expense</w:t>
      </w:r>
    </w:p>
    <w:tbl>
      <w:tblPr>
        <w:tblW w:w="9403" w:type="dxa"/>
        <w:jc w:val="left"/>
        <w:tblInd w:w="0" w:type="dxa"/>
        <w:tblLayout w:type="fixed"/>
        <w:tblCellMar>
          <w:top w:w="28" w:type="dxa"/>
          <w:left w:w="28" w:type="dxa"/>
          <w:bottom w:w="28" w:type="dxa"/>
          <w:right w:w="28" w:type="dxa"/>
        </w:tblCellMar>
      </w:tblPr>
      <w:tblGrid>
        <w:gridCol w:w="1068"/>
        <w:gridCol w:w="941"/>
        <w:gridCol w:w="945"/>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CooperVision's amortization expense decreased in the three months ended January 31, 2026, compared to the three months ended January 31, 2025, primarily due to certain intangible assets being fully amortized.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CooperSurgical's amortization expense decreased in the three months ended January 31, 2026, compared to the three months ended January 31, 2025, primarily due to certain intangible assets being fully amortized and the write-off of an intangible asset in fiscal 2025.</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 xml:space="preserve">Operating Income </w:t>
      </w:r>
    </w:p>
    <w:tbl>
      <w:tblPr>
        <w:tblW w:w="9613" w:type="dxa"/>
        <w:jc w:val="left"/>
        <w:tblInd w:w="0" w:type="dxa"/>
        <w:tblLayout w:type="fixed"/>
        <w:tblCellMar>
          <w:top w:w="28" w:type="dxa"/>
          <w:left w:w="28" w:type="dxa"/>
          <w:bottom w:w="28" w:type="dxa"/>
          <w:right w:w="28" w:type="dxa"/>
        </w:tblCellMar>
      </w:tblPr>
      <w:tblGrid>
        <w:gridCol w:w="1068"/>
        <w:gridCol w:w="941"/>
        <w:gridCol w:w="945"/>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CooperVision's operating income increased in the three months ended January 31, 2026, compared to the three months ended January 31, 2025, primarily due to the increase in net sales outpacing the increase in operating expenses.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CooperSurgical's operating income increased in the three months ended January 31, 2026, compared to the three months ended January 31, 2025, primarily due to the increase in net sales and the decrease in SGA and amortization expenses, partially offset by the increase in R&amp;D expenses.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Corporate operating loss increased in the three months ended January 31, 2026, compared to the three months ended January 31, 2025, primarily due to an increase in share-based compensation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9065"/>
                <wp:effectExtent l="0" t="0" r="0" b="0"/>
                <wp:wrapNone/>
                <wp:docPr id="27" name="Frame22"/>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Interest Expense</w:t>
      </w:r>
    </w:p>
    <w:tbl>
      <w:tblPr>
        <w:tblW w:w="9403" w:type="dxa"/>
        <w:jc w:val="left"/>
        <w:tblInd w:w="0" w:type="dxa"/>
        <w:tblLayout w:type="fixed"/>
        <w:tblCellMar>
          <w:top w:w="28" w:type="dxa"/>
          <w:left w:w="28" w:type="dxa"/>
          <w:bottom w:w="28" w:type="dxa"/>
          <w:right w:w="28" w:type="dxa"/>
        </w:tblCellMar>
      </w:tblPr>
      <w:tblGrid>
        <w:gridCol w:w="1068"/>
        <w:gridCol w:w="941"/>
        <w:gridCol w:w="945"/>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decreased during the three months ended January 31, 2026, compared to the three months ended January 31, 2025, primarily due to lower average debt balances.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Other (Income) Expense, Net</w:t>
      </w:r>
    </w:p>
    <w:tbl>
      <w:tblPr>
        <w:tblW w:w="5076" w:type="dxa"/>
        <w:jc w:val="left"/>
        <w:tblInd w:w="0" w:type="dxa"/>
        <w:tblLayout w:type="fixed"/>
        <w:tblCellMar>
          <w:top w:w="28" w:type="dxa"/>
          <w:left w:w="28" w:type="dxa"/>
          <w:bottom w:w="28" w:type="dxa"/>
          <w:right w:w="28" w:type="dxa"/>
        </w:tblCellMar>
      </w:tblPr>
      <w:tblGrid>
        <w:gridCol w:w="873"/>
        <w:gridCol w:w="769"/>
        <w:gridCol w:w="772"/>
        <w:gridCol w:w="109"/>
        <w:gridCol w:w="109"/>
        <w:gridCol w:w="109"/>
        <w:gridCol w:w="211"/>
        <w:gridCol w:w="481"/>
        <w:gridCol w:w="109"/>
        <w:gridCol w:w="109"/>
        <w:gridCol w:w="109"/>
        <w:gridCol w:w="109"/>
        <w:gridCol w:w="211"/>
        <w:gridCol w:w="406"/>
        <w:gridCol w:w="109"/>
        <w:gridCol w:w="109"/>
        <w:gridCol w:w="109"/>
        <w:gridCol w:w="109"/>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Foreign exchange loss decreased during the three months ended January 31, 2026, compared to the three months ended January 31, 2025 primarily due to movements of U.S. dollar against various foreign currencies and the effect on intercompany receivables and payables.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income, net increased in the three months ended January 31, 2026 compared to the three months ended January 31, 2025, primarily due to a gain in minority interest investments.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Provision for Income Taxes</w:t>
      </w:r>
    </w:p>
    <w:p>
      <w:pPr>
        <w:pStyle w:val="TextBody"/>
        <w:bidi w:val="0"/>
        <w:spacing w:lineRule="auto" w:line="276" w:before="180" w:after="283"/>
        <w:jc w:val="left"/>
        <w:rPr>
          <w:rFonts w:ascii="Times New Roman;serif" w:hAnsi="Times New Roman;serif"/>
          <w:b w:val="false"/>
          <w:color w:val="000000"/>
          <w:sz w:val="19"/>
        </w:rPr>
      </w:pPr>
      <w:r>
        <w:rPr>
          <w:rFonts w:ascii="Times New Roman;serif" w:hAnsi="Times New Roman;serif"/>
          <w:b w:val="false"/>
          <w:color w:val="000000"/>
          <w:sz w:val="19"/>
        </w:rPr>
        <w:t>The effective tax rates for the three months ended January 31, 2026 and January 31, 2025 were 31.9% and 32.0%, respectively. The decrease was primarily due to changes in the geographic composition of pre-tax earnings, primarily offset by increases related to unrecognized tax benefits and excess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9065"/>
                <wp:effectExtent l="0" t="0" r="0" b="0"/>
                <wp:wrapNone/>
                <wp:docPr id="28" name="Frame23"/>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Capital Resources and Liquidity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Working capital as of January 31, 2026 and October 31, 2025 was $538.1 million and $993.6 million, respectively. The decrease in working capital was primarily due to an increase in short-term debt, partially offset by a decrease in accounts payable.</w:t>
      </w:r>
    </w:p>
    <w:p>
      <w:pPr>
        <w:pStyle w:val="TextBody"/>
        <w:bidi w:val="0"/>
        <w:spacing w:lineRule="auto" w:line="288" w:before="180" w:after="283"/>
        <w:jc w:val="left"/>
        <w:rPr>
          <w:rFonts w:ascii="Times New Roman;serif" w:hAnsi="Times New Roman;serif"/>
          <w:b/>
          <w:color w:val="000000"/>
          <w:sz w:val="19"/>
          <w:shd w:fill="FFFFFF" w:val="clear"/>
        </w:rPr>
      </w:pPr>
      <w:r>
        <w:rPr>
          <w:rFonts w:ascii="Times New Roman;serif" w:hAnsi="Times New Roman;serif"/>
          <w:b/>
          <w:color w:val="000000"/>
          <w:sz w:val="19"/>
          <w:shd w:fill="FFFFFF" w:val="clear"/>
        </w:rPr>
        <w:t>Cash Flow</w:t>
      </w:r>
    </w:p>
    <w:tbl>
      <w:tblPr>
        <w:tblW w:w="8601" w:type="dxa"/>
        <w:jc w:val="left"/>
        <w:tblInd w:w="0" w:type="dxa"/>
        <w:tblLayout w:type="fixed"/>
        <w:tblCellMar>
          <w:top w:w="28" w:type="dxa"/>
          <w:left w:w="28" w:type="dxa"/>
          <w:bottom w:w="28" w:type="dxa"/>
          <w:right w:w="28" w:type="dxa"/>
        </w:tblCellMar>
      </w:tblPr>
      <w:tblGrid>
        <w:gridCol w:w="2180"/>
        <w:gridCol w:w="1921"/>
        <w:gridCol w:w="1929"/>
        <w:gridCol w:w="109"/>
        <w:gridCol w:w="109"/>
        <w:gridCol w:w="109"/>
        <w:gridCol w:w="211"/>
        <w:gridCol w:w="616"/>
        <w:gridCol w:w="109"/>
        <w:gridCol w:w="109"/>
        <w:gridCol w:w="109"/>
        <w:gridCol w:w="109"/>
        <w:gridCol w:w="211"/>
        <w:gridCol w:w="616"/>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 on cash, cash equivalents,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Operating Cash Flow</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Cash provided by operating activities in the first three months of fiscal 2026 increased compared to the first three months of fiscal 2025, primarily due to an increase in net income and net changes in operating capital. The net changes in operating capital included an increase in cash collection, a decrease in prepaid and other assets and a slower inventory build.</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Investing Cash Flow</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Cash used in investing activities in the first three months of fiscal 2026 increased compared to the first three months of fiscal 2025, primarily due to an increase in purchases of property, plant and equipment, partially offset by a decrease in spending on equity investments.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Financing Cash Flow</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Cash used in financing activities in the first three months of fiscal 2026 increased compared to the first three months of fiscal 2025, primarily due to the repurchase of common stock, partially offset by less net repayments on the revolving credit.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is a summary of the maximum commitments and the net amounts available to us under different credit facilities as of January 31, 2026:</w:t>
      </w:r>
    </w:p>
    <w:tbl>
      <w:tblPr>
        <w:tblW w:w="10205" w:type="dxa"/>
        <w:jc w:val="center"/>
        <w:tblInd w:w="0" w:type="dxa"/>
        <w:tblLayout w:type="fixed"/>
        <w:tblCellMar>
          <w:top w:w="28" w:type="dxa"/>
          <w:left w:w="28" w:type="dxa"/>
          <w:bottom w:w="28" w:type="dxa"/>
          <w:right w:w="28" w:type="dxa"/>
        </w:tblCellMar>
      </w:tblPr>
      <w:tblGrid>
        <w:gridCol w:w="569"/>
        <w:gridCol w:w="409"/>
        <w:gridCol w:w="408"/>
        <w:gridCol w:w="109"/>
        <w:gridCol w:w="109"/>
        <w:gridCol w:w="109"/>
        <w:gridCol w:w="226"/>
        <w:gridCol w:w="822"/>
        <w:gridCol w:w="116"/>
        <w:gridCol w:w="109"/>
        <w:gridCol w:w="109"/>
        <w:gridCol w:w="109"/>
        <w:gridCol w:w="300"/>
        <w:gridCol w:w="1092"/>
        <w:gridCol w:w="157"/>
        <w:gridCol w:w="109"/>
        <w:gridCol w:w="109"/>
        <w:gridCol w:w="109"/>
        <w:gridCol w:w="493"/>
        <w:gridCol w:w="952"/>
        <w:gridCol w:w="256"/>
        <w:gridCol w:w="109"/>
        <w:gridCol w:w="109"/>
        <w:gridCol w:w="109"/>
        <w:gridCol w:w="292"/>
        <w:gridCol w:w="1061"/>
        <w:gridCol w:w="150"/>
        <w:gridCol w:w="109"/>
        <w:gridCol w:w="109"/>
        <w:gridCol w:w="109"/>
        <w:gridCol w:w="387"/>
        <w:gridCol w:w="360"/>
        <w:gridCol w:w="520"/>
      </w:tblGrid>
      <w:tr>
        <w:trPr/>
        <w:tc>
          <w:tcPr>
            <w:tcW w:w="5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Facility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Outstanding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 Amount 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Maturity Date</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Revolving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2024 Revolving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May 1, 2029</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2021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December 17, 2026</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2,427.7 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1,367.0 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As of January 31, 2026, the Company was in compliance with all debt covenants. On May 1, 2024, the Company entered into a Revolving Credit Agreement (the 2024 Credit Agreement). The Company drew on the 2024 Credit Agreement to fully repay borrowings outstanding under the 2020 Term Loan and 2020 Revolving Credit Facility and terminated the 2020 Credit Agreement. See Note 4. Financing Arrangements of the Consolidated Condensed Financial Statements for further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have re-evaluated our operating cash flows and cash requirements and continue to believe that current cash, cash equivalents, future cash flow from operating activities and cash available under our 2024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for acquisitions, share repurchases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9065"/>
                <wp:effectExtent l="0" t="0" r="0" b="0"/>
                <wp:wrapNone/>
                <wp:docPr id="29" name="Frame24"/>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Share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2025, the authorization under the 2012 Share Repurchase Program was increased to $2.0 billion by the Company's Board of Directors. As of January 31, 2026, $873.9 million remains authorized for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During the three months ended January 31, 2026, the Company repurchased 1.1 million shares of its common stock for $92.5 million, at a weighted average price of $82.04 per share. There were no share repurchases during the three months ended January 31, 2025.</w:t>
      </w:r>
    </w:p>
    <w:p>
      <w:pPr>
        <w:pStyle w:val="TextBody"/>
        <w:bidi w:val="0"/>
        <w:spacing w:lineRule="auto" w:line="288" w:before="180" w:after="180"/>
        <w:jc w:val="left"/>
        <w:rPr>
          <w:rFonts w:ascii="Times New Roman;serif" w:hAnsi="Times New Roman;serif"/>
          <w:b/>
          <w:color w:val="000000"/>
          <w:sz w:val="19"/>
        </w:rPr>
      </w:pPr>
      <w:r>
        <w:rPr>
          <w:rFonts w:ascii="Times New Roman;serif" w:hAnsi="Times New Roman;serif"/>
          <w:b/>
          <w:color w:val="000000"/>
          <w:sz w:val="19"/>
        </w:rPr>
        <w:t>Contingencies</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On March 2, 2026, after the end of the reporting period, the U.K. FTT issued a decision that largely supports HMRC in the Company's dispute relating to payroll tax matters arising from the acquisition of the Sauflon Group in 2014. </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believes the FTT’s decision was incorrect and intends to appeal the FTT’s decision. Depending on the results of the appeal, the Company could prevail on some or all of the issues in dispute, which could result in an obligation to pay a portion or all of the assessed amounts, with an estimated loss ranging from £0 to £71.7 million, plus accrued interest. </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Any future payments required would impact the Company’s liquidity and cash flow in the period of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Estimates and Critical Accounting Policies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Information regarding estimates and critical accounting policies is included in Management's Discussion and Analysis in our Form 10-K for the fiscal year ended October 31, 2025. There have been no material changes in our policies from those previously discussed in our Form 10-K for the fiscal year ended October 31, 2025.</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 xml:space="preserve">Accounting Pronouncements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Information regarding new accounting pronouncements is included in Note 1. General of the Consolidated Condensed Financial Statements of this Quarterly Report on Form 10-Q.</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9065"/>
                <wp:effectExtent l="0" t="0" r="0" b="0"/>
                <wp:wrapNone/>
                <wp:docPr id="30" name="Frame25"/>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3. Quantitative and Qualitative Disclosure About Market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are exposed to market risks that relate principally to changes in interest rates and foreign currency fluctuations. We do not enter into derivative financial instrument transactions for speculative purposes.</w:t>
      </w:r>
    </w:p>
    <w:p>
      <w:pPr>
        <w:pStyle w:val="TextBody"/>
        <w:bidi w:val="0"/>
        <w:spacing w:lineRule="auto" w:line="288" w:before="180" w:after="283"/>
        <w:jc w:val="left"/>
        <w:rPr>
          <w:rFonts w:ascii="Times New Roman;serif" w:hAnsi="Times New Roman;serif"/>
          <w:b w:val="false"/>
          <w:i/>
          <w:color w:val="000000"/>
          <w:sz w:val="19"/>
        </w:rPr>
      </w:pPr>
      <w:r>
        <w:rPr>
          <w:rFonts w:ascii="Times New Roman;serif" w:hAnsi="Times New Roman;serif"/>
          <w:b w:val="false"/>
          <w:i/>
          <w:color w:val="000000"/>
          <w:sz w:val="19"/>
        </w:rPr>
        <w:t>Foreign Currency Exchange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At January 31, 2026, a uniform hypothetical 10% increase or decrease in the foreign currency exchange rates in comparison to the value of the U.S. dollar would have resulted in a corresponding increase or decrease of approximately $34.9 million in operating income for the fiscal quarter ended January 31, 2026. See Note 11. Financial Derivatives and Hedging of the Consolidated Condensed Financial Statements for further information.</w:t>
      </w:r>
    </w:p>
    <w:p>
      <w:pPr>
        <w:pStyle w:val="TextBody"/>
        <w:bidi w:val="0"/>
        <w:spacing w:lineRule="auto" w:line="288" w:before="180" w:after="283"/>
        <w:jc w:val="left"/>
        <w:rPr>
          <w:rFonts w:ascii="Times New Roman;serif" w:hAnsi="Times New Roman;serif"/>
          <w:b w:val="false"/>
          <w:i/>
          <w:color w:val="000000"/>
          <w:sz w:val="19"/>
        </w:rPr>
      </w:pPr>
      <w:r>
        <w:rPr>
          <w:rFonts w:ascii="Times New Roman;serif" w:hAnsi="Times New Roman;serif"/>
          <w:b w:val="false"/>
          <w:i/>
          <w:color w:val="000000"/>
          <w:sz w:val="19"/>
        </w:rPr>
        <w:t>Interest Rate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are exposed to risks associated with changes in interest rates. Net of interest rate swaps, the majority of our total indebtedness remains subject to US-based variable interest rate risk tied to changes in the federal funds rate and SOFR. We have entered, and in the future may enter, into interest rate swaps to manage interest rate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first quarter of fiscal 2026. See Note 4. Financing Arrangements of the Consolidated Condensed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4. Controls and Procedures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Evaluation of Disclosure Controls and Procedures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as of January 31, 2026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Changes in Internal Control over Financial Reporting</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There have been no changes in our internal control over financial reporting identified in connection with the evaluation required by Rules 13a-15(d) and 15d-15(d) of the Exchange Act during our first quarter of fiscal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9065"/>
                <wp:effectExtent l="0" t="0" r="0" b="0"/>
                <wp:wrapNone/>
                <wp:docPr id="31" name="Frame26"/>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26</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1. Legal Proceedings</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On March 2, 2026, the U.K. FTT issued a decision that largely supports HMRC in the Company’s dispute regarding payroll tax matters arising from the acquisition of the Sauflon Group in 2014. </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believes the FTT’s decision was incorrect and intends to appeal the FTT’s decision. Depending on the results of the appeal, the Company could prevail on some or all of the issues in dispute, which could result in an obligation to pay a portion or all of the assessed amounts, with an estimated loss ranging from £0 to £71.7 million, plus accrued interest. </w:t>
      </w:r>
    </w:p>
    <w:p>
      <w:pPr>
        <w:pStyle w:val="TextBody"/>
        <w:bidi w:val="0"/>
        <w:spacing w:lineRule="auto" w:line="276" w:before="0" w:after="180"/>
        <w:jc w:val="left"/>
        <w:rPr>
          <w:rFonts w:ascii="Times New Roman;serif" w:hAnsi="Times New Roman;serif"/>
          <w:b w:val="false"/>
          <w:color w:val="000000"/>
          <w:sz w:val="19"/>
        </w:rPr>
      </w:pPr>
      <w:r>
        <w:rPr>
          <w:rFonts w:ascii="Times New Roman;serif" w:hAnsi="Times New Roman;serif"/>
          <w:b w:val="false"/>
          <w:color w:val="000000"/>
          <w:sz w:val="19"/>
        </w:rPr>
        <w:t>Refer to Note 9 – Commitments and Contingencies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1A. Risk Factors</w:t>
      </w:r>
    </w:p>
    <w:p>
      <w:pPr>
        <w:pStyle w:val="TextBody"/>
        <w:bidi w:val="0"/>
        <w:spacing w:lineRule="auto" w:line="288" w:before="180" w:after="283"/>
        <w:jc w:val="left"/>
        <w:rPr>
          <w:rFonts w:ascii="Times New Roman;serif" w:hAnsi="Times New Roman;serif"/>
          <w:b w:val="false"/>
          <w:i/>
          <w:color w:val="000000"/>
          <w:sz w:val="19"/>
        </w:rPr>
      </w:pPr>
      <w:r>
        <w:rPr>
          <w:rFonts w:ascii="Times New Roman;serif" w:hAnsi="Times New Roman;serif"/>
          <w:b w:val="false"/>
          <w:i/>
          <w:color w:val="000000"/>
          <w:sz w:val="19"/>
        </w:rPr>
        <w:t>Our business faces significant risks. These risks include those referenced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pStyle w:val="TextBody"/>
        <w:bidi w:val="0"/>
        <w:spacing w:lineRule="auto" w:line="288" w:before="180" w:after="283"/>
        <w:jc w:val="left"/>
        <w:rPr/>
      </w:pPr>
      <w:r>
        <w:rPr>
          <w:rFonts w:ascii="Times New Roman;serif" w:hAnsi="Times New Roman;serif"/>
          <w:b w:val="false"/>
          <w:color w:val="000000"/>
          <w:sz w:val="19"/>
        </w:rPr>
        <w:t>Risk factors describing the major risks to our business can be found under Item 1A. Risk Factors in our Annual Report on Form 1</w:t>
      </w:r>
      <w:r>
        <w:rPr>
          <w:rFonts w:ascii="Times New Roman;serif" w:hAnsi="Times New Roman;serif"/>
          <w:b w:val="false"/>
          <w:color w:val="000000"/>
          <w:sz w:val="19"/>
          <w:shd w:fill="FFFFFF" w:val="clear"/>
        </w:rPr>
        <w:t xml:space="preserve">0-K for the fiscal year ended October 31, 2025. </w:t>
      </w:r>
      <w:r>
        <w:rPr>
          <w:rFonts w:ascii="Times New Roman;serif" w:hAnsi="Times New Roman;serif"/>
          <w:b w:val="false"/>
          <w:color w:val="000000"/>
          <w:sz w:val="19"/>
        </w:rPr>
        <w:t xml:space="preserve">There have been no material changes to the risk factors previously disclosed in our Annual Report on Form 10-K for the fiscal year ended </w:t>
      </w:r>
      <w:r>
        <w:rPr>
          <w:rFonts w:ascii="Times New Roman;serif" w:hAnsi="Times New Roman;serif"/>
          <w:b w:val="false"/>
          <w:color w:val="000000"/>
          <w:sz w:val="19"/>
          <w:shd w:fill="FFFFFF" w:val="clear"/>
        </w:rPr>
        <w:t>October 31, 2025</w:t>
      </w:r>
      <w:r>
        <w:rPr>
          <w:rFonts w:ascii="Times New Roman;serif" w:hAnsi="Times New Roman;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2. Unregistered Sales of Equity Securities and Use of Proceeds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2025, the authorization under the 2012 Share Repurchase Program was increased to $2.0 billion by the Company's Board of Directors. As of January 31, 2026, $873.9 million remains authorized for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table provides information about the shares repurchased by the Company for the three months ended January 31, 2026:</w:t>
      </w:r>
    </w:p>
    <w:tbl>
      <w:tblPr>
        <w:tblW w:w="10205" w:type="dxa"/>
        <w:jc w:val="left"/>
        <w:tblInd w:w="0" w:type="dxa"/>
        <w:tblLayout w:type="fixed"/>
        <w:tblCellMar>
          <w:top w:w="28" w:type="dxa"/>
          <w:left w:w="28" w:type="dxa"/>
          <w:bottom w:w="28" w:type="dxa"/>
          <w:right w:w="28" w:type="dxa"/>
        </w:tblCellMar>
      </w:tblPr>
      <w:tblGrid>
        <w:gridCol w:w="552"/>
        <w:gridCol w:w="487"/>
        <w:gridCol w:w="491"/>
        <w:gridCol w:w="109"/>
        <w:gridCol w:w="109"/>
        <w:gridCol w:w="109"/>
        <w:gridCol w:w="585"/>
        <w:gridCol w:w="486"/>
        <w:gridCol w:w="488"/>
        <w:gridCol w:w="109"/>
        <w:gridCol w:w="109"/>
        <w:gridCol w:w="109"/>
        <w:gridCol w:w="297"/>
        <w:gridCol w:w="889"/>
        <w:gridCol w:w="153"/>
        <w:gridCol w:w="109"/>
        <w:gridCol w:w="109"/>
        <w:gridCol w:w="109"/>
        <w:gridCol w:w="815"/>
        <w:gridCol w:w="739"/>
        <w:gridCol w:w="741"/>
        <w:gridCol w:w="109"/>
        <w:gridCol w:w="109"/>
        <w:gridCol w:w="109"/>
        <w:gridCol w:w="465"/>
        <w:gridCol w:w="1360"/>
        <w:gridCol w:w="349"/>
      </w:tblGrid>
      <w:tr>
        <w:trPr/>
        <w:tc>
          <w:tcPr>
            <w:tcW w:w="5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 number of shares purchased</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Total number of shares purchased as part of publicly announced plan </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Approximate dollar</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value of shares that may yet be purchased under the plan </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(in millions)</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December 1, 2025 to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287.6 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287.6 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943.0 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January 1, 2026 to January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839.0 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839.0 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873.9 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1,126.6</w:t>
            </w:r>
            <w:r>
              <w:rPr>
                <w:color w:val="000000"/>
              </w:rPr>
              <w:t> </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82.04</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1,126.6</w:t>
            </w:r>
            <w:r>
              <w:rPr>
                <w:color w:val="000000"/>
              </w:rPr>
              <w:t> </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3. Defaults Upon Senior Securities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4. Mine Safety Disclosures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5. Other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During the three months ended January 31, 2026, no director or officer of the Company adopted, terminated or modified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9065"/>
                <wp:effectExtent l="0" t="0" r="0" b="0"/>
                <wp:wrapNone/>
                <wp:docPr id="32" name="Frame27"/>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27</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281"/>
        <w:gridCol w:w="2018"/>
        <w:gridCol w:w="2024"/>
        <w:gridCol w:w="261"/>
        <w:gridCol w:w="197"/>
        <w:gridCol w:w="151"/>
        <w:gridCol w:w="261"/>
        <w:gridCol w:w="261"/>
        <w:gridCol w:w="219"/>
        <w:gridCol w:w="273"/>
        <w:gridCol w:w="273"/>
        <w:gridCol w:w="181"/>
        <w:gridCol w:w="288"/>
        <w:gridCol w:w="288"/>
        <w:gridCol w:w="41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Incorporated by Reference</w:t>
            </w:r>
          </w:p>
        </w:tc>
        <w:tc>
          <w:tcPr>
            <w:tcW w:w="9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Filed 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Exhibit</w:t>
            </w:r>
          </w:p>
          <w:p>
            <w:pPr>
              <w:pStyle w:val="TableContents"/>
              <w:bidi w:val="0"/>
              <w:spacing w:lineRule="auto" w:line="240" w:before="0" w:after="0"/>
              <w:jc w:val="left"/>
              <w:rPr>
                <w:rFonts w:ascii="Times New Roman;serif" w:hAnsi="Times New Roman;serif"/>
                <w:b/>
                <w:color w:val="000000"/>
                <w:sz w:val="19"/>
                <w:u w:val="single"/>
              </w:rPr>
            </w:pPr>
            <w:r>
              <w:rPr>
                <w:rFonts w:ascii="Times New Roman;serif" w:hAnsi="Times New Roman;serif"/>
                <w:b/>
                <w:color w:val="000000"/>
                <w:sz w:val="19"/>
                <w:u w:val="single"/>
              </w:rPr>
              <w:t>Number</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u w:val="single"/>
              </w:rPr>
            </w:pPr>
            <w:r>
              <w:rPr>
                <w:rFonts w:ascii="Times New Roman;serif" w:hAnsi="Times New Roman;serif"/>
                <w:b/>
                <w:color w:val="000000"/>
                <w:sz w:val="19"/>
                <w:u w:val="single"/>
              </w:rPr>
              <w:t>Description of Document</w:t>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Form</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Exhibit</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Filing Date/</w:t>
              <w:br/>
              <w:t>Period End</w:t>
              <w:br/>
              <w:t>Date</w:t>
            </w:r>
          </w:p>
        </w:tc>
        <w:tc>
          <w:tcPr>
            <w:tcW w:w="9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9"/>
                  <w:u w:val="single"/>
                </w:rPr>
                <w:t>Letter Agreement, by and between The Cooper Companies, Inc. and Browning West, LP, dated December 22, 2025.</w:t>
              </w:r>
            </w:hyperlink>
          </w:p>
        </w:tc>
        <w:tc>
          <w:tcPr>
            <w:tcW w:w="6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12/23/2025</w:t>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10.2</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9"/>
                  <w:u w:val="single"/>
                </w:rPr>
                <w:t>Amendment No. 3 to Term Loan Agreement, among the Company, the subsidiary guarantors party thereto and PNC Bank, National Association, as administrative agent.</w:t>
              </w:r>
            </w:hyperlink>
          </w:p>
        </w:tc>
        <w:tc>
          <w:tcPr>
            <w:tcW w:w="6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2/4/2026</w:t>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10.3</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9"/>
                  <w:u w:val="single"/>
                </w:rPr>
                <w:t>Amendment No. 1 to Revolving Credit Agreement, among the Company and CooperVision International Limited, as the borrowers, the subsidiary guarantors party thereto, the lenders party thereto and PNC, as administrative agent.</w:t>
              </w:r>
            </w:hyperlink>
          </w:p>
        </w:tc>
        <w:tc>
          <w:tcPr>
            <w:tcW w:w="6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10.2</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2/4/2026</w:t>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31.1</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1_2026x01x31x10q.htm">
              <w:r>
                <w:rPr>
                  <w:rStyle w:val="InternetLink"/>
                  <w:rFonts w:ascii="Times New Roman;serif" w:hAnsi="Times New Roman;serif"/>
                  <w:b w:val="false"/>
                  <w:color w:val="0000FF"/>
                  <w:sz w:val="19"/>
                  <w:u w:val="single"/>
                </w:rPr>
                <w:t>Certification of the Chief Executive Officer, pursuant to Rule 13a-14(a) under the Securities Exchange Act of 1934</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31.2</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2_2026x01x31x10q.htm">
              <w:r>
                <w:rPr>
                  <w:rStyle w:val="InternetLink"/>
                  <w:rFonts w:ascii="Times New Roman;serif" w:hAnsi="Times New Roman;serif"/>
                  <w:b w:val="false"/>
                  <w:color w:val="0000FF"/>
                  <w:sz w:val="19"/>
                  <w:u w:val="single"/>
                </w:rPr>
                <w:t>Certification of the Chief Financial Officer, pursuant to Rule 13a-14(a) under the Securities Exchange Act of 1934</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32.1*</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1_2026x01x31x10q.htm">
              <w:r>
                <w:rPr>
                  <w:rStyle w:val="InternetLink"/>
                  <w:rFonts w:ascii="Times New Roman;serif" w:hAnsi="Times New Roman;serif"/>
                  <w:b w:val="false"/>
                  <w:color w:val="0000FF"/>
                  <w:sz w:val="19"/>
                  <w:u w:val="single"/>
                </w:rPr>
                <w:t>Certification of the Chief Executive Officer, pursuant to 18 U.S.C. Section 1350</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32.2*</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2_2026x01x31x10q.htm">
              <w:r>
                <w:rPr>
                  <w:rStyle w:val="InternetLink"/>
                  <w:rFonts w:ascii="Times New Roman;serif" w:hAnsi="Times New Roman;serif"/>
                  <w:b w:val="false"/>
                  <w:color w:val="0000FF"/>
                  <w:sz w:val="19"/>
                  <w:u w:val="single"/>
                </w:rPr>
                <w:t>Certification of the Chief Financial Officer, pursuant to 18 U.S.C. Section 1350</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101.1</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The following materials from the Company's Quarterly Report on Form 10-Q for the three months period ended January 31, 2026 formatted in Inline XBRL (Extensible Business Reporting Language): (i) Consolidated Condensed Statements of Income and Comprehensive Income, (ii) Consolidated Condensed Balance Sheets, (iii) Consolidated Condensed Statements of Stockholders' Equity, (iv) Consolidated Condensed Statements of Cash Flows and (v) related Notes to Consolidated Condensed Financial Statements.</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104.1</w:t>
            </w:r>
          </w:p>
        </w:tc>
        <w:tc>
          <w:tcPr>
            <w:tcW w:w="6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(embedded within the Inline XBRL document)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Furnished herewith</w:t>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9065"/>
                <wp:effectExtent l="0" t="0" r="0" b="0"/>
                <wp:wrapNone/>
                <wp:docPr id="33" name="Frame28"/>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28</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SIGNATURES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Pursuant to the requirements of the Securities Exchange Act of 1934, the Registrant has duly caused this report to be signed on its behalf by the undersigned thereunto duly authorized.</w:t>
      </w:r>
    </w:p>
    <w:tbl>
      <w:tblPr>
        <w:tblW w:w="7109" w:type="dxa"/>
        <w:jc w:val="left"/>
        <w:tblInd w:w="0" w:type="dxa"/>
        <w:tblLayout w:type="fixed"/>
        <w:tblCellMar>
          <w:top w:w="28" w:type="dxa"/>
          <w:left w:w="28" w:type="dxa"/>
          <w:bottom w:w="28" w:type="dxa"/>
          <w:right w:w="28" w:type="dxa"/>
        </w:tblCellMar>
      </w:tblPr>
      <w:tblGrid>
        <w:gridCol w:w="645"/>
        <w:gridCol w:w="568"/>
        <w:gridCol w:w="571"/>
        <w:gridCol w:w="1557"/>
        <w:gridCol w:w="1557"/>
        <w:gridCol w:w="221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(Registrant)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Date: March 6, 2026</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 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Executive Vice President, Chief Financial Officer, and Treasurer</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(Principal Financial Officer and Principal Accounting Officer)</w:t>
            </w:r>
          </w:p>
        </w:tc>
      </w:tr>
    </w:tbl>
    <w:p>
      <w:pPr>
        <w:pStyle w:val="TextBody"/>
        <w:bidi w:val="0"/>
        <w:spacing w:before="18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9065"/>
                <wp:effectExtent l="0" t="0" r="0" b="0"/>
                <wp:wrapNone/>
                <wp:docPr id="34" name="Frame29"/>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AS ADOPTED PURSUANT TO SECTION 302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Albert G. White III,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65" w:type="dxa"/>
        <w:jc w:val="left"/>
        <w:tblInd w:w="0" w:type="dxa"/>
        <w:tblLayout w:type="fixed"/>
        <w:tblCellMar>
          <w:top w:w="28" w:type="dxa"/>
          <w:left w:w="28" w:type="dxa"/>
          <w:bottom w:w="28" w:type="dxa"/>
          <w:right w:w="28" w:type="dxa"/>
        </w:tblCellMar>
      </w:tblPr>
      <w:tblGrid>
        <w:gridCol w:w="645"/>
        <w:gridCol w:w="568"/>
        <w:gridCol w:w="571"/>
        <w:gridCol w:w="1068"/>
        <w:gridCol w:w="1068"/>
        <w:gridCol w:w="1073"/>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AS ADOPTED PURSUANT TO SECTION 302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Brian G. Andrews,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391" w:type="dxa"/>
        <w:jc w:val="left"/>
        <w:tblInd w:w="0" w:type="dxa"/>
        <w:tblLayout w:type="fixed"/>
        <w:tblCellMar>
          <w:top w:w="28" w:type="dxa"/>
          <w:left w:w="28" w:type="dxa"/>
          <w:bottom w:w="28" w:type="dxa"/>
          <w:right w:w="28" w:type="dxa"/>
        </w:tblCellMar>
      </w:tblPr>
      <w:tblGrid>
        <w:gridCol w:w="645"/>
        <w:gridCol w:w="568"/>
        <w:gridCol w:w="571"/>
        <w:gridCol w:w="1743"/>
        <w:gridCol w:w="1743"/>
        <w:gridCol w:w="174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Albert G. White III,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Quarterly Report on Form 10-Q of The Cooper Companies, Inc. (the “Company”) for the quarterly period ended January 31, 2026,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4993" w:type="dxa"/>
        <w:jc w:val="left"/>
        <w:tblInd w:w="0" w:type="dxa"/>
        <w:tblLayout w:type="fixed"/>
        <w:tblCellMar>
          <w:top w:w="28" w:type="dxa"/>
          <w:left w:w="28" w:type="dxa"/>
          <w:bottom w:w="28" w:type="dxa"/>
          <w:right w:w="28" w:type="dxa"/>
        </w:tblCellMar>
      </w:tblPr>
      <w:tblGrid>
        <w:gridCol w:w="645"/>
        <w:gridCol w:w="568"/>
        <w:gridCol w:w="571"/>
        <w:gridCol w:w="939"/>
        <w:gridCol w:w="939"/>
        <w:gridCol w:w="133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Albert G. White III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 G. White III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Brian G. Andrews,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Quarterly Report on Form 10-Q of The Cooper Companies, Inc. (the “Company”) for the quarterly period ended January 31, 2026,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7064" w:type="dxa"/>
        <w:jc w:val="left"/>
        <w:tblInd w:w="0" w:type="dxa"/>
        <w:tblLayout w:type="fixed"/>
        <w:tblCellMar>
          <w:top w:w="28" w:type="dxa"/>
          <w:left w:w="28" w:type="dxa"/>
          <w:bottom w:w="28" w:type="dxa"/>
          <w:right w:w="28" w:type="dxa"/>
        </w:tblCellMar>
      </w:tblPr>
      <w:tblGrid>
        <w:gridCol w:w="645"/>
        <w:gridCol w:w="568"/>
        <w:gridCol w:w="571"/>
        <w:gridCol w:w="1542"/>
        <w:gridCol w:w="1542"/>
        <w:gridCol w:w="219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711404/000119312525331117/d96045dex101.htm" TargetMode="External"/><Relationship Id="rId8" Type="http://schemas.openxmlformats.org/officeDocument/2006/relationships/hyperlink" Target="https://www.sec.gov/Archives/edgar/data/711404/000119312526036476/d24828dex101.htm" TargetMode="External"/><Relationship Id="rId9" Type="http://schemas.openxmlformats.org/officeDocument/2006/relationships/hyperlink" Target="https://www.sec.gov/Archives/edgar/data/711404/000119312526036476/d24828dex10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13031</Words>
  <Characters>73636</Characters>
  <CharactersWithSpaces>85578</CharactersWithSpaces>
  <Paragraphs>1927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