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line="238"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3440"/>
        <w:spacing w:after="0"/>
        <w:rPr>
          <w:sz w:val="20"/>
          <w:szCs w:val="20"/>
          <w:color w:val="auto"/>
        </w:rPr>
      </w:pPr>
      <w:r>
        <w:rPr>
          <w:rFonts w:ascii="Arial" w:cs="Arial" w:eastAsia="Arial" w:hAnsi="Arial"/>
          <w:sz w:val="14"/>
          <w:szCs w:val="14"/>
          <w:b w:val="1"/>
          <w:bCs w:val="1"/>
          <w:color w:val="auto"/>
        </w:rPr>
        <w:t>_____________________________________________________________</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31" w:lineRule="exact"/>
        <w:rPr>
          <w:sz w:val="24"/>
          <w:szCs w:val="24"/>
          <w:color w:val="auto"/>
        </w:rPr>
      </w:pPr>
    </w:p>
    <w:p>
      <w:pPr>
        <w:ind w:left="3440"/>
        <w:spacing w:after="0"/>
        <w:rPr>
          <w:sz w:val="20"/>
          <w:szCs w:val="20"/>
          <w:color w:val="auto"/>
        </w:rPr>
      </w:pPr>
      <w:r>
        <w:rPr>
          <w:rFonts w:ascii="Arial" w:cs="Arial" w:eastAsia="Arial" w:hAnsi="Arial"/>
          <w:sz w:val="14"/>
          <w:szCs w:val="14"/>
          <w:b w:val="1"/>
          <w:bCs w:val="1"/>
          <w:color w:val="auto"/>
        </w:rPr>
        <w:t>_____________________________________________________________</w:t>
      </w:r>
    </w:p>
    <w:p>
      <w:pPr>
        <w:sectPr>
          <w:pgSz w:w="11900" w:h="16838" w:orient="portrait"/>
          <w:cols w:equalWidth="0" w:num="1">
            <w:col w:w="11240"/>
          </w:cols>
          <w:pgMar w:left="320" w:top="1084" w:right="339" w:bottom="1440" w:gutter="0" w:footer="0" w:header="0"/>
        </w:sectPr>
      </w:pPr>
    </w:p>
    <w:p>
      <w:pPr>
        <w:spacing w:after="0" w:line="81" w:lineRule="exact"/>
        <w:rPr>
          <w:sz w:val="24"/>
          <w:szCs w:val="24"/>
          <w:color w:val="auto"/>
        </w:rPr>
      </w:pPr>
    </w:p>
    <w:p>
      <w:pPr>
        <w:ind w:left="120"/>
        <w:spacing w:after="0" w:line="191" w:lineRule="exact"/>
        <w:rPr>
          <w:sz w:val="20"/>
          <w:szCs w:val="20"/>
          <w:color w:val="auto"/>
        </w:rPr>
      </w:pP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jc w:val="center"/>
        <w:ind w:right="1700"/>
        <w:spacing w:after="0"/>
        <w:rPr>
          <w:sz w:val="20"/>
          <w:szCs w:val="20"/>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58" w:lineRule="exact"/>
        <w:rPr>
          <w:sz w:val="24"/>
          <w:szCs w:val="24"/>
          <w:color w:val="auto"/>
        </w:rPr>
      </w:pPr>
    </w:p>
    <w:p>
      <w:pPr>
        <w:sectPr>
          <w:pgSz w:w="11900" w:h="16838" w:orient="portrait"/>
          <w:cols w:equalWidth="0" w:num="2">
            <w:col w:w="1360" w:space="720"/>
            <w:col w:w="9160"/>
          </w:cols>
          <w:pgMar w:left="320" w:top="1084" w:right="3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For the quarterly period ended July 31, 2021</w:t>
      </w:r>
    </w:p>
    <w:p>
      <w:pPr>
        <w:sectPr>
          <w:pgSz w:w="11900" w:h="16838" w:orient="portrait"/>
          <w:cols w:equalWidth="0" w:num="1">
            <w:col w:w="11240"/>
          </w:cols>
          <w:pgMar w:left="320" w:top="1084" w:right="339" w:bottom="1440" w:gutter="0" w:footer="0" w:header="0"/>
          <w:type w:val="continuous"/>
        </w:sectPr>
      </w:pPr>
    </w:p>
    <w:p>
      <w:pPr>
        <w:spacing w:after="0" w:line="124" w:lineRule="exact"/>
        <w:rPr>
          <w:sz w:val="24"/>
          <w:szCs w:val="24"/>
          <w:color w:val="auto"/>
        </w:rPr>
      </w:pPr>
    </w:p>
    <w:p>
      <w:pPr>
        <w:ind w:left="120"/>
        <w:spacing w:after="0" w:line="191" w:lineRule="exact"/>
        <w:rPr>
          <w:sz w:val="20"/>
          <w:szCs w:val="20"/>
          <w:color w:val="auto"/>
        </w:rPr>
      </w:pP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jc w:val="center"/>
        <w:ind w:right="1680"/>
        <w:spacing w:after="0"/>
        <w:rPr>
          <w:sz w:val="20"/>
          <w:szCs w:val="20"/>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00" w:lineRule="exact"/>
        <w:rPr>
          <w:sz w:val="24"/>
          <w:szCs w:val="24"/>
          <w:color w:val="auto"/>
        </w:rPr>
      </w:pPr>
    </w:p>
    <w:p>
      <w:pPr>
        <w:sectPr>
          <w:pgSz w:w="11900" w:h="16838" w:orient="portrait"/>
          <w:cols w:equalWidth="0" w:num="2">
            <w:col w:w="1360" w:space="720"/>
            <w:col w:w="9160"/>
          </w:cols>
          <w:pgMar w:left="320" w:top="1084" w:right="339" w:bottom="1440" w:gutter="0" w:footer="0" w:header="0"/>
          <w:type w:val="continuous"/>
        </w:sectPr>
      </w:pPr>
    </w:p>
    <w:p>
      <w:pPr>
        <w:spacing w:after="0" w:line="26" w:lineRule="exact"/>
        <w:rPr>
          <w:sz w:val="24"/>
          <w:szCs w:val="24"/>
          <w:color w:val="auto"/>
        </w:rPr>
      </w:pPr>
    </w:p>
    <w:p>
      <w:pPr>
        <w:ind w:left="37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to</w:t>
      </w:r>
    </w:p>
    <w:p>
      <w:pPr>
        <w:spacing w:after="0" w:line="120" w:lineRule="exact"/>
        <w:rPr>
          <w:sz w:val="24"/>
          <w:szCs w:val="24"/>
          <w:color w:val="auto"/>
        </w:rPr>
      </w:pPr>
    </w:p>
    <w:p>
      <w:pPr>
        <w:sectPr>
          <w:pgSz w:w="11900" w:h="16838" w:orient="portrait"/>
          <w:cols w:equalWidth="0" w:num="2">
            <w:col w:w="6100" w:space="640"/>
            <w:col w:w="4500"/>
          </w:cols>
          <w:pgMar w:left="320" w:top="1084"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Commission File Number 1-8597</w:t>
      </w:r>
    </w:p>
    <w:p>
      <w:pPr>
        <w:spacing w:after="0" w:line="59" w:lineRule="exact"/>
        <w:rPr>
          <w:sz w:val="24"/>
          <w:szCs w:val="24"/>
          <w:color w:val="auto"/>
        </w:rPr>
      </w:pPr>
    </w:p>
    <w:p>
      <w:pPr>
        <w:ind w:left="3440"/>
        <w:spacing w:after="0"/>
        <w:rPr>
          <w:sz w:val="20"/>
          <w:szCs w:val="20"/>
          <w:color w:val="auto"/>
        </w:rPr>
      </w:pPr>
      <w:r>
        <w:rPr>
          <w:rFonts w:ascii="Arial" w:cs="Arial" w:eastAsia="Arial" w:hAnsi="Arial"/>
          <w:sz w:val="14"/>
          <w:szCs w:val="14"/>
          <w:b w:val="1"/>
          <w:bCs w:val="1"/>
          <w:color w:val="auto"/>
        </w:rPr>
        <w:t>_____________________________________________________________</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39"/>
          <w:szCs w:val="39"/>
          <w:b w:val="1"/>
          <w:bCs w:val="1"/>
          <w:color w:val="auto"/>
        </w:rPr>
        <w:t>The Cooper Companies, Inc.</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1" w:lineRule="exact"/>
        <w:rPr>
          <w:sz w:val="24"/>
          <w:szCs w:val="24"/>
          <w:color w:val="auto"/>
        </w:rPr>
      </w:pPr>
    </w:p>
    <w:p>
      <w:pPr>
        <w:ind w:left="3440"/>
        <w:spacing w:after="0"/>
        <w:rPr>
          <w:sz w:val="20"/>
          <w:szCs w:val="20"/>
          <w:color w:val="auto"/>
        </w:rPr>
      </w:pPr>
      <w:r>
        <w:rPr>
          <w:rFonts w:ascii="Arial" w:cs="Arial" w:eastAsia="Arial" w:hAnsi="Arial"/>
          <w:sz w:val="14"/>
          <w:szCs w:val="14"/>
          <w:b w:val="1"/>
          <w:bCs w:val="1"/>
          <w:color w:val="auto"/>
        </w:rPr>
        <w:t>_____________________________________________________________</w:t>
      </w:r>
    </w:p>
    <w:p>
      <w:pPr>
        <w:sectPr>
          <w:pgSz w:w="11900" w:h="16838" w:orient="portrait"/>
          <w:cols w:equalWidth="0" w:num="1">
            <w:col w:w="11240"/>
          </w:cols>
          <w:pgMar w:left="320" w:top="1084" w:right="339" w:bottom="1440" w:gutter="0" w:footer="0" w:header="0"/>
          <w:type w:val="continuous"/>
        </w:sectPr>
      </w:pPr>
    </w:p>
    <w:p>
      <w:pPr>
        <w:spacing w:after="0" w:line="165" w:lineRule="exact"/>
        <w:rPr>
          <w:sz w:val="24"/>
          <w:szCs w:val="24"/>
          <w:color w:val="auto"/>
        </w:rPr>
      </w:pPr>
    </w:p>
    <w:p>
      <w:pPr>
        <w:ind w:left="26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4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94-2657368</w:t>
      </w:r>
    </w:p>
    <w:p>
      <w:pPr>
        <w:spacing w:after="0" w:line="31" w:lineRule="exact"/>
        <w:rPr>
          <w:sz w:val="24"/>
          <w:szCs w:val="24"/>
          <w:color w:val="auto"/>
        </w:rPr>
      </w:pPr>
    </w:p>
    <w:p>
      <w:pPr>
        <w:sectPr>
          <w:pgSz w:w="11900" w:h="16838" w:orient="portrait"/>
          <w:cols w:equalWidth="0" w:num="2">
            <w:col w:w="7480" w:space="720"/>
            <w:col w:w="3040"/>
          </w:cols>
          <w:pgMar w:left="320" w:top="1084" w:right="339" w:bottom="1440" w:gutter="0" w:footer="0" w:header="0"/>
          <w:type w:val="continuous"/>
        </w:sectPr>
      </w:pPr>
    </w:p>
    <w:p>
      <w:pPr>
        <w:spacing w:after="0" w:line="12" w:lineRule="exact"/>
        <w:rPr>
          <w:sz w:val="24"/>
          <w:szCs w:val="24"/>
          <w:color w:val="auto"/>
        </w:rPr>
      </w:pPr>
    </w:p>
    <w:p>
      <w:pPr>
        <w:ind w:left="2120"/>
        <w:spacing w:after="0"/>
        <w:rPr>
          <w:sz w:val="20"/>
          <w:szCs w:val="20"/>
          <w:color w:val="auto"/>
        </w:rPr>
      </w:pPr>
      <w:r>
        <w:rPr>
          <w:rFonts w:ascii="Arial" w:cs="Arial" w:eastAsia="Arial" w:hAnsi="Arial"/>
          <w:sz w:val="13"/>
          <w:szCs w:val="13"/>
          <w:b w:val="1"/>
          <w:bCs w:val="1"/>
          <w:color w:val="auto"/>
        </w:rPr>
        <w:t>(State or other jurisdiction of</w:t>
      </w:r>
    </w:p>
    <w:p>
      <w:pPr>
        <w:ind w:left="20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63" w:lineRule="exact"/>
        <w:rPr>
          <w:sz w:val="24"/>
          <w:szCs w:val="24"/>
          <w:color w:val="auto"/>
        </w:rPr>
      </w:pPr>
    </w:p>
    <w:p>
      <w:pPr>
        <w:sectPr>
          <w:pgSz w:w="11900" w:h="16838" w:orient="portrait"/>
          <w:cols w:equalWidth="0" w:num="2">
            <w:col w:w="7360" w:space="720"/>
            <w:col w:w="3160"/>
          </w:cols>
          <w:pgMar w:left="320" w:top="1084" w:right="339" w:bottom="1440" w:gutter="0" w:footer="0" w:header="0"/>
          <w:type w:val="continuous"/>
        </w:sectPr>
      </w:pPr>
    </w:p>
    <w:p>
      <w:pPr>
        <w:ind w:left="4100"/>
        <w:spacing w:after="0"/>
        <w:rPr>
          <w:sz w:val="20"/>
          <w:szCs w:val="20"/>
          <w:color w:val="auto"/>
        </w:rPr>
      </w:pPr>
      <w:r>
        <w:rPr>
          <w:rFonts w:ascii="Arial" w:cs="Arial" w:eastAsia="Arial" w:hAnsi="Arial"/>
          <w:sz w:val="18"/>
          <w:szCs w:val="18"/>
          <w:b w:val="1"/>
          <w:bCs w:val="1"/>
          <w:color w:val="auto"/>
        </w:rPr>
        <w:t>6101 Bollinger Canyon Road, Suite 500,</w:t>
      </w:r>
    </w:p>
    <w:p>
      <w:pPr>
        <w:spacing w:after="0" w:line="63" w:lineRule="exact"/>
        <w:rPr>
          <w:sz w:val="24"/>
          <w:szCs w:val="24"/>
          <w:color w:val="auto"/>
        </w:rPr>
      </w:pPr>
    </w:p>
    <w:p>
      <w:pPr>
        <w:ind w:left="4480"/>
        <w:spacing w:after="0"/>
        <w:rPr>
          <w:sz w:val="20"/>
          <w:szCs w:val="20"/>
          <w:color w:val="auto"/>
        </w:rPr>
      </w:pPr>
      <w:r>
        <w:rPr>
          <w:rFonts w:ascii="Arial" w:cs="Arial" w:eastAsia="Arial" w:hAnsi="Arial"/>
          <w:sz w:val="18"/>
          <w:szCs w:val="18"/>
          <w:b w:val="1"/>
          <w:bCs w:val="1"/>
          <w:color w:val="auto"/>
        </w:rPr>
        <w:t>San Ramon, California 94583</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(925) 460-3600</w:t>
      </w:r>
    </w:p>
    <w:p>
      <w:pPr>
        <w:spacing w:after="0" w:line="21" w:lineRule="exact"/>
        <w:rPr>
          <w:sz w:val="24"/>
          <w:szCs w:val="24"/>
          <w:color w:val="auto"/>
        </w:rPr>
      </w:pPr>
    </w:p>
    <w:p>
      <w:pPr>
        <w:ind w:left="3440"/>
        <w:spacing w:after="0"/>
        <w:rPr>
          <w:sz w:val="20"/>
          <w:szCs w:val="20"/>
          <w:color w:val="auto"/>
        </w:rPr>
      </w:pPr>
      <w:r>
        <w:rPr>
          <w:rFonts w:ascii="Arial" w:cs="Arial" w:eastAsia="Arial" w:hAnsi="Arial"/>
          <w:sz w:val="14"/>
          <w:szCs w:val="14"/>
          <w:b w:val="1"/>
          <w:bCs w:val="1"/>
          <w:color w:val="auto"/>
        </w:rPr>
        <w:t>_____________________________________________________________</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81"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4100" w:type="dxa"/>
            <w:vAlign w:val="bottom"/>
            <w:gridSpan w:val="2"/>
          </w:tcPr>
          <w:p>
            <w:pPr>
              <w:ind w:left="20"/>
              <w:spacing w:after="0"/>
              <w:rPr>
                <w:sz w:val="20"/>
                <w:szCs w:val="20"/>
                <w:color w:val="auto"/>
              </w:rPr>
            </w:pPr>
            <w:r>
              <w:rPr>
                <w:rFonts w:ascii="Arial" w:cs="Arial" w:eastAsia="Arial" w:hAnsi="Arial"/>
                <w:sz w:val="18"/>
                <w:szCs w:val="18"/>
                <w:b w:val="1"/>
                <w:bCs w:val="1"/>
                <w:color w:val="auto"/>
              </w:rPr>
              <w:t>Title of each class</w:t>
            </w:r>
          </w:p>
        </w:tc>
        <w:tc>
          <w:tcPr>
            <w:tcW w:w="2260" w:type="dxa"/>
            <w:vAlign w:val="bottom"/>
            <w:gridSpan w:val="2"/>
          </w:tcPr>
          <w:p>
            <w:pPr>
              <w:ind w:left="20"/>
              <w:spacing w:after="0"/>
              <w:rPr>
                <w:sz w:val="20"/>
                <w:szCs w:val="20"/>
                <w:color w:val="auto"/>
              </w:rPr>
            </w:pPr>
            <w:r>
              <w:rPr>
                <w:rFonts w:ascii="Arial" w:cs="Arial" w:eastAsia="Arial" w:hAnsi="Arial"/>
                <w:sz w:val="18"/>
                <w:szCs w:val="18"/>
                <w:b w:val="1"/>
                <w:bCs w:val="1"/>
                <w:color w:val="auto"/>
              </w:rPr>
              <w:t>Trading Symbol</w:t>
            </w:r>
          </w:p>
        </w:tc>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24"/>
        </w:trPr>
        <w:tc>
          <w:tcPr>
            <w:tcW w:w="37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Common Stock, $.10 par value</w:t>
            </w:r>
          </w:p>
        </w:tc>
        <w:tc>
          <w:tcPr>
            <w:tcW w:w="320" w:type="dxa"/>
            <w:vAlign w:val="bottom"/>
          </w:tcPr>
          <w:p>
            <w:pPr>
              <w:spacing w:after="0"/>
              <w:rPr>
                <w:sz w:val="19"/>
                <w:szCs w:val="19"/>
                <w:color w:val="auto"/>
              </w:rPr>
            </w:pPr>
          </w:p>
        </w:tc>
        <w:tc>
          <w:tcPr>
            <w:tcW w:w="19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COO</w:t>
            </w:r>
          </w:p>
        </w:tc>
        <w:tc>
          <w:tcPr>
            <w:tcW w:w="320" w:type="dxa"/>
            <w:vAlign w:val="bottom"/>
          </w:tcPr>
          <w:p>
            <w:pPr>
              <w:spacing w:after="0"/>
              <w:rPr>
                <w:sz w:val="19"/>
                <w:szCs w:val="19"/>
                <w:color w:val="auto"/>
              </w:rPr>
            </w:pPr>
          </w:p>
        </w:tc>
        <w:tc>
          <w:tcPr>
            <w:tcW w:w="48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The New York Stock Exchange</w:t>
            </w:r>
          </w:p>
        </w:tc>
      </w:tr>
    </w:tbl>
    <w:p>
      <w:pPr>
        <w:spacing w:after="0" w:line="12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emerging growth company. See definitions of “large accelerated filer,” “accelerated filer,” “smaller reporting company” and "emerging growth company" in Rule 12b-2 of the Exchange Act.</w:t>
      </w:r>
    </w:p>
    <w:p>
      <w:pPr>
        <w:spacing w:after="0" w:line="124"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4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500"/>
              <w:spacing w:after="0"/>
              <w:rPr>
                <w:sz w:val="20"/>
                <w:szCs w:val="20"/>
                <w:color w:val="auto"/>
              </w:rPr>
            </w:pPr>
            <w:r>
              <w:rPr>
                <w:rFonts w:ascii="Arial" w:cs="Arial" w:eastAsia="Arial" w:hAnsi="Arial"/>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20" w:type="dxa"/>
            <w:vAlign w:val="bottom"/>
          </w:tcPr>
          <w:p>
            <w:pPr>
              <w:spacing w:after="0"/>
              <w:rPr>
                <w:sz w:val="20"/>
                <w:szCs w:val="20"/>
                <w:color w:val="auto"/>
              </w:rPr>
            </w:pPr>
            <w:r>
              <w:rPr>
                <w:rFonts w:ascii="Arial" w:cs="Arial" w:eastAsia="Arial" w:hAnsi="Arial"/>
                <w:sz w:val="18"/>
                <w:szCs w:val="18"/>
                <w:color w:val="auto"/>
              </w:rPr>
              <w:t>Non-accelerated filer</w:t>
            </w:r>
          </w:p>
        </w:tc>
        <w:tc>
          <w:tcPr>
            <w:tcW w:w="31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500"/>
              <w:spacing w:after="0"/>
              <w:rPr>
                <w:sz w:val="20"/>
                <w:szCs w:val="20"/>
                <w:color w:val="auto"/>
              </w:rPr>
            </w:pPr>
            <w:r>
              <w:rPr>
                <w:rFonts w:ascii="Arial" w:cs="Arial" w:eastAsia="Arial" w:hAnsi="Arial"/>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4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1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47"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1680"/>
        <w:spacing w:after="0" w:line="27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On August 27, 2021, 49,304,090 shares of Common Stock, $0.10 par value,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570230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type w:val="continuous"/>
        </w:sectPr>
      </w:pPr>
    </w:p>
    <w:bookmarkStart w:id="1" w:name="page2"/>
    <w:bookmarkEnd w:id="1"/>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INDEX</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600" w:type="dxa"/>
            <w:vAlign w:val="bottom"/>
            <w:tcBorders>
              <w:bottom w:val="single" w:sz="8" w:color="auto"/>
            </w:tcBorders>
            <w:gridSpan w:val="4"/>
          </w:tcPr>
          <w:p>
            <w:pPr>
              <w:jc w:val="right"/>
              <w:ind w:right="540"/>
              <w:spacing w:after="0"/>
              <w:rPr>
                <w:sz w:val="20"/>
                <w:szCs w:val="20"/>
                <w:color w:val="auto"/>
              </w:rPr>
            </w:pPr>
            <w:r>
              <w:rPr>
                <w:rFonts w:ascii="Arial" w:cs="Arial" w:eastAsia="Arial" w:hAnsi="Arial"/>
                <w:sz w:val="14"/>
                <w:szCs w:val="14"/>
                <w:color w:val="auto"/>
              </w:rPr>
              <w:t>Page No.</w:t>
            </w:r>
          </w:p>
        </w:tc>
      </w:tr>
      <w:tr>
        <w:trPr>
          <w:trHeight w:val="176"/>
        </w:trPr>
        <w:tc>
          <w:tcPr>
            <w:tcW w:w="1320" w:type="dxa"/>
            <w:vAlign w:val="bottom"/>
            <w:gridSpan w:val="3"/>
          </w:tcPr>
          <w:p>
            <w:pPr>
              <w:spacing w:after="0" w:line="176" w:lineRule="exact"/>
              <w:rPr>
                <w:sz w:val="20"/>
                <w:szCs w:val="20"/>
                <w:color w:val="auto"/>
              </w:rPr>
            </w:pPr>
            <w:r>
              <w:rPr>
                <w:rFonts w:ascii="Arial" w:cs="Arial" w:eastAsia="Arial" w:hAnsi="Arial"/>
                <w:sz w:val="18"/>
                <w:szCs w:val="18"/>
                <w:color w:val="auto"/>
              </w:rPr>
              <w:t>PART I.</w:t>
            </w:r>
          </w:p>
        </w:tc>
        <w:tc>
          <w:tcPr>
            <w:tcW w:w="8300" w:type="dxa"/>
            <w:vAlign w:val="bottom"/>
            <w:gridSpan w:val="20"/>
          </w:tcPr>
          <w:p>
            <w:pPr>
              <w:spacing w:after="0" w:line="176" w:lineRule="exact"/>
              <w:rPr>
                <w:rFonts w:ascii="Arial" w:cs="Arial" w:eastAsia="Arial" w:hAnsi="Arial"/>
                <w:sz w:val="18"/>
                <w:szCs w:val="18"/>
                <w:color w:val="0000FF"/>
              </w:rPr>
            </w:pPr>
            <w:hyperlink w:anchor="page2">
              <w:r>
                <w:rPr>
                  <w:rFonts w:ascii="Arial" w:cs="Arial" w:eastAsia="Arial" w:hAnsi="Arial"/>
                  <w:sz w:val="18"/>
                  <w:szCs w:val="18"/>
                  <w:color w:val="0000FF"/>
                </w:rPr>
                <w:t>FINANCIAL INFORMATION</w:t>
              </w:r>
            </w:hyperlink>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300" w:type="dxa"/>
            <w:vAlign w:val="bottom"/>
            <w:tcBorders>
              <w:bottom w:val="single" w:sz="8" w:color="0000FF"/>
            </w:tcBorders>
            <w:gridSpan w:val="10"/>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Unaudited Financial Statements</w:t>
              </w:r>
            </w:hyperlink>
          </w:p>
        </w:tc>
        <w:tc>
          <w:tcPr>
            <w:tcW w:w="6000" w:type="dxa"/>
            <w:vAlign w:val="bottom"/>
            <w:gridSpan w:val="10"/>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180" w:type="dxa"/>
            <w:vAlign w:val="bottom"/>
            <w:gridSpan w:val="19"/>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Consolidated Statements of Income and Comprehensive Income</w:t>
              </w:r>
            </w:hyperlink>
          </w:p>
        </w:tc>
        <w:tc>
          <w:tcPr>
            <w:tcW w:w="160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40" w:type="dxa"/>
            <w:vAlign w:val="bottom"/>
            <w:gridSpan w:val="11"/>
          </w:tcPr>
          <w:p>
            <w:pPr>
              <w:spacing w:after="0"/>
              <w:rPr>
                <w:rFonts w:ascii="Arial" w:cs="Arial" w:eastAsia="Arial" w:hAnsi="Arial"/>
                <w:sz w:val="18"/>
                <w:szCs w:val="18"/>
                <w:color w:val="0000FF"/>
                <w:w w:val="87"/>
              </w:rPr>
            </w:pPr>
            <w:hyperlink w:anchor="page3">
              <w:r>
                <w:rPr>
                  <w:rFonts w:ascii="Arial" w:cs="Arial" w:eastAsia="Arial" w:hAnsi="Arial"/>
                  <w:sz w:val="18"/>
                  <w:szCs w:val="18"/>
                  <w:color w:val="0000FF"/>
                  <w:w w:val="87"/>
                </w:rPr>
                <w:t>Consolidated Condensed Balance Sheets</w:t>
              </w:r>
            </w:hyperlink>
          </w:p>
        </w:tc>
        <w:tc>
          <w:tcPr>
            <w:tcW w:w="1680" w:type="dxa"/>
            <w:vAlign w:val="bottom"/>
            <w:gridSpan w:val="6"/>
          </w:tcPr>
          <w:p>
            <w:pPr>
              <w:spacing w:after="0"/>
              <w:rPr>
                <w:sz w:val="24"/>
                <w:szCs w:val="24"/>
                <w:color w:val="auto"/>
              </w:rPr>
            </w:pPr>
          </w:p>
        </w:tc>
        <w:tc>
          <w:tcPr>
            <w:tcW w:w="3560" w:type="dxa"/>
            <w:vAlign w:val="bottom"/>
            <w:gridSpan w:val="2"/>
          </w:tcPr>
          <w:p>
            <w:pPr>
              <w:spacing w:after="0"/>
              <w:rPr>
                <w:sz w:val="24"/>
                <w:szCs w:val="24"/>
                <w:color w:val="auto"/>
              </w:rPr>
            </w:pPr>
          </w:p>
        </w:tc>
        <w:tc>
          <w:tcPr>
            <w:tcW w:w="160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r>
      <w:tr>
        <w:trPr>
          <w:trHeight w:val="20"/>
        </w:trPr>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180" w:type="dxa"/>
            <w:vAlign w:val="bottom"/>
            <w:gridSpan w:val="19"/>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Consolidated Condensed Statements of Stockholders' Equity</w:t>
              </w:r>
            </w:hyperlink>
          </w:p>
        </w:tc>
        <w:tc>
          <w:tcPr>
            <w:tcW w:w="160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20"/>
        </w:trPr>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20" w:type="dxa"/>
            <w:vAlign w:val="bottom"/>
            <w:gridSpan w:val="12"/>
          </w:tcPr>
          <w:p>
            <w:pPr>
              <w:spacing w:after="0"/>
              <w:rPr>
                <w:rFonts w:ascii="Arial" w:cs="Arial" w:eastAsia="Arial" w:hAnsi="Arial"/>
                <w:sz w:val="18"/>
                <w:szCs w:val="18"/>
                <w:color w:val="0000FF"/>
                <w:w w:val="88"/>
              </w:rPr>
            </w:pPr>
            <w:hyperlink w:anchor="page6">
              <w:r>
                <w:rPr>
                  <w:rFonts w:ascii="Arial" w:cs="Arial" w:eastAsia="Arial" w:hAnsi="Arial"/>
                  <w:sz w:val="18"/>
                  <w:szCs w:val="18"/>
                  <w:color w:val="0000FF"/>
                  <w:w w:val="88"/>
                </w:rPr>
                <w:t>Consolidated Condensed Statements of Cash Flows</w:t>
              </w:r>
            </w:hyperlink>
          </w:p>
        </w:tc>
        <w:tc>
          <w:tcPr>
            <w:tcW w:w="640" w:type="dxa"/>
            <w:vAlign w:val="bottom"/>
            <w:gridSpan w:val="4"/>
          </w:tcPr>
          <w:p>
            <w:pPr>
              <w:spacing w:after="0"/>
              <w:rPr>
                <w:sz w:val="24"/>
                <w:szCs w:val="24"/>
                <w:color w:val="auto"/>
              </w:rPr>
            </w:pPr>
          </w:p>
        </w:tc>
        <w:tc>
          <w:tcPr>
            <w:tcW w:w="3820" w:type="dxa"/>
            <w:vAlign w:val="bottom"/>
            <w:gridSpan w:val="3"/>
          </w:tcPr>
          <w:p>
            <w:pPr>
              <w:spacing w:after="0"/>
              <w:rPr>
                <w:sz w:val="24"/>
                <w:szCs w:val="24"/>
                <w:color w:val="auto"/>
              </w:rPr>
            </w:pPr>
          </w:p>
        </w:tc>
        <w:tc>
          <w:tcPr>
            <w:tcW w:w="160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20"/>
        </w:trPr>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180" w:type="dxa"/>
            <w:vAlign w:val="bottom"/>
            <w:gridSpan w:val="19"/>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Notes to Consolidated Condensed Financial Statements</w:t>
              </w:r>
            </w:hyperlink>
          </w:p>
        </w:tc>
        <w:tc>
          <w:tcPr>
            <w:tcW w:w="1600" w:type="dxa"/>
            <w:vAlign w:val="bottom"/>
            <w:gridSpan w:val="4"/>
          </w:tcPr>
          <w:p>
            <w:pPr>
              <w:jc w:val="right"/>
              <w:ind w:right="20"/>
              <w:spacing w:after="0"/>
              <w:rPr>
                <w:rFonts w:ascii="Arial" w:cs="Arial" w:eastAsia="Arial" w:hAnsi="Arial"/>
                <w:sz w:val="18"/>
                <w:szCs w:val="18"/>
                <w:color w:val="0000FF"/>
              </w:rPr>
            </w:pPr>
            <w:hyperlink w:anchor="page7">
              <w:r>
                <w:rPr>
                  <w:rFonts w:ascii="Arial" w:cs="Arial" w:eastAsia="Arial" w:hAnsi="Arial"/>
                  <w:sz w:val="18"/>
                  <w:szCs w:val="18"/>
                  <w:color w:val="0000FF"/>
                </w:rPr>
                <w:t>8</w:t>
              </w:r>
            </w:hyperlink>
          </w:p>
        </w:tc>
      </w:tr>
      <w:tr>
        <w:trPr>
          <w:trHeight w:val="20"/>
        </w:trPr>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78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FF"/>
            </w:tcBorders>
            <w:gridSpan w:val="19"/>
          </w:tcPr>
          <w:p>
            <w:pPr>
              <w:spacing w:after="0"/>
              <w:rPr>
                <w:rFonts w:ascii="Arial" w:cs="Arial" w:eastAsia="Arial" w:hAnsi="Arial"/>
                <w:sz w:val="18"/>
                <w:szCs w:val="18"/>
                <w:color w:val="0000FF"/>
                <w:w w:val="90"/>
              </w:rPr>
            </w:pPr>
            <w:hyperlink w:anchor="page22">
              <w:r>
                <w:rPr>
                  <w:rFonts w:ascii="Arial" w:cs="Arial" w:eastAsia="Arial" w:hAnsi="Arial"/>
                  <w:sz w:val="18"/>
                  <w:szCs w:val="18"/>
                  <w:color w:val="0000FF"/>
                  <w:w w:val="90"/>
                </w:rPr>
                <w:t>Management’s Discussion and Analysis of Financial Condition and Results of Operations</w:t>
              </w:r>
            </w:hyperlink>
          </w:p>
        </w:tc>
        <w:tc>
          <w:tcPr>
            <w:tcW w:w="1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2">
              <w:r>
                <w:rPr>
                  <w:rFonts w:ascii="Arial" w:cs="Arial" w:eastAsia="Arial" w:hAnsi="Arial"/>
                  <w:sz w:val="18"/>
                  <w:szCs w:val="18"/>
                  <w:color w:val="0000FF"/>
                  <w:w w:val="79"/>
                </w:rPr>
                <w:t>23</w:t>
              </w:r>
            </w:hyperlink>
          </w:p>
        </w:tc>
        <w:tc>
          <w:tcPr>
            <w:tcW w:w="20" w:type="dxa"/>
            <w:vAlign w:val="bottom"/>
          </w:tcPr>
          <w:p>
            <w:pPr>
              <w:spacing w:after="0"/>
              <w:rPr>
                <w:sz w:val="24"/>
                <w:szCs w:val="24"/>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8300" w:type="dxa"/>
            <w:vAlign w:val="bottom"/>
            <w:gridSpan w:val="20"/>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Quantitative and Qualitative Disclosure About Market Risk</w:t>
              </w:r>
            </w:hyperlink>
          </w:p>
        </w:tc>
        <w:tc>
          <w:tcPr>
            <w:tcW w:w="1580" w:type="dxa"/>
            <w:vAlign w:val="bottom"/>
            <w:gridSpan w:val="3"/>
          </w:tcPr>
          <w:p>
            <w:pPr>
              <w:jc w:val="right"/>
              <w:spacing w:after="0"/>
              <w:rPr>
                <w:rFonts w:ascii="Arial" w:cs="Arial" w:eastAsia="Arial" w:hAnsi="Arial"/>
                <w:sz w:val="18"/>
                <w:szCs w:val="18"/>
                <w:color w:val="0000FF"/>
              </w:rPr>
            </w:pPr>
            <w:hyperlink w:anchor="page40">
              <w:r>
                <w:rPr>
                  <w:rFonts w:ascii="Arial" w:cs="Arial" w:eastAsia="Arial" w:hAnsi="Arial"/>
                  <w:sz w:val="18"/>
                  <w:szCs w:val="18"/>
                  <w:color w:val="0000FF"/>
                </w:rPr>
                <w:t>41</w:t>
              </w:r>
            </w:hyperlink>
          </w:p>
        </w:tc>
        <w:tc>
          <w:tcPr>
            <w:tcW w:w="20" w:type="dxa"/>
            <w:vAlign w:val="bottom"/>
          </w:tcPr>
          <w:p>
            <w:pPr>
              <w:spacing w:after="0"/>
              <w:rPr>
                <w:sz w:val="24"/>
                <w:szCs w:val="24"/>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FF"/>
              <w:bottom w:val="single" w:sz="8" w:color="0000FF"/>
            </w:tcBorders>
            <w:gridSpan w:val="7"/>
          </w:tcPr>
          <w:p>
            <w:pPr>
              <w:spacing w:after="0"/>
              <w:rPr>
                <w:rFonts w:ascii="Arial" w:cs="Arial" w:eastAsia="Arial" w:hAnsi="Arial"/>
                <w:sz w:val="18"/>
                <w:szCs w:val="18"/>
                <w:color w:val="0000FF"/>
                <w:w w:val="88"/>
              </w:rPr>
            </w:pPr>
            <w:hyperlink w:anchor="page41">
              <w:r>
                <w:rPr>
                  <w:rFonts w:ascii="Arial" w:cs="Arial" w:eastAsia="Arial" w:hAnsi="Arial"/>
                  <w:sz w:val="18"/>
                  <w:szCs w:val="18"/>
                  <w:color w:val="0000FF"/>
                  <w:w w:val="88"/>
                </w:rPr>
                <w:t>Controls and Procedures</w:t>
              </w:r>
            </w:hyperlink>
          </w:p>
        </w:tc>
        <w:tc>
          <w:tcPr>
            <w:tcW w:w="2500" w:type="dxa"/>
            <w:vAlign w:val="bottom"/>
            <w:tcBorders>
              <w:top w:val="single" w:sz="8" w:color="0000FF"/>
            </w:tcBorders>
            <w:gridSpan w:val="8"/>
          </w:tcPr>
          <w:p>
            <w:pPr>
              <w:spacing w:after="0"/>
              <w:rPr>
                <w:sz w:val="24"/>
                <w:szCs w:val="24"/>
                <w:color w:val="auto"/>
              </w:rPr>
            </w:pPr>
          </w:p>
        </w:tc>
        <w:tc>
          <w:tcPr>
            <w:tcW w:w="4020" w:type="dxa"/>
            <w:vAlign w:val="bottom"/>
            <w:gridSpan w:val="5"/>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41">
              <w:r>
                <w:rPr>
                  <w:rFonts w:ascii="Arial" w:cs="Arial" w:eastAsia="Arial" w:hAnsi="Arial"/>
                  <w:sz w:val="18"/>
                  <w:szCs w:val="18"/>
                  <w:color w:val="0000FF"/>
                  <w:w w:val="79"/>
                </w:rPr>
                <w:t>41</w:t>
              </w:r>
            </w:hyperlink>
          </w:p>
        </w:tc>
        <w:tc>
          <w:tcPr>
            <w:tcW w:w="20" w:type="dxa"/>
            <w:vAlign w:val="bottom"/>
          </w:tcPr>
          <w:p>
            <w:pPr>
              <w:spacing w:after="0"/>
              <w:rPr>
                <w:sz w:val="24"/>
                <w:szCs w:val="24"/>
                <w:color w:val="auto"/>
              </w:rPr>
            </w:pPr>
          </w:p>
        </w:tc>
      </w:tr>
      <w:tr>
        <w:trPr>
          <w:trHeight w:val="304"/>
        </w:trPr>
        <w:tc>
          <w:tcPr>
            <w:tcW w:w="1320" w:type="dxa"/>
            <w:vAlign w:val="bottom"/>
            <w:gridSpan w:val="3"/>
          </w:tcPr>
          <w:p>
            <w:pPr>
              <w:spacing w:after="0"/>
              <w:rPr>
                <w:sz w:val="20"/>
                <w:szCs w:val="20"/>
                <w:color w:val="auto"/>
              </w:rPr>
            </w:pPr>
            <w:r>
              <w:rPr>
                <w:rFonts w:ascii="Arial" w:cs="Arial" w:eastAsia="Arial" w:hAnsi="Arial"/>
                <w:sz w:val="18"/>
                <w:szCs w:val="18"/>
                <w:color w:val="auto"/>
              </w:rPr>
              <w:t>PART II.</w:t>
            </w:r>
          </w:p>
        </w:tc>
        <w:tc>
          <w:tcPr>
            <w:tcW w:w="1880" w:type="dxa"/>
            <w:vAlign w:val="bottom"/>
            <w:tcBorders>
              <w:bottom w:val="single" w:sz="8" w:color="0000FF"/>
            </w:tcBorders>
            <w:gridSpan w:val="8"/>
          </w:tcPr>
          <w:p>
            <w:pPr>
              <w:spacing w:after="0"/>
              <w:rPr>
                <w:rFonts w:ascii="Arial" w:cs="Arial" w:eastAsia="Arial" w:hAnsi="Arial"/>
                <w:sz w:val="18"/>
                <w:szCs w:val="18"/>
                <w:color w:val="0000FF"/>
                <w:w w:val="95"/>
              </w:rPr>
            </w:pPr>
            <w:hyperlink w:anchor="page42">
              <w:r>
                <w:rPr>
                  <w:rFonts w:ascii="Arial" w:cs="Arial" w:eastAsia="Arial" w:hAnsi="Arial"/>
                  <w:sz w:val="18"/>
                  <w:szCs w:val="18"/>
                  <w:color w:val="0000FF"/>
                  <w:w w:val="95"/>
                </w:rPr>
                <w:t>OTHER INFORMATION</w:t>
              </w:r>
            </w:hyperlink>
          </w:p>
        </w:tc>
        <w:tc>
          <w:tcPr>
            <w:tcW w:w="6420" w:type="dxa"/>
            <w:vAlign w:val="bottom"/>
            <w:gridSpan w:val="12"/>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300" w:type="dxa"/>
            <w:vAlign w:val="bottom"/>
            <w:gridSpan w:val="20"/>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Legal Proceedings</w:t>
              </w:r>
            </w:hyperlink>
          </w:p>
        </w:tc>
        <w:tc>
          <w:tcPr>
            <w:tcW w:w="1580" w:type="dxa"/>
            <w:vAlign w:val="bottom"/>
            <w:gridSpan w:val="3"/>
          </w:tcPr>
          <w:p>
            <w:pPr>
              <w:jc w:val="right"/>
              <w:spacing w:after="0"/>
              <w:rPr>
                <w:rFonts w:ascii="Arial" w:cs="Arial" w:eastAsia="Arial" w:hAnsi="Arial"/>
                <w:sz w:val="18"/>
                <w:szCs w:val="18"/>
                <w:color w:val="0000FF"/>
              </w:rPr>
            </w:pPr>
            <w:hyperlink w:anchor="page43">
              <w:r>
                <w:rPr>
                  <w:rFonts w:ascii="Arial" w:cs="Arial" w:eastAsia="Arial" w:hAnsi="Arial"/>
                  <w:sz w:val="18"/>
                  <w:szCs w:val="18"/>
                  <w:color w:val="0000FF"/>
                </w:rPr>
                <w:t>43</w:t>
              </w:r>
            </w:hyperlink>
          </w:p>
        </w:tc>
        <w:tc>
          <w:tcPr>
            <w:tcW w:w="20" w:type="dxa"/>
            <w:vAlign w:val="bottom"/>
          </w:tcPr>
          <w:p>
            <w:pPr>
              <w:spacing w:after="0"/>
              <w:rPr>
                <w:sz w:val="24"/>
                <w:szCs w:val="24"/>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87"/>
              </w:rPr>
            </w:pPr>
            <w:hyperlink w:anchor="page43">
              <w:r>
                <w:rPr>
                  <w:rFonts w:ascii="Arial" w:cs="Arial" w:eastAsia="Arial" w:hAnsi="Arial"/>
                  <w:sz w:val="18"/>
                  <w:szCs w:val="18"/>
                  <w:color w:val="0000FF"/>
                  <w:w w:val="87"/>
                </w:rPr>
                <w:t>Risk Factors</w:t>
              </w:r>
            </w:hyperlink>
          </w:p>
        </w:tc>
        <w:tc>
          <w:tcPr>
            <w:tcW w:w="420" w:type="dxa"/>
            <w:vAlign w:val="bottom"/>
            <w:tcBorders>
              <w:top w:val="single" w:sz="8" w:color="0000FF"/>
            </w:tcBorders>
            <w:gridSpan w:val="2"/>
          </w:tcPr>
          <w:p>
            <w:pPr>
              <w:spacing w:after="0"/>
              <w:rPr>
                <w:sz w:val="24"/>
                <w:szCs w:val="24"/>
                <w:color w:val="auto"/>
              </w:rPr>
            </w:pPr>
          </w:p>
        </w:tc>
        <w:tc>
          <w:tcPr>
            <w:tcW w:w="6980" w:type="dxa"/>
            <w:vAlign w:val="bottom"/>
            <w:gridSpan w:val="15"/>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43">
              <w:r>
                <w:rPr>
                  <w:rFonts w:ascii="Arial" w:cs="Arial" w:eastAsia="Arial" w:hAnsi="Arial"/>
                  <w:sz w:val="18"/>
                  <w:szCs w:val="18"/>
                  <w:color w:val="0000FF"/>
                  <w:w w:val="79"/>
                </w:rPr>
                <w:t>43</w:t>
              </w:r>
            </w:hyperlink>
          </w:p>
        </w:tc>
        <w:tc>
          <w:tcPr>
            <w:tcW w:w="20" w:type="dxa"/>
            <w:vAlign w:val="bottom"/>
          </w:tcPr>
          <w:p>
            <w:pPr>
              <w:spacing w:after="0"/>
              <w:rPr>
                <w:sz w:val="24"/>
                <w:szCs w:val="24"/>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300" w:type="dxa"/>
            <w:vAlign w:val="bottom"/>
            <w:gridSpan w:val="20"/>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Unregistered Sales of Equity Securities and Use of Proceeds</w:t>
              </w:r>
            </w:hyperlink>
          </w:p>
        </w:tc>
        <w:tc>
          <w:tcPr>
            <w:tcW w:w="1580" w:type="dxa"/>
            <w:vAlign w:val="bottom"/>
            <w:gridSpan w:val="3"/>
          </w:tcPr>
          <w:p>
            <w:pPr>
              <w:jc w:val="right"/>
              <w:spacing w:after="0"/>
              <w:rPr>
                <w:rFonts w:ascii="Arial" w:cs="Arial" w:eastAsia="Arial" w:hAnsi="Arial"/>
                <w:sz w:val="18"/>
                <w:szCs w:val="18"/>
                <w:color w:val="0000FF"/>
              </w:rPr>
            </w:pPr>
            <w:hyperlink w:anchor="page43">
              <w:r>
                <w:rPr>
                  <w:rFonts w:ascii="Arial" w:cs="Arial" w:eastAsia="Arial" w:hAnsi="Arial"/>
                  <w:sz w:val="18"/>
                  <w:szCs w:val="18"/>
                  <w:color w:val="0000FF"/>
                </w:rPr>
                <w:t>43</w:t>
              </w:r>
            </w:hyperlink>
          </w:p>
        </w:tc>
        <w:tc>
          <w:tcPr>
            <w:tcW w:w="20" w:type="dxa"/>
            <w:vAlign w:val="bottom"/>
          </w:tcPr>
          <w:p>
            <w:pPr>
              <w:spacing w:after="0"/>
              <w:rPr>
                <w:sz w:val="24"/>
                <w:szCs w:val="24"/>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20" w:type="dxa"/>
            <w:vAlign w:val="bottom"/>
            <w:tcBorders>
              <w:top w:val="single" w:sz="8" w:color="0000FF"/>
              <w:bottom w:val="single" w:sz="8" w:color="0000FF"/>
            </w:tcBorders>
            <w:gridSpan w:val="11"/>
          </w:tcPr>
          <w:p>
            <w:pPr>
              <w:spacing w:after="0"/>
              <w:rPr>
                <w:rFonts w:ascii="Arial" w:cs="Arial" w:eastAsia="Arial" w:hAnsi="Arial"/>
                <w:sz w:val="18"/>
                <w:szCs w:val="18"/>
                <w:color w:val="0000FF"/>
                <w:w w:val="90"/>
              </w:rPr>
            </w:pPr>
            <w:hyperlink w:anchor="page44">
              <w:r>
                <w:rPr>
                  <w:rFonts w:ascii="Arial" w:cs="Arial" w:eastAsia="Arial" w:hAnsi="Arial"/>
                  <w:sz w:val="18"/>
                  <w:szCs w:val="18"/>
                  <w:color w:val="0000FF"/>
                  <w:w w:val="90"/>
                </w:rPr>
                <w:t>Defaults Upon Senior Securities</w:t>
              </w:r>
            </w:hyperlink>
          </w:p>
        </w:tc>
        <w:tc>
          <w:tcPr>
            <w:tcW w:w="2020" w:type="dxa"/>
            <w:vAlign w:val="bottom"/>
            <w:tcBorders>
              <w:top w:val="single" w:sz="8" w:color="0000FF"/>
            </w:tcBorders>
            <w:gridSpan w:val="5"/>
          </w:tcPr>
          <w:p>
            <w:pPr>
              <w:spacing w:after="0"/>
              <w:rPr>
                <w:sz w:val="24"/>
                <w:szCs w:val="24"/>
                <w:color w:val="auto"/>
              </w:rPr>
            </w:pPr>
          </w:p>
        </w:tc>
        <w:tc>
          <w:tcPr>
            <w:tcW w:w="3960" w:type="dxa"/>
            <w:vAlign w:val="bottom"/>
            <w:gridSpan w:val="4"/>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44">
              <w:r>
                <w:rPr>
                  <w:rFonts w:ascii="Arial" w:cs="Arial" w:eastAsia="Arial" w:hAnsi="Arial"/>
                  <w:sz w:val="18"/>
                  <w:szCs w:val="18"/>
                  <w:color w:val="0000FF"/>
                  <w:w w:val="79"/>
                </w:rPr>
                <w:t>44</w:t>
              </w:r>
            </w:hyperlink>
          </w:p>
        </w:tc>
        <w:tc>
          <w:tcPr>
            <w:tcW w:w="20" w:type="dxa"/>
            <w:vAlign w:val="bottom"/>
          </w:tcPr>
          <w:p>
            <w:pPr>
              <w:spacing w:after="0"/>
              <w:rPr>
                <w:sz w:val="24"/>
                <w:szCs w:val="24"/>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8300" w:type="dxa"/>
            <w:vAlign w:val="bottom"/>
            <w:gridSpan w:val="20"/>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Mine Safety Disclosures</w:t>
              </w:r>
            </w:hyperlink>
          </w:p>
        </w:tc>
        <w:tc>
          <w:tcPr>
            <w:tcW w:w="1580" w:type="dxa"/>
            <w:vAlign w:val="bottom"/>
            <w:gridSpan w:val="3"/>
          </w:tcPr>
          <w:p>
            <w:pPr>
              <w:jc w:val="right"/>
              <w:spacing w:after="0"/>
              <w:rPr>
                <w:rFonts w:ascii="Arial" w:cs="Arial" w:eastAsia="Arial" w:hAnsi="Arial"/>
                <w:sz w:val="18"/>
                <w:szCs w:val="18"/>
                <w:color w:val="0000FF"/>
              </w:rPr>
            </w:pPr>
            <w:hyperlink w:anchor="page44">
              <w:r>
                <w:rPr>
                  <w:rFonts w:ascii="Arial" w:cs="Arial" w:eastAsia="Arial" w:hAnsi="Arial"/>
                  <w:sz w:val="18"/>
                  <w:szCs w:val="18"/>
                  <w:color w:val="0000FF"/>
                </w:rPr>
                <w:t>44</w:t>
              </w:r>
            </w:hyperlink>
          </w:p>
        </w:tc>
        <w:tc>
          <w:tcPr>
            <w:tcW w:w="20" w:type="dxa"/>
            <w:vAlign w:val="bottom"/>
          </w:tcPr>
          <w:p>
            <w:pPr>
              <w:spacing w:after="0"/>
              <w:rPr>
                <w:sz w:val="24"/>
                <w:szCs w:val="24"/>
                <w:color w:val="auto"/>
              </w:rPr>
            </w:pPr>
          </w:p>
        </w:tc>
      </w:tr>
      <w:tr>
        <w:trPr>
          <w:trHeight w:val="318"/>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FF"/>
            </w:tcBorders>
            <w:gridSpan w:val="6"/>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Other Information</w:t>
              </w:r>
            </w:hyperlink>
          </w:p>
        </w:tc>
        <w:tc>
          <w:tcPr>
            <w:tcW w:w="6540" w:type="dxa"/>
            <w:vAlign w:val="bottom"/>
            <w:gridSpan w:val="14"/>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44">
              <w:r>
                <w:rPr>
                  <w:rFonts w:ascii="Arial" w:cs="Arial" w:eastAsia="Arial" w:hAnsi="Arial"/>
                  <w:sz w:val="18"/>
                  <w:szCs w:val="18"/>
                  <w:color w:val="0000FF"/>
                  <w:w w:val="79"/>
                </w:rPr>
                <w:t>44</w:t>
              </w:r>
            </w:hyperlink>
          </w:p>
        </w:tc>
        <w:tc>
          <w:tcPr>
            <w:tcW w:w="20" w:type="dxa"/>
            <w:vAlign w:val="bottom"/>
          </w:tcPr>
          <w:p>
            <w:pPr>
              <w:spacing w:after="0"/>
              <w:rPr>
                <w:sz w:val="24"/>
                <w:szCs w:val="24"/>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1"/>
              </w:rPr>
            </w:pPr>
            <w:hyperlink w:anchor="page44">
              <w:r>
                <w:rPr>
                  <w:rFonts w:ascii="Arial" w:cs="Arial" w:eastAsia="Arial" w:hAnsi="Arial"/>
                  <w:sz w:val="18"/>
                  <w:szCs w:val="18"/>
                  <w:color w:val="0000FF"/>
                  <w:w w:val="91"/>
                </w:rPr>
                <w:t>Exhibits</w:t>
              </w:r>
            </w:hyperlink>
          </w:p>
        </w:tc>
        <w:tc>
          <w:tcPr>
            <w:tcW w:w="700" w:type="dxa"/>
            <w:vAlign w:val="bottom"/>
            <w:tcBorders>
              <w:top w:val="single" w:sz="8" w:color="0000FF"/>
            </w:tcBorders>
            <w:gridSpan w:val="2"/>
          </w:tcPr>
          <w:p>
            <w:pPr>
              <w:spacing w:after="0"/>
              <w:rPr>
                <w:sz w:val="24"/>
                <w:szCs w:val="24"/>
                <w:color w:val="auto"/>
              </w:rPr>
            </w:pPr>
          </w:p>
        </w:tc>
        <w:tc>
          <w:tcPr>
            <w:tcW w:w="7000" w:type="dxa"/>
            <w:vAlign w:val="bottom"/>
            <w:gridSpan w:val="16"/>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44">
              <w:r>
                <w:rPr>
                  <w:rFonts w:ascii="Arial" w:cs="Arial" w:eastAsia="Arial" w:hAnsi="Arial"/>
                  <w:sz w:val="18"/>
                  <w:szCs w:val="18"/>
                  <w:color w:val="0000FF"/>
                  <w:w w:val="79"/>
                </w:rPr>
                <w:t>45</w:t>
              </w:r>
            </w:hyperlink>
          </w:p>
        </w:tc>
        <w:tc>
          <w:tcPr>
            <w:tcW w:w="20" w:type="dxa"/>
            <w:vAlign w:val="bottom"/>
          </w:tcPr>
          <w:p>
            <w:pPr>
              <w:spacing w:after="0"/>
              <w:rPr>
                <w:sz w:val="24"/>
                <w:szCs w:val="24"/>
                <w:color w:val="auto"/>
              </w:rPr>
            </w:pPr>
          </w:p>
        </w:tc>
      </w:tr>
      <w:tr>
        <w:trPr>
          <w:trHeight w:val="304"/>
        </w:trPr>
        <w:tc>
          <w:tcPr>
            <w:tcW w:w="120" w:type="dxa"/>
            <w:vAlign w:val="bottom"/>
          </w:tcPr>
          <w:p>
            <w:pPr>
              <w:spacing w:after="0"/>
              <w:rPr>
                <w:sz w:val="24"/>
                <w:szCs w:val="24"/>
                <w:color w:val="auto"/>
              </w:rPr>
            </w:pPr>
          </w:p>
        </w:tc>
        <w:tc>
          <w:tcPr>
            <w:tcW w:w="700" w:type="dxa"/>
            <w:vAlign w:val="bottom"/>
            <w:tcBorders>
              <w:bottom w:val="single" w:sz="8" w:color="0000FF"/>
            </w:tcBorders>
          </w:tcPr>
          <w:p>
            <w:pPr>
              <w:spacing w:after="0"/>
              <w:rPr>
                <w:rFonts w:ascii="Arial" w:cs="Arial" w:eastAsia="Arial" w:hAnsi="Arial"/>
                <w:sz w:val="18"/>
                <w:szCs w:val="18"/>
                <w:color w:val="0000FF"/>
                <w:w w:val="88"/>
              </w:rPr>
            </w:pPr>
            <w:hyperlink w:anchor="page45">
              <w:r>
                <w:rPr>
                  <w:rFonts w:ascii="Arial" w:cs="Arial" w:eastAsia="Arial" w:hAnsi="Arial"/>
                  <w:sz w:val="18"/>
                  <w:szCs w:val="18"/>
                  <w:color w:val="0000FF"/>
                  <w:w w:val="88"/>
                </w:rPr>
                <w:t>Signature</w:t>
              </w:r>
            </w:hyperlink>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45">
              <w:r>
                <w:rPr>
                  <w:rFonts w:ascii="Arial" w:cs="Arial" w:eastAsia="Arial" w:hAnsi="Arial"/>
                  <w:sz w:val="18"/>
                  <w:szCs w:val="18"/>
                  <w:color w:val="0000FF"/>
                  <w:w w:val="79"/>
                </w:rPr>
                <w:t>46</w:t>
              </w:r>
            </w:hyperlink>
          </w:p>
        </w:tc>
        <w:tc>
          <w:tcPr>
            <w:tcW w:w="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PART I. FINANCIAL INFORMATION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Item 1. Unaudited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 and Comprehensive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Periods Ended July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for earnings per share)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Three Months</w:t>
            </w:r>
          </w:p>
        </w:tc>
        <w:tc>
          <w:tcPr>
            <w:tcW w:w="9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Nine Months</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763.4</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578.2</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2,163.4</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1,749.3</w:t>
            </w:r>
          </w:p>
        </w:tc>
        <w:tc>
          <w:tcPr>
            <w:tcW w:w="0" w:type="dxa"/>
            <w:vAlign w:val="bottom"/>
          </w:tcPr>
          <w:p>
            <w:pPr>
              <w:spacing w:after="0"/>
              <w:rPr>
                <w:sz w:val="1"/>
                <w:szCs w:val="1"/>
                <w:color w:val="auto"/>
              </w:rPr>
            </w:pPr>
          </w:p>
        </w:tc>
      </w:tr>
      <w:tr>
        <w:trPr>
          <w:trHeight w:val="229"/>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247.3</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217.4</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709.5</w:t>
            </w:r>
          </w:p>
        </w:tc>
        <w:tc>
          <w:tcPr>
            <w:tcW w:w="1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638.5</w:t>
            </w:r>
          </w:p>
        </w:tc>
        <w:tc>
          <w:tcPr>
            <w:tcW w:w="0" w:type="dxa"/>
            <w:vAlign w:val="bottom"/>
          </w:tcPr>
          <w:p>
            <w:pPr>
              <w:spacing w:after="0"/>
              <w:rPr>
                <w:sz w:val="1"/>
                <w:szCs w:val="1"/>
                <w:color w:val="auto"/>
              </w:rPr>
            </w:pPr>
          </w:p>
        </w:tc>
      </w:tr>
      <w:tr>
        <w:trPr>
          <w:trHeight w:val="223"/>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516.1</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360.8</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1,453.9</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1,110.8</w:t>
            </w:r>
          </w:p>
        </w:tc>
        <w:tc>
          <w:tcPr>
            <w:tcW w:w="0" w:type="dxa"/>
            <w:vAlign w:val="bottom"/>
          </w:tcPr>
          <w:p>
            <w:pPr>
              <w:spacing w:after="0"/>
              <w:rPr>
                <w:sz w:val="1"/>
                <w:szCs w:val="1"/>
                <w:color w:val="auto"/>
              </w:rPr>
            </w:pPr>
          </w:p>
        </w:tc>
      </w:tr>
      <w:tr>
        <w:trPr>
          <w:trHeight w:val="229"/>
        </w:trPr>
        <w:tc>
          <w:tcPr>
            <w:tcW w:w="504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352.5</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232.8</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899.6</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728.3</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29"/>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intangibles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w:t>
            </w:r>
          </w:p>
        </w:tc>
        <w:tc>
          <w:tcPr>
            <w:tcW w:w="1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23"/>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377.3</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w:t>
            </w:r>
          </w:p>
        </w:tc>
        <w:tc>
          <w:tcPr>
            <w:tcW w:w="0" w:type="dxa"/>
            <w:vAlign w:val="bottom"/>
          </w:tcPr>
          <w:p>
            <w:pPr>
              <w:spacing w:after="0"/>
              <w:rPr>
                <w:sz w:val="1"/>
                <w:szCs w:val="1"/>
                <w:color w:val="auto"/>
              </w:rPr>
            </w:pPr>
          </w:p>
        </w:tc>
      </w:tr>
      <w:tr>
        <w:trPr>
          <w:trHeight w:val="229"/>
        </w:trPr>
        <w:tc>
          <w:tcPr>
            <w:tcW w:w="50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18.1</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3"/>
        </w:trPr>
        <w:tc>
          <w:tcPr>
            <w:tcW w:w="504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94.0</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66.4</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369.9</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172.8</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 (Note 6)</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(521.8)</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(2,464.5)</w:t>
            </w:r>
          </w:p>
        </w:tc>
        <w:tc>
          <w:tcPr>
            <w:tcW w:w="1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196"/>
        </w:trPr>
        <w:tc>
          <w:tcPr>
            <w:tcW w:w="5040" w:type="dxa"/>
            <w:vAlign w:val="bottom"/>
          </w:tcPr>
          <w:p>
            <w:pPr>
              <w:ind w:left="20"/>
              <w:spacing w:after="0" w:line="196" w:lineRule="exact"/>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615.8</w:t>
            </w:r>
          </w:p>
        </w:tc>
        <w:tc>
          <w:tcPr>
            <w:tcW w:w="140" w:type="dxa"/>
            <w:vAlign w:val="bottom"/>
          </w:tcPr>
          <w:p>
            <w:pPr>
              <w:spacing w:after="0"/>
              <w:rPr>
                <w:sz w:val="17"/>
                <w:szCs w:val="17"/>
                <w:color w:val="auto"/>
              </w:rPr>
            </w:pPr>
          </w:p>
        </w:tc>
        <w:tc>
          <w:tcPr>
            <w:tcW w:w="46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55.2</w:t>
            </w:r>
          </w:p>
        </w:tc>
        <w:tc>
          <w:tcPr>
            <w:tcW w:w="14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2,834.4</w:t>
            </w:r>
          </w:p>
        </w:tc>
        <w:tc>
          <w:tcPr>
            <w:tcW w:w="160" w:type="dxa"/>
            <w:vAlign w:val="bottom"/>
          </w:tcPr>
          <w:p>
            <w:pPr>
              <w:spacing w:after="0"/>
              <w:rPr>
                <w:sz w:val="17"/>
                <w:szCs w:val="17"/>
                <w:color w:val="auto"/>
              </w:rPr>
            </w:pPr>
          </w:p>
        </w:tc>
        <w:tc>
          <w:tcPr>
            <w:tcW w:w="44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157.2</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Earnings per share (Note 7):</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36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w:t>
            </w:r>
          </w:p>
        </w:tc>
        <w:tc>
          <w:tcPr>
            <w:tcW w:w="14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57.61</w:t>
            </w:r>
          </w:p>
        </w:tc>
        <w:tc>
          <w:tcPr>
            <w:tcW w:w="16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57.01</w:t>
            </w:r>
          </w:p>
        </w:tc>
        <w:tc>
          <w:tcPr>
            <w:tcW w:w="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Number of shares used to compute earnings per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0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Diluted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040" w:type="dxa"/>
            <w:vAlign w:val="bottom"/>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49.8</w:t>
            </w:r>
          </w:p>
        </w:tc>
        <w:tc>
          <w:tcPr>
            <w:tcW w:w="14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49.5</w:t>
            </w:r>
          </w:p>
        </w:tc>
        <w:tc>
          <w:tcPr>
            <w:tcW w:w="1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49.7</w:t>
            </w:r>
          </w:p>
        </w:tc>
        <w:tc>
          <w:tcPr>
            <w:tcW w:w="16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Other comprehensive (loss) income, net of tax:</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360"/>
              <w:spacing w:after="0"/>
              <w:rPr>
                <w:sz w:val="20"/>
                <w:szCs w:val="20"/>
                <w:color w:val="auto"/>
              </w:rPr>
            </w:pPr>
            <w:r>
              <w:rPr>
                <w:rFonts w:ascii="Arial" w:cs="Arial" w:eastAsia="Arial" w:hAnsi="Arial"/>
                <w:sz w:val="18"/>
                <w:szCs w:val="18"/>
                <w:color w:val="auto"/>
              </w:rPr>
              <w:t>Cash flow hedges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(8.9)</w:t>
            </w:r>
          </w:p>
        </w:tc>
        <w:tc>
          <w:tcPr>
            <w:tcW w:w="14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1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23"/>
        </w:trPr>
        <w:tc>
          <w:tcPr>
            <w:tcW w:w="504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603.2</w:t>
            </w:r>
          </w:p>
        </w:tc>
        <w:tc>
          <w:tcPr>
            <w:tcW w:w="14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123.3</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2,946.6</w:t>
            </w:r>
          </w:p>
        </w:tc>
        <w:tc>
          <w:tcPr>
            <w:tcW w:w="16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159.6</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60" w:type="dxa"/>
            <w:vAlign w:val="bottom"/>
            <w:gridSpan w:val="2"/>
          </w:tcPr>
          <w:p>
            <w:pPr>
              <w:ind w:left="200"/>
              <w:spacing w:after="0"/>
              <w:rPr>
                <w:sz w:val="20"/>
                <w:szCs w:val="20"/>
                <w:color w:val="auto"/>
              </w:rPr>
            </w:pPr>
            <w:r>
              <w:rPr>
                <w:rFonts w:ascii="Arial" w:cs="Arial" w:eastAsia="Arial" w:hAnsi="Arial"/>
                <w:sz w:val="14"/>
                <w:szCs w:val="14"/>
                <w:b w:val="1"/>
                <w:bCs w:val="1"/>
                <w:color w:val="auto"/>
              </w:rPr>
              <w:t>July 31, 2021</w:t>
            </w:r>
          </w:p>
        </w:tc>
        <w:tc>
          <w:tcPr>
            <w:tcW w:w="260" w:type="dxa"/>
            <w:vAlign w:val="bottom"/>
          </w:tcPr>
          <w:p>
            <w:pPr>
              <w:spacing w:after="0"/>
              <w:rPr>
                <w:sz w:val="16"/>
                <w:szCs w:val="16"/>
                <w:color w:val="auto"/>
              </w:rPr>
            </w:pPr>
          </w:p>
        </w:tc>
        <w:tc>
          <w:tcPr>
            <w:tcW w:w="1600" w:type="dxa"/>
            <w:vAlign w:val="bottom"/>
          </w:tcPr>
          <w:p>
            <w:pPr>
              <w:jc w:val="right"/>
              <w:ind w:right="330"/>
              <w:spacing w:after="0"/>
              <w:rPr>
                <w:sz w:val="20"/>
                <w:szCs w:val="20"/>
                <w:color w:val="auto"/>
              </w:rPr>
            </w:pPr>
            <w:r>
              <w:rPr>
                <w:rFonts w:ascii="Arial" w:cs="Arial" w:eastAsia="Arial" w:hAnsi="Arial"/>
                <w:sz w:val="14"/>
                <w:szCs w:val="14"/>
                <w:b w:val="1"/>
                <w:bCs w:val="1"/>
                <w:color w:val="auto"/>
              </w:rPr>
              <w:t>October 31, 2020</w:t>
            </w:r>
          </w:p>
        </w:tc>
        <w:tc>
          <w:tcPr>
            <w:tcW w:w="0" w:type="dxa"/>
            <w:vAlign w:val="bottom"/>
          </w:tcPr>
          <w:p>
            <w:pPr>
              <w:spacing w:after="0"/>
              <w:rPr>
                <w:sz w:val="1"/>
                <w:szCs w:val="1"/>
                <w:color w:val="auto"/>
              </w:rPr>
            </w:pPr>
          </w:p>
        </w:tc>
      </w:tr>
      <w:tr>
        <w:trPr>
          <w:trHeight w:val="216"/>
        </w:trPr>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0" w:type="dxa"/>
            <w:vAlign w:val="bottom"/>
          </w:tcPr>
          <w:p>
            <w:pPr>
              <w:spacing w:after="0"/>
              <w:rPr>
                <w:sz w:val="1"/>
                <w:szCs w:val="1"/>
                <w:color w:val="auto"/>
              </w:rPr>
            </w:pPr>
          </w:p>
        </w:tc>
      </w:tr>
      <w:tr>
        <w:trPr>
          <w:trHeight w:val="175"/>
        </w:trPr>
        <w:tc>
          <w:tcPr>
            <w:tcW w:w="7400" w:type="dxa"/>
            <w:vAlign w:val="bottom"/>
          </w:tcPr>
          <w:p>
            <w:pPr>
              <w:ind w:left="360"/>
              <w:spacing w:after="0" w:line="176" w:lineRule="exact"/>
              <w:rPr>
                <w:sz w:val="20"/>
                <w:szCs w:val="20"/>
                <w:color w:val="auto"/>
              </w:rPr>
            </w:pPr>
            <w:r>
              <w:rPr>
                <w:rFonts w:ascii="Arial" w:cs="Arial" w:eastAsia="Arial" w:hAnsi="Arial"/>
                <w:sz w:val="18"/>
                <w:szCs w:val="18"/>
                <w:color w:val="auto"/>
                <w:w w:val="90"/>
              </w:rPr>
              <w:t>Trade accounts receivable, net of allowance for credit losses of $9.1 at July 31, 2021 and $10.2 at</w:t>
            </w:r>
          </w:p>
        </w:tc>
        <w:tc>
          <w:tcPr>
            <w:tcW w:w="320" w:type="dxa"/>
            <w:vAlign w:val="bottom"/>
          </w:tcPr>
          <w:p>
            <w:pPr>
              <w:spacing w:after="0"/>
              <w:rPr>
                <w:sz w:val="15"/>
                <w:szCs w:val="15"/>
                <w:color w:val="auto"/>
              </w:rPr>
            </w:pPr>
          </w:p>
        </w:tc>
        <w:tc>
          <w:tcPr>
            <w:tcW w:w="1540" w:type="dxa"/>
            <w:vAlign w:val="bottom"/>
            <w:vMerge w:val="restart"/>
          </w:tcPr>
          <w:p>
            <w:pPr>
              <w:jc w:val="right"/>
              <w:spacing w:after="0"/>
              <w:rPr>
                <w:sz w:val="20"/>
                <w:szCs w:val="20"/>
                <w:color w:val="auto"/>
              </w:rPr>
            </w:pPr>
            <w:r>
              <w:rPr>
                <w:rFonts w:ascii="Arial" w:cs="Arial" w:eastAsia="Arial" w:hAnsi="Arial"/>
                <w:sz w:val="18"/>
                <w:szCs w:val="18"/>
                <w:color w:val="auto"/>
              </w:rPr>
              <w:t>535.1</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435.4</w:t>
            </w:r>
          </w:p>
        </w:tc>
        <w:tc>
          <w:tcPr>
            <w:tcW w:w="0" w:type="dxa"/>
            <w:vAlign w:val="bottom"/>
          </w:tcPr>
          <w:p>
            <w:pPr>
              <w:spacing w:after="0"/>
              <w:rPr>
                <w:sz w:val="1"/>
                <w:szCs w:val="1"/>
                <w:color w:val="auto"/>
              </w:rPr>
            </w:pPr>
          </w:p>
        </w:tc>
      </w:tr>
      <w:tr>
        <w:trPr>
          <w:trHeight w:val="230"/>
        </w:trPr>
        <w:tc>
          <w:tcPr>
            <w:tcW w:w="7400" w:type="dxa"/>
            <w:vAlign w:val="bottom"/>
          </w:tcPr>
          <w:p>
            <w:pPr>
              <w:ind w:left="360"/>
              <w:spacing w:after="0"/>
              <w:rPr>
                <w:sz w:val="20"/>
                <w:szCs w:val="20"/>
                <w:color w:val="auto"/>
              </w:rPr>
            </w:pPr>
            <w:r>
              <w:rPr>
                <w:rFonts w:ascii="Arial" w:cs="Arial" w:eastAsia="Arial" w:hAnsi="Arial"/>
                <w:sz w:val="18"/>
                <w:szCs w:val="18"/>
                <w:color w:val="auto"/>
              </w:rPr>
              <w:t>October 31, 2020</w:t>
            </w:r>
          </w:p>
        </w:tc>
        <w:tc>
          <w:tcPr>
            <w:tcW w:w="320" w:type="dxa"/>
            <w:vAlign w:val="bottom"/>
          </w:tcPr>
          <w:p>
            <w:pPr>
              <w:spacing w:after="0"/>
              <w:rPr>
                <w:sz w:val="19"/>
                <w:szCs w:val="19"/>
                <w:color w:val="auto"/>
              </w:rPr>
            </w:pPr>
          </w:p>
        </w:tc>
        <w:tc>
          <w:tcPr>
            <w:tcW w:w="15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 (Note 3)</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570.4</w:t>
            </w:r>
          </w:p>
        </w:tc>
        <w:tc>
          <w:tcPr>
            <w:tcW w:w="0" w:type="dxa"/>
            <w:vAlign w:val="bottom"/>
          </w:tcPr>
          <w:p>
            <w:pPr>
              <w:spacing w:after="0"/>
              <w:rPr>
                <w:sz w:val="1"/>
                <w:szCs w:val="1"/>
                <w:color w:val="auto"/>
              </w:rPr>
            </w:pPr>
          </w:p>
        </w:tc>
      </w:tr>
      <w:tr>
        <w:trPr>
          <w:trHeight w:val="229"/>
        </w:trPr>
        <w:tc>
          <w:tcPr>
            <w:tcW w:w="7400" w:type="dxa"/>
            <w:vAlign w:val="bottom"/>
          </w:tcPr>
          <w:p>
            <w:pPr>
              <w:ind w:left="360"/>
              <w:spacing w:after="0"/>
              <w:rPr>
                <w:sz w:val="20"/>
                <w:szCs w:val="20"/>
                <w:color w:val="auto"/>
              </w:rPr>
            </w:pPr>
            <w:r>
              <w:rPr>
                <w:rFonts w:ascii="Arial" w:cs="Arial" w:eastAsia="Arial" w:hAnsi="Arial"/>
                <w:sz w:val="18"/>
                <w:szCs w:val="18"/>
                <w:color w:val="auto"/>
              </w:rPr>
              <w:t>Prepaid expense and other current assets</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151.3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152.5</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Assets held-for-sale (Note 2)</w:t>
            </w:r>
          </w:p>
        </w:tc>
        <w:tc>
          <w:tcPr>
            <w:tcW w:w="3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4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current assets</w:t>
            </w: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1,474.6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1,274.2</w:t>
            </w:r>
          </w:p>
        </w:tc>
        <w:tc>
          <w:tcPr>
            <w:tcW w:w="0" w:type="dxa"/>
            <w:vAlign w:val="bottom"/>
          </w:tcPr>
          <w:p>
            <w:pPr>
              <w:spacing w:after="0"/>
              <w:rPr>
                <w:sz w:val="1"/>
                <w:szCs w:val="1"/>
                <w:color w:val="auto"/>
              </w:rPr>
            </w:pPr>
          </w:p>
        </w:tc>
      </w:tr>
      <w:tr>
        <w:trPr>
          <w:trHeight w:val="223"/>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at cost</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2,618.1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2,474.8</w:t>
            </w:r>
          </w:p>
        </w:tc>
        <w:tc>
          <w:tcPr>
            <w:tcW w:w="0" w:type="dxa"/>
            <w:vAlign w:val="bottom"/>
          </w:tcPr>
          <w:p>
            <w:pPr>
              <w:spacing w:after="0"/>
              <w:rPr>
                <w:sz w:val="1"/>
                <w:szCs w:val="1"/>
                <w:color w:val="auto"/>
              </w:rPr>
            </w:pPr>
          </w:p>
        </w:tc>
      </w:tr>
      <w:tr>
        <w:trPr>
          <w:trHeight w:val="229"/>
        </w:trPr>
        <w:tc>
          <w:tcPr>
            <w:tcW w:w="7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Less: accumulated depreciation and amortization</w:t>
            </w: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1,303.8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1,192.9</w:t>
            </w:r>
          </w:p>
        </w:tc>
        <w:tc>
          <w:tcPr>
            <w:tcW w:w="0" w:type="dxa"/>
            <w:vAlign w:val="bottom"/>
          </w:tcPr>
          <w:p>
            <w:pPr>
              <w:spacing w:after="0"/>
              <w:rPr>
                <w:sz w:val="1"/>
                <w:szCs w:val="1"/>
                <w:color w:val="auto"/>
              </w:rPr>
            </w:pPr>
          </w:p>
        </w:tc>
      </w:tr>
      <w:tr>
        <w:trPr>
          <w:trHeight w:val="223"/>
        </w:trPr>
        <w:tc>
          <w:tcPr>
            <w:tcW w:w="74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1,314.3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1,281.9</w:t>
            </w:r>
          </w:p>
        </w:tc>
        <w:tc>
          <w:tcPr>
            <w:tcW w:w="0" w:type="dxa"/>
            <w:vAlign w:val="bottom"/>
          </w:tcPr>
          <w:p>
            <w:pPr>
              <w:spacing w:after="0"/>
              <w:rPr>
                <w:sz w:val="1"/>
                <w:szCs w:val="1"/>
                <w:color w:val="auto"/>
              </w:rPr>
            </w:pPr>
          </w:p>
        </w:tc>
      </w:tr>
      <w:tr>
        <w:trPr>
          <w:trHeight w:val="223"/>
        </w:trPr>
        <w:tc>
          <w:tcPr>
            <w:tcW w:w="740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256.3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260.2</w:t>
            </w: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(Note 4)</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2,585.2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2,447.3</w:t>
            </w:r>
          </w:p>
        </w:tc>
        <w:tc>
          <w:tcPr>
            <w:tcW w:w="0" w:type="dxa"/>
            <w:vAlign w:val="bottom"/>
          </w:tcPr>
          <w:p>
            <w:pPr>
              <w:spacing w:after="0"/>
              <w:rPr>
                <w:sz w:val="1"/>
                <w:szCs w:val="1"/>
                <w:color w:val="auto"/>
              </w:rPr>
            </w:pPr>
          </w:p>
        </w:tc>
      </w:tr>
      <w:tr>
        <w:trPr>
          <w:trHeight w:val="229"/>
        </w:trPr>
        <w:tc>
          <w:tcPr>
            <w:tcW w:w="7400" w:type="dxa"/>
            <w:vAlign w:val="bottom"/>
          </w:tcPr>
          <w:p>
            <w:pPr>
              <w:ind w:left="20"/>
              <w:spacing w:after="0"/>
              <w:rPr>
                <w:sz w:val="20"/>
                <w:szCs w:val="20"/>
                <w:color w:val="auto"/>
              </w:rPr>
            </w:pPr>
            <w:r>
              <w:rPr>
                <w:rFonts w:ascii="Arial" w:cs="Arial" w:eastAsia="Arial" w:hAnsi="Arial"/>
                <w:sz w:val="18"/>
                <w:szCs w:val="18"/>
                <w:color w:val="auto"/>
              </w:rPr>
              <w:t>Other intangibles, net (Note 4)</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1,308.1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1,289.0</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 (Note 6)</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29"/>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48"/>
        </w:trPr>
        <w:tc>
          <w:tcPr>
            <w:tcW w:w="74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9,610.6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6,737.5</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4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tcPr>
          <w:p>
            <w:pPr>
              <w:ind w:left="360"/>
              <w:spacing w:after="0"/>
              <w:rPr>
                <w:sz w:val="20"/>
                <w:szCs w:val="20"/>
                <w:color w:val="auto"/>
              </w:rPr>
            </w:pPr>
            <w:r>
              <w:rPr>
                <w:rFonts w:ascii="Arial" w:cs="Arial" w:eastAsia="Arial" w:hAnsi="Arial"/>
                <w:sz w:val="18"/>
                <w:szCs w:val="18"/>
                <w:color w:val="auto"/>
              </w:rPr>
              <w:t>Short-term debt (Note 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440.1</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409.3</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w:t>
            </w:r>
          </w:p>
        </w:tc>
        <w:tc>
          <w:tcPr>
            <w:tcW w:w="0" w:type="dxa"/>
            <w:vAlign w:val="bottom"/>
          </w:tcPr>
          <w:p>
            <w:pPr>
              <w:spacing w:after="0"/>
              <w:rPr>
                <w:sz w:val="1"/>
                <w:szCs w:val="1"/>
                <w:color w:val="auto"/>
              </w:rPr>
            </w:pPr>
          </w:p>
        </w:tc>
      </w:tr>
      <w:tr>
        <w:trPr>
          <w:trHeight w:val="230"/>
        </w:trPr>
        <w:tc>
          <w:tcPr>
            <w:tcW w:w="7400" w:type="dxa"/>
            <w:vAlign w:val="bottom"/>
          </w:tcPr>
          <w:p>
            <w:pPr>
              <w:ind w:left="360"/>
              <w:spacing w:after="0"/>
              <w:rPr>
                <w:sz w:val="20"/>
                <w:szCs w:val="20"/>
                <w:color w:val="auto"/>
              </w:rPr>
            </w:pPr>
            <w:r>
              <w:rPr>
                <w:rFonts w:ascii="Arial" w:cs="Arial" w:eastAsia="Arial" w:hAnsi="Arial"/>
                <w:sz w:val="18"/>
                <w:szCs w:val="18"/>
                <w:color w:val="auto"/>
              </w:rPr>
              <w:t>Employee compensation and benefits</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155.6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119.0</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liabilities</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29"/>
        </w:trPr>
        <w:tc>
          <w:tcPr>
            <w:tcW w:w="740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283.2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266.8</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Liabilities held-for-sale (Note 2)</w:t>
            </w:r>
          </w:p>
        </w:tc>
        <w:tc>
          <w:tcPr>
            <w:tcW w:w="3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4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current liabilities</w:t>
            </w: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1,004.4</w:t>
            </w:r>
          </w:p>
        </w:tc>
        <w:tc>
          <w:tcPr>
            <w:tcW w:w="0" w:type="dxa"/>
            <w:vAlign w:val="bottom"/>
          </w:tcPr>
          <w:p>
            <w:pPr>
              <w:spacing w:after="0"/>
              <w:rPr>
                <w:sz w:val="1"/>
                <w:szCs w:val="1"/>
                <w:color w:val="auto"/>
              </w:rPr>
            </w:pPr>
          </w:p>
        </w:tc>
      </w:tr>
      <w:tr>
        <w:trPr>
          <w:trHeight w:val="223"/>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(Note 5)</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1,383.9</w:t>
            </w:r>
          </w:p>
        </w:tc>
        <w:tc>
          <w:tcPr>
            <w:tcW w:w="0" w:type="dxa"/>
            <w:vAlign w:val="bottom"/>
          </w:tcPr>
          <w:p>
            <w:pPr>
              <w:spacing w:after="0"/>
              <w:rPr>
                <w:sz w:val="1"/>
                <w:szCs w:val="1"/>
                <w:color w:val="auto"/>
              </w:rPr>
            </w:pP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Deferred tax liabilities (Note 6)</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tax payable (Note 6)</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w:t>
            </w:r>
          </w:p>
        </w:tc>
        <w:tc>
          <w:tcPr>
            <w:tcW w:w="0" w:type="dxa"/>
            <w:vAlign w:val="bottom"/>
          </w:tcPr>
          <w:p>
            <w:pPr>
              <w:spacing w:after="0"/>
              <w:rPr>
                <w:sz w:val="1"/>
                <w:szCs w:val="1"/>
                <w:color w:val="auto"/>
              </w:rPr>
            </w:pP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236.7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236.8</w:t>
            </w: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pension liability and other</w:t>
            </w:r>
          </w:p>
        </w:tc>
        <w:tc>
          <w:tcPr>
            <w:tcW w:w="3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23"/>
        </w:trPr>
        <w:tc>
          <w:tcPr>
            <w:tcW w:w="7400" w:type="dxa"/>
            <w:vAlign w:val="bottom"/>
          </w:tcPr>
          <w:p>
            <w:pPr>
              <w:ind w:left="680"/>
              <w:spacing w:after="0"/>
              <w:rPr>
                <w:sz w:val="20"/>
                <w:szCs w:val="20"/>
                <w:color w:val="auto"/>
              </w:rPr>
            </w:pPr>
            <w:r>
              <w:rPr>
                <w:rFonts w:ascii="Arial" w:cs="Arial" w:eastAsia="Arial" w:hAnsi="Arial"/>
                <w:sz w:val="18"/>
                <w:szCs w:val="18"/>
                <w:color w:val="auto"/>
              </w:rPr>
              <w:t>Total liabilities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2,825.2</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2,912.7</w:t>
            </w: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Contingencies (Note 12)</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Stockholders’ equity (Note 9):</w:t>
            </w:r>
          </w:p>
        </w:tc>
        <w:tc>
          <w:tcPr>
            <w:tcW w:w="3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4"/>
              </w:rPr>
              <w:t>Preferred stock, 10 cents par value, 1.0 shares authorized, zero shares issued or outstanding</w:t>
            </w:r>
          </w:p>
        </w:tc>
        <w:tc>
          <w:tcPr>
            <w:tcW w:w="3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7400" w:type="dxa"/>
            <w:vAlign w:val="bottom"/>
          </w:tcPr>
          <w:p>
            <w:pPr>
              <w:ind w:left="360"/>
              <w:spacing w:after="0" w:line="176" w:lineRule="exact"/>
              <w:rPr>
                <w:sz w:val="20"/>
                <w:szCs w:val="20"/>
                <w:color w:val="auto"/>
              </w:rPr>
            </w:pPr>
            <w:r>
              <w:rPr>
                <w:rFonts w:ascii="Arial" w:cs="Arial" w:eastAsia="Arial" w:hAnsi="Arial"/>
                <w:sz w:val="18"/>
                <w:szCs w:val="18"/>
                <w:color w:val="auto"/>
                <w:w w:val="90"/>
              </w:rPr>
              <w:t>Common stock, 10 cents par value, 120.0 shares authorized, 53.6 issued and 49.2 outstanding at</w:t>
            </w:r>
          </w:p>
        </w:tc>
        <w:tc>
          <w:tcPr>
            <w:tcW w:w="320" w:type="dxa"/>
            <w:vAlign w:val="bottom"/>
          </w:tcPr>
          <w:p>
            <w:pPr>
              <w:spacing w:after="0"/>
              <w:rPr>
                <w:sz w:val="15"/>
                <w:szCs w:val="15"/>
                <w:color w:val="auto"/>
              </w:rPr>
            </w:pPr>
          </w:p>
        </w:tc>
        <w:tc>
          <w:tcPr>
            <w:tcW w:w="1540" w:type="dxa"/>
            <w:vAlign w:val="bottom"/>
            <w:vMerge w:val="restart"/>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7400" w:type="dxa"/>
            <w:vAlign w:val="bottom"/>
          </w:tcPr>
          <w:p>
            <w:pPr>
              <w:ind w:left="360"/>
              <w:spacing w:after="0"/>
              <w:rPr>
                <w:sz w:val="20"/>
                <w:szCs w:val="20"/>
                <w:color w:val="auto"/>
              </w:rPr>
            </w:pPr>
            <w:r>
              <w:rPr>
                <w:rFonts w:ascii="Arial" w:cs="Arial" w:eastAsia="Arial" w:hAnsi="Arial"/>
                <w:sz w:val="18"/>
                <w:szCs w:val="18"/>
                <w:color w:val="auto"/>
              </w:rPr>
              <w:t>July 31, 2021 and 53.4 issued and 49.1 outstanding at October 31, 2020</w:t>
            </w:r>
          </w:p>
        </w:tc>
        <w:tc>
          <w:tcPr>
            <w:tcW w:w="320" w:type="dxa"/>
            <w:vAlign w:val="bottom"/>
          </w:tcPr>
          <w:p>
            <w:pPr>
              <w:spacing w:after="0"/>
              <w:rPr>
                <w:sz w:val="19"/>
                <w:szCs w:val="19"/>
                <w:color w:val="auto"/>
              </w:rPr>
            </w:pPr>
          </w:p>
        </w:tc>
        <w:tc>
          <w:tcPr>
            <w:tcW w:w="15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1,646.8</w:t>
            </w:r>
          </w:p>
        </w:tc>
        <w:tc>
          <w:tcPr>
            <w:tcW w:w="0" w:type="dxa"/>
            <w:vAlign w:val="bottom"/>
          </w:tcPr>
          <w:p>
            <w:pPr>
              <w:spacing w:after="0"/>
              <w:rPr>
                <w:sz w:val="1"/>
                <w:szCs w:val="1"/>
                <w:color w:val="auto"/>
              </w:rPr>
            </w:pPr>
          </w:p>
        </w:tc>
      </w:tr>
      <w:tr>
        <w:trPr>
          <w:trHeight w:val="229"/>
        </w:trPr>
        <w:tc>
          <w:tcPr>
            <w:tcW w:w="7400" w:type="dxa"/>
            <w:vAlign w:val="bottom"/>
          </w:tcPr>
          <w:p>
            <w:pPr>
              <w:ind w:left="36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(359.8)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(472.0)</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6,091.8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3,261.8</w:t>
            </w:r>
          </w:p>
        </w:tc>
        <w:tc>
          <w:tcPr>
            <w:tcW w:w="0" w:type="dxa"/>
            <w:vAlign w:val="bottom"/>
          </w:tcPr>
          <w:p>
            <w:pPr>
              <w:spacing w:after="0"/>
              <w:rPr>
                <w:sz w:val="1"/>
                <w:szCs w:val="1"/>
                <w:color w:val="auto"/>
              </w:rPr>
            </w:pPr>
          </w:p>
        </w:tc>
      </w:tr>
      <w:tr>
        <w:trPr>
          <w:trHeight w:val="230"/>
        </w:trPr>
        <w:tc>
          <w:tcPr>
            <w:tcW w:w="7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Treasury stock at cost: 4.4 shares at July 31, 2021 and 4.3 shares at October 31, 2020</w:t>
            </w: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(617.3)</w:t>
            </w:r>
          </w:p>
        </w:tc>
        <w:tc>
          <w:tcPr>
            <w:tcW w:w="0" w:type="dxa"/>
            <w:vAlign w:val="bottom"/>
          </w:tcPr>
          <w:p>
            <w:pPr>
              <w:spacing w:after="0"/>
              <w:rPr>
                <w:sz w:val="1"/>
                <w:szCs w:val="1"/>
                <w:color w:val="auto"/>
              </w:rPr>
            </w:pPr>
          </w:p>
        </w:tc>
      </w:tr>
      <w:tr>
        <w:trPr>
          <w:trHeight w:val="223"/>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Cooper stockholders’ equity</w:t>
            </w:r>
          </w:p>
        </w:tc>
        <w:tc>
          <w:tcPr>
            <w:tcW w:w="3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6,785.2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3,824.6</w:t>
            </w:r>
          </w:p>
        </w:tc>
        <w:tc>
          <w:tcPr>
            <w:tcW w:w="0" w:type="dxa"/>
            <w:vAlign w:val="bottom"/>
          </w:tcPr>
          <w:p>
            <w:pPr>
              <w:spacing w:after="0"/>
              <w:rPr>
                <w:sz w:val="1"/>
                <w:szCs w:val="1"/>
                <w:color w:val="auto"/>
              </w:rPr>
            </w:pPr>
          </w:p>
        </w:tc>
      </w:tr>
      <w:tr>
        <w:trPr>
          <w:trHeight w:val="223"/>
        </w:trPr>
        <w:tc>
          <w:tcPr>
            <w:tcW w:w="7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Noncontrolling interests</w:t>
            </w: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74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Stockholders’ equity</w:t>
            </w:r>
          </w:p>
        </w:tc>
        <w:tc>
          <w:tcPr>
            <w:tcW w:w="3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6,785.4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3,824.8</w:t>
            </w:r>
          </w:p>
        </w:tc>
        <w:tc>
          <w:tcPr>
            <w:tcW w:w="0" w:type="dxa"/>
            <w:vAlign w:val="bottom"/>
          </w:tcPr>
          <w:p>
            <w:pPr>
              <w:spacing w:after="0"/>
              <w:rPr>
                <w:sz w:val="1"/>
                <w:szCs w:val="1"/>
                <w:color w:val="auto"/>
              </w:rPr>
            </w:pPr>
          </w:p>
        </w:tc>
      </w:tr>
      <w:tr>
        <w:trPr>
          <w:trHeight w:val="223"/>
        </w:trPr>
        <w:tc>
          <w:tcPr>
            <w:tcW w:w="7400" w:type="dxa"/>
            <w:vAlign w:val="bottom"/>
          </w:tcPr>
          <w:p>
            <w:pPr>
              <w:ind w:left="680"/>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9,610.6</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6,737.5</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ectPr>
          <w:pgSz w:w="11900" w:h="16838" w:orient="portrait"/>
          <w:cols w:equalWidth="0" w:num="1">
            <w:col w:w="11240"/>
          </w:cols>
          <w:pgMar w:left="320" w:top="9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Condensed Statements of Stockholders' Equity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unaudited)</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5"/>
        </w:trPr>
        <w:tc>
          <w:tcPr>
            <w:tcW w:w="2840" w:type="dxa"/>
            <w:vAlign w:val="bottom"/>
          </w:tcPr>
          <w:p>
            <w:pPr>
              <w:spacing w:after="0"/>
              <w:rPr>
                <w:sz w:val="11"/>
                <w:szCs w:val="11"/>
                <w:color w:val="auto"/>
              </w:rPr>
            </w:pPr>
          </w:p>
        </w:tc>
        <w:tc>
          <w:tcPr>
            <w:tcW w:w="1280" w:type="dxa"/>
            <w:vAlign w:val="bottom"/>
            <w:gridSpan w:val="4"/>
            <w:vMerge w:val="restart"/>
          </w:tcPr>
          <w:p>
            <w:pPr>
              <w:jc w:val="right"/>
              <w:ind w:right="48"/>
              <w:spacing w:after="0"/>
              <w:rPr>
                <w:sz w:val="20"/>
                <w:szCs w:val="20"/>
                <w:color w:val="auto"/>
              </w:rPr>
            </w:pPr>
            <w:r>
              <w:rPr>
                <w:rFonts w:ascii="Arial" w:cs="Arial" w:eastAsia="Arial" w:hAnsi="Arial"/>
                <w:sz w:val="14"/>
                <w:szCs w:val="14"/>
                <w:b w:val="1"/>
                <w:bCs w:val="1"/>
                <w:color w:val="auto"/>
              </w:rPr>
              <w:t>Common Shares</w:t>
            </w:r>
          </w:p>
        </w:tc>
        <w:tc>
          <w:tcPr>
            <w:tcW w:w="100" w:type="dxa"/>
            <w:vAlign w:val="bottom"/>
            <w:vMerge w:val="restart"/>
          </w:tcPr>
          <w:p>
            <w:pPr>
              <w:spacing w:after="0"/>
              <w:rPr>
                <w:sz w:val="11"/>
                <w:szCs w:val="11"/>
                <w:color w:val="auto"/>
              </w:rPr>
            </w:pPr>
          </w:p>
        </w:tc>
        <w:tc>
          <w:tcPr>
            <w:tcW w:w="1240" w:type="dxa"/>
            <w:vAlign w:val="bottom"/>
            <w:gridSpan w:val="4"/>
            <w:vMerge w:val="restart"/>
          </w:tcPr>
          <w:p>
            <w:pPr>
              <w:jc w:val="right"/>
              <w:ind w:right="88"/>
              <w:spacing w:after="0"/>
              <w:rPr>
                <w:sz w:val="20"/>
                <w:szCs w:val="20"/>
                <w:color w:val="auto"/>
              </w:rPr>
            </w:pPr>
            <w:r>
              <w:rPr>
                <w:rFonts w:ascii="Arial" w:cs="Arial" w:eastAsia="Arial" w:hAnsi="Arial"/>
                <w:sz w:val="14"/>
                <w:szCs w:val="14"/>
                <w:b w:val="1"/>
                <w:bCs w:val="1"/>
                <w:color w:val="auto"/>
              </w:rPr>
              <w:t>Treasury Stock</w:t>
            </w:r>
          </w:p>
        </w:tc>
        <w:tc>
          <w:tcPr>
            <w:tcW w:w="100" w:type="dxa"/>
            <w:vAlign w:val="bottom"/>
            <w:vMerge w:val="restart"/>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840" w:type="dxa"/>
            <w:vAlign w:val="bottom"/>
          </w:tcPr>
          <w:p>
            <w:pPr>
              <w:spacing w:after="0"/>
              <w:rPr>
                <w:sz w:val="8"/>
                <w:szCs w:val="8"/>
                <w:color w:val="auto"/>
              </w:rPr>
            </w:pPr>
          </w:p>
        </w:tc>
        <w:tc>
          <w:tcPr>
            <w:tcW w:w="128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24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gridSpan w:val="2"/>
          </w:tcPr>
          <w:p>
            <w:pPr>
              <w:jc w:val="center"/>
              <w:ind w:right="220"/>
              <w:spacing w:after="0" w:line="102" w:lineRule="exact"/>
              <w:rPr>
                <w:sz w:val="20"/>
                <w:szCs w:val="20"/>
                <w:color w:val="auto"/>
              </w:rPr>
            </w:pPr>
            <w:r>
              <w:rPr>
                <w:rFonts w:ascii="Arial" w:cs="Arial" w:eastAsia="Arial" w:hAnsi="Arial"/>
                <w:sz w:val="11"/>
                <w:szCs w:val="11"/>
                <w:b w:val="1"/>
                <w:bCs w:val="1"/>
                <w:color w:val="auto"/>
              </w:rPr>
              <w:t>Paid-In</w:t>
            </w:r>
          </w:p>
        </w:tc>
        <w:tc>
          <w:tcPr>
            <w:tcW w:w="1180" w:type="dxa"/>
            <w:vAlign w:val="bottom"/>
            <w:gridSpan w:val="3"/>
          </w:tcPr>
          <w:p>
            <w:pPr>
              <w:jc w:val="center"/>
              <w:ind w:right="100"/>
              <w:spacing w:after="0" w:line="102" w:lineRule="exact"/>
              <w:rPr>
                <w:sz w:val="20"/>
                <w:szCs w:val="20"/>
                <w:color w:val="auto"/>
              </w:rPr>
            </w:pPr>
            <w:r>
              <w:rPr>
                <w:rFonts w:ascii="Arial" w:cs="Arial" w:eastAsia="Arial" w:hAnsi="Arial"/>
                <w:sz w:val="11"/>
                <w:szCs w:val="11"/>
                <w:b w:val="1"/>
                <w:bCs w:val="1"/>
                <w:color w:val="auto"/>
              </w:rPr>
              <w:t>Comprehensive</w:t>
            </w:r>
          </w:p>
        </w:tc>
        <w:tc>
          <w:tcPr>
            <w:tcW w:w="100" w:type="dxa"/>
            <w:vAlign w:val="bottom"/>
          </w:tcPr>
          <w:p>
            <w:pPr>
              <w:spacing w:after="0"/>
              <w:rPr>
                <w:sz w:val="8"/>
                <w:szCs w:val="8"/>
                <w:color w:val="auto"/>
              </w:rPr>
            </w:pPr>
          </w:p>
        </w:tc>
        <w:tc>
          <w:tcPr>
            <w:tcW w:w="740" w:type="dxa"/>
            <w:vAlign w:val="bottom"/>
            <w:gridSpan w:val="2"/>
          </w:tcPr>
          <w:p>
            <w:pPr>
              <w:spacing w:after="0" w:line="102" w:lineRule="exact"/>
              <w:rPr>
                <w:sz w:val="20"/>
                <w:szCs w:val="20"/>
                <w:color w:val="auto"/>
              </w:rPr>
            </w:pPr>
            <w:r>
              <w:rPr>
                <w:rFonts w:ascii="Arial" w:cs="Arial" w:eastAsia="Arial" w:hAnsi="Arial"/>
                <w:sz w:val="11"/>
                <w:szCs w:val="11"/>
                <w:b w:val="1"/>
                <w:bCs w:val="1"/>
                <w:color w:val="auto"/>
              </w:rPr>
              <w:t>Retained</w:t>
            </w:r>
          </w:p>
        </w:tc>
        <w:tc>
          <w:tcPr>
            <w:tcW w:w="780" w:type="dxa"/>
            <w:vAlign w:val="bottom"/>
            <w:gridSpan w:val="3"/>
          </w:tcPr>
          <w:p>
            <w:pPr>
              <w:jc w:val="center"/>
              <w:ind w:right="100"/>
              <w:spacing w:after="0" w:line="102" w:lineRule="exact"/>
              <w:rPr>
                <w:sz w:val="20"/>
                <w:szCs w:val="20"/>
                <w:color w:val="auto"/>
              </w:rPr>
            </w:pPr>
            <w:r>
              <w:rPr>
                <w:rFonts w:ascii="Arial" w:cs="Arial" w:eastAsia="Arial" w:hAnsi="Arial"/>
                <w:sz w:val="11"/>
                <w:szCs w:val="11"/>
                <w:b w:val="1"/>
                <w:bCs w:val="1"/>
                <w:color w:val="auto"/>
              </w:rPr>
              <w:t>Treasury</w:t>
            </w:r>
          </w:p>
        </w:tc>
        <w:tc>
          <w:tcPr>
            <w:tcW w:w="1100" w:type="dxa"/>
            <w:vAlign w:val="bottom"/>
            <w:gridSpan w:val="3"/>
          </w:tcPr>
          <w:p>
            <w:pPr>
              <w:ind w:left="40"/>
              <w:spacing w:after="0" w:line="102" w:lineRule="exact"/>
              <w:rPr>
                <w:sz w:val="20"/>
                <w:szCs w:val="20"/>
                <w:color w:val="auto"/>
              </w:rPr>
            </w:pPr>
            <w:r>
              <w:rPr>
                <w:rFonts w:ascii="Arial" w:cs="Arial" w:eastAsia="Arial" w:hAnsi="Arial"/>
                <w:sz w:val="11"/>
                <w:szCs w:val="11"/>
                <w:b w:val="1"/>
                <w:bCs w:val="1"/>
                <w:color w:val="auto"/>
              </w:rPr>
              <w:t>Noncontrolling</w:t>
            </w:r>
          </w:p>
        </w:tc>
        <w:tc>
          <w:tcPr>
            <w:tcW w:w="940" w:type="dxa"/>
            <w:vAlign w:val="bottom"/>
            <w:gridSpan w:val="2"/>
          </w:tcPr>
          <w:p>
            <w:pPr>
              <w:jc w:val="center"/>
              <w:spacing w:after="0" w:line="102" w:lineRule="exact"/>
              <w:rPr>
                <w:sz w:val="20"/>
                <w:szCs w:val="20"/>
                <w:color w:val="auto"/>
              </w:rPr>
            </w:pPr>
            <w:r>
              <w:rPr>
                <w:rFonts w:ascii="Arial" w:cs="Arial" w:eastAsia="Arial" w:hAnsi="Arial"/>
                <w:sz w:val="11"/>
                <w:szCs w:val="11"/>
                <w:b w:val="1"/>
                <w:bCs w:val="1"/>
                <w:color w:val="auto"/>
              </w:rPr>
              <w:t>Stockholders'</w:t>
            </w:r>
          </w:p>
        </w:tc>
        <w:tc>
          <w:tcPr>
            <w:tcW w:w="0" w:type="dxa"/>
            <w:vAlign w:val="bottom"/>
          </w:tcPr>
          <w:p>
            <w:pPr>
              <w:spacing w:after="0"/>
              <w:rPr>
                <w:sz w:val="1"/>
                <w:szCs w:val="1"/>
                <w:color w:val="auto"/>
              </w:rPr>
            </w:pPr>
          </w:p>
        </w:tc>
      </w:tr>
      <w:tr>
        <w:trPr>
          <w:trHeight w:val="201"/>
        </w:trPr>
        <w:tc>
          <w:tcPr>
            <w:tcW w:w="2840" w:type="dxa"/>
            <w:vAlign w:val="bottom"/>
          </w:tcPr>
          <w:p>
            <w:pPr>
              <w:spacing w:after="0"/>
              <w:rPr>
                <w:sz w:val="17"/>
                <w:szCs w:val="17"/>
                <w:color w:val="auto"/>
              </w:rPr>
            </w:pPr>
          </w:p>
        </w:tc>
        <w:tc>
          <w:tcPr>
            <w:tcW w:w="660" w:type="dxa"/>
            <w:vAlign w:val="bottom"/>
            <w:gridSpan w:val="2"/>
          </w:tcPr>
          <w:p>
            <w:pPr>
              <w:ind w:left="80"/>
              <w:spacing w:after="0"/>
              <w:rPr>
                <w:sz w:val="20"/>
                <w:szCs w:val="20"/>
                <w:color w:val="auto"/>
              </w:rPr>
            </w:pPr>
            <w:r>
              <w:rPr>
                <w:rFonts w:ascii="Arial" w:cs="Arial" w:eastAsia="Arial" w:hAnsi="Arial"/>
                <w:sz w:val="14"/>
                <w:szCs w:val="14"/>
                <w:b w:val="1"/>
                <w:bCs w:val="1"/>
                <w:color w:val="auto"/>
              </w:rPr>
              <w:t>Shares</w:t>
            </w: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620" w:type="dxa"/>
            <w:vAlign w:val="bottom"/>
            <w:gridSpan w:val="2"/>
          </w:tcPr>
          <w:p>
            <w:pPr>
              <w:ind w:left="60"/>
              <w:spacing w:after="0"/>
              <w:rPr>
                <w:sz w:val="20"/>
                <w:szCs w:val="20"/>
                <w:color w:val="auto"/>
              </w:rPr>
            </w:pPr>
            <w:r>
              <w:rPr>
                <w:rFonts w:ascii="Arial" w:cs="Arial" w:eastAsia="Arial" w:hAnsi="Arial"/>
                <w:sz w:val="14"/>
                <w:szCs w:val="14"/>
                <w:b w:val="1"/>
                <w:bCs w:val="1"/>
                <w:color w:val="auto"/>
              </w:rPr>
              <w:t>Shares</w:t>
            </w:r>
          </w:p>
        </w:tc>
        <w:tc>
          <w:tcPr>
            <w:tcW w:w="72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7"/>
                <w:szCs w:val="17"/>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Income (Loss)</w:t>
            </w:r>
          </w:p>
        </w:tc>
        <w:tc>
          <w:tcPr>
            <w:tcW w:w="100" w:type="dxa"/>
            <w:vAlign w:val="bottom"/>
          </w:tcPr>
          <w:p>
            <w:pPr>
              <w:spacing w:after="0"/>
              <w:rPr>
                <w:sz w:val="17"/>
                <w:szCs w:val="17"/>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7"/>
                <w:szCs w:val="17"/>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Interests</w:t>
            </w:r>
          </w:p>
        </w:tc>
        <w:tc>
          <w:tcPr>
            <w:tcW w:w="180" w:type="dxa"/>
            <w:vAlign w:val="bottom"/>
          </w:tcPr>
          <w:p>
            <w:pPr>
              <w:spacing w:after="0"/>
              <w:rPr>
                <w:sz w:val="17"/>
                <w:szCs w:val="17"/>
                <w:color w:val="auto"/>
              </w:rPr>
            </w:pPr>
          </w:p>
        </w:tc>
        <w:tc>
          <w:tcPr>
            <w:tcW w:w="760" w:type="dxa"/>
            <w:vAlign w:val="bottom"/>
          </w:tcPr>
          <w:p>
            <w:pPr>
              <w:jc w:val="center"/>
              <w:ind w:right="10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84"/>
        </w:trPr>
        <w:tc>
          <w:tcPr>
            <w:tcW w:w="2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November 1, 2019</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49.1</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0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1,615.0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(447.1)</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3,026.4</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(571.2)</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3,628.6</w:t>
            </w:r>
          </w:p>
        </w:tc>
        <w:tc>
          <w:tcPr>
            <w:tcW w:w="0" w:type="dxa"/>
            <w:vAlign w:val="bottom"/>
          </w:tcPr>
          <w:p>
            <w:pPr>
              <w:spacing w:after="0"/>
              <w:rPr>
                <w:sz w:val="1"/>
                <w:szCs w:val="1"/>
                <w:color w:val="auto"/>
              </w:rPr>
            </w:pPr>
          </w:p>
        </w:tc>
      </w:tr>
      <w:tr>
        <w:trPr>
          <w:trHeight w:val="186"/>
        </w:trPr>
        <w:tc>
          <w:tcPr>
            <w:tcW w:w="28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90.5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90.5</w:t>
            </w:r>
          </w:p>
        </w:tc>
        <w:tc>
          <w:tcPr>
            <w:tcW w:w="0" w:type="dxa"/>
            <w:vAlign w:val="bottom"/>
          </w:tcPr>
          <w:p>
            <w:pPr>
              <w:spacing w:after="0"/>
              <w:rPr>
                <w:sz w:val="1"/>
                <w:szCs w:val="1"/>
                <w:color w:val="auto"/>
              </w:rPr>
            </w:pPr>
          </w:p>
        </w:tc>
      </w:tr>
      <w:tr>
        <w:trPr>
          <w:trHeight w:val="192"/>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net of tax</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86"/>
        </w:trPr>
        <w:tc>
          <w:tcPr>
            <w:tcW w:w="2840" w:type="dxa"/>
            <w:vAlign w:val="bottom"/>
          </w:tcPr>
          <w:p>
            <w:pPr>
              <w:ind w:left="20"/>
              <w:spacing w:after="0"/>
              <w:rPr>
                <w:sz w:val="20"/>
                <w:szCs w:val="20"/>
                <w:color w:val="auto"/>
              </w:rPr>
            </w:pPr>
            <w:r>
              <w:rPr>
                <w:rFonts w:ascii="Arial" w:cs="Arial" w:eastAsia="Arial" w:hAnsi="Arial"/>
                <w:sz w:val="14"/>
                <w:szCs w:val="14"/>
                <w:color w:val="auto"/>
                <w:w w:val="97"/>
              </w:rPr>
              <w:t>Issuance of common stock for stock plans, net</w:t>
            </w:r>
          </w:p>
        </w:tc>
        <w:tc>
          <w:tcPr>
            <w:tcW w:w="56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192"/>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7"/>
              </w:rPr>
              <w:t>Dividends on common stock ($0.03 per share)</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6"/>
        </w:trPr>
        <w:tc>
          <w:tcPr>
            <w:tcW w:w="2840" w:type="dxa"/>
            <w:vAlign w:val="bottom"/>
          </w:tcPr>
          <w:p>
            <w:pPr>
              <w:ind w:left="20"/>
              <w:spacing w:after="0"/>
              <w:rPr>
                <w:sz w:val="20"/>
                <w:szCs w:val="20"/>
                <w:color w:val="auto"/>
              </w:rPr>
            </w:pPr>
            <w:r>
              <w:rPr>
                <w:rFonts w:ascii="Arial" w:cs="Arial" w:eastAsia="Arial" w:hAnsi="Arial"/>
                <w:sz w:val="14"/>
                <w:szCs w:val="14"/>
                <w:color w:val="auto"/>
              </w:rPr>
              <w:t>Share-based compensation expense</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86"/>
        </w:trPr>
        <w:tc>
          <w:tcPr>
            <w:tcW w:w="2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January 31, 2020</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49.2</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0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1,611.6</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(430.4)</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3,115.4</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(571.2)</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3,730.9</w:t>
            </w:r>
          </w:p>
        </w:tc>
        <w:tc>
          <w:tcPr>
            <w:tcW w:w="0" w:type="dxa"/>
            <w:vAlign w:val="bottom"/>
          </w:tcPr>
          <w:p>
            <w:pPr>
              <w:spacing w:after="0"/>
              <w:rPr>
                <w:sz w:val="1"/>
                <w:szCs w:val="1"/>
                <w:color w:val="auto"/>
              </w:rPr>
            </w:pPr>
          </w:p>
        </w:tc>
      </w:tr>
      <w:tr>
        <w:trPr>
          <w:trHeight w:val="179"/>
        </w:trPr>
        <w:tc>
          <w:tcPr>
            <w:tcW w:w="28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92"/>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 net of tax</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(82.4)</w:t>
            </w:r>
          </w:p>
        </w:tc>
        <w:tc>
          <w:tcPr>
            <w:tcW w:w="0" w:type="dxa"/>
            <w:vAlign w:val="bottom"/>
          </w:tcPr>
          <w:p>
            <w:pPr>
              <w:spacing w:after="0"/>
              <w:rPr>
                <w:sz w:val="1"/>
                <w:szCs w:val="1"/>
                <w:color w:val="auto"/>
              </w:rPr>
            </w:pPr>
          </w:p>
        </w:tc>
      </w:tr>
      <w:tr>
        <w:trPr>
          <w:trHeight w:val="186"/>
        </w:trPr>
        <w:tc>
          <w:tcPr>
            <w:tcW w:w="2840" w:type="dxa"/>
            <w:vAlign w:val="bottom"/>
          </w:tcPr>
          <w:p>
            <w:pPr>
              <w:ind w:left="20"/>
              <w:spacing w:after="0"/>
              <w:rPr>
                <w:sz w:val="20"/>
                <w:szCs w:val="20"/>
                <w:color w:val="auto"/>
              </w:rPr>
            </w:pPr>
            <w:r>
              <w:rPr>
                <w:rFonts w:ascii="Arial" w:cs="Arial" w:eastAsia="Arial" w:hAnsi="Arial"/>
                <w:sz w:val="14"/>
                <w:szCs w:val="14"/>
                <w:color w:val="auto"/>
                <w:w w:val="97"/>
              </w:rPr>
              <w:t>Issuance of common stock for stock plans, net</w:t>
            </w:r>
          </w:p>
        </w:tc>
        <w:tc>
          <w:tcPr>
            <w:tcW w:w="56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38"/>
        </w:trPr>
        <w:tc>
          <w:tcPr>
            <w:tcW w:w="284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7"/>
              </w:rPr>
              <w:t>Issuance of common stock for employee stock</w:t>
            </w: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9"/>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plan</w:t>
            </w:r>
          </w:p>
        </w:tc>
        <w:tc>
          <w:tcPr>
            <w:tcW w:w="66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80" w:type="dxa"/>
            <w:vAlign w:val="bottom"/>
            <w:gridSpan w:val="2"/>
            <w:vMerge w:val="continue"/>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840" w:type="dxa"/>
            <w:vAlign w:val="bottom"/>
          </w:tcPr>
          <w:p>
            <w:pPr>
              <w:ind w:left="20"/>
              <w:spacing w:after="0"/>
              <w:rPr>
                <w:sz w:val="20"/>
                <w:szCs w:val="20"/>
                <w:color w:val="auto"/>
              </w:rPr>
            </w:pPr>
            <w:r>
              <w:rPr>
                <w:rFonts w:ascii="Arial" w:cs="Arial" w:eastAsia="Arial" w:hAnsi="Arial"/>
                <w:sz w:val="14"/>
                <w:szCs w:val="14"/>
                <w:color w:val="auto"/>
              </w:rPr>
              <w:t>Share-based compensation expense</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92"/>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Treasury stock repurchase</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w:t>
            </w:r>
          </w:p>
        </w:tc>
        <w:tc>
          <w:tcPr>
            <w:tcW w:w="0" w:type="dxa"/>
            <w:vAlign w:val="bottom"/>
          </w:tcPr>
          <w:p>
            <w:pPr>
              <w:spacing w:after="0"/>
              <w:rPr>
                <w:sz w:val="1"/>
                <w:szCs w:val="1"/>
                <w:color w:val="auto"/>
              </w:rPr>
            </w:pPr>
          </w:p>
        </w:tc>
      </w:tr>
      <w:tr>
        <w:trPr>
          <w:trHeight w:val="179"/>
        </w:trPr>
        <w:tc>
          <w:tcPr>
            <w:tcW w:w="2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Balance at April 30, 2020</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49.1</w:t>
            </w:r>
          </w:p>
        </w:tc>
        <w:tc>
          <w:tcPr>
            <w:tcW w:w="1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w:t>
            </w:r>
          </w:p>
        </w:tc>
        <w:tc>
          <w:tcPr>
            <w:tcW w:w="100" w:type="dxa"/>
            <w:vAlign w:val="bottom"/>
            <w:tcBorders>
              <w:bottom w:val="single" w:sz="8" w:color="CCEEFF"/>
            </w:tcBorders>
          </w:tcPr>
          <w:p>
            <w:pPr>
              <w:spacing w:after="0"/>
              <w:rPr>
                <w:sz w:val="15"/>
                <w:szCs w:val="15"/>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w:t>
            </w:r>
          </w:p>
        </w:tc>
        <w:tc>
          <w:tcPr>
            <w:tcW w:w="1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1,626.5</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(512.8)</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3,126.9</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(618.6)</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3,627.5</w:t>
            </w:r>
          </w:p>
        </w:tc>
        <w:tc>
          <w:tcPr>
            <w:tcW w:w="0" w:type="dxa"/>
            <w:vAlign w:val="bottom"/>
          </w:tcPr>
          <w:p>
            <w:pPr>
              <w:spacing w:after="0"/>
              <w:rPr>
                <w:sz w:val="1"/>
                <w:szCs w:val="1"/>
                <w:color w:val="auto"/>
              </w:rPr>
            </w:pPr>
          </w:p>
        </w:tc>
      </w:tr>
      <w:tr>
        <w:trPr>
          <w:trHeight w:val="186"/>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55.2</w:t>
            </w:r>
          </w:p>
        </w:tc>
        <w:tc>
          <w:tcPr>
            <w:tcW w:w="0" w:type="dxa"/>
            <w:vAlign w:val="bottom"/>
          </w:tcPr>
          <w:p>
            <w:pPr>
              <w:spacing w:after="0"/>
              <w:rPr>
                <w:sz w:val="1"/>
                <w:szCs w:val="1"/>
                <w:color w:val="auto"/>
              </w:rPr>
            </w:pPr>
          </w:p>
        </w:tc>
      </w:tr>
      <w:tr>
        <w:trPr>
          <w:trHeight w:val="186"/>
        </w:trPr>
        <w:tc>
          <w:tcPr>
            <w:tcW w:w="2840" w:type="dxa"/>
            <w:vAlign w:val="bottom"/>
          </w:tcPr>
          <w:p>
            <w:pPr>
              <w:ind w:left="20"/>
              <w:spacing w:after="0"/>
              <w:rPr>
                <w:sz w:val="20"/>
                <w:szCs w:val="20"/>
                <w:color w:val="auto"/>
              </w:rPr>
            </w:pPr>
            <w:r>
              <w:rPr>
                <w:rFonts w:ascii="Arial" w:cs="Arial" w:eastAsia="Arial" w:hAnsi="Arial"/>
                <w:sz w:val="14"/>
                <w:szCs w:val="14"/>
                <w:color w:val="auto"/>
              </w:rPr>
              <w:t>Other comprehensive income, net of tax</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68.1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68.1</w:t>
            </w:r>
          </w:p>
        </w:tc>
        <w:tc>
          <w:tcPr>
            <w:tcW w:w="0" w:type="dxa"/>
            <w:vAlign w:val="bottom"/>
          </w:tcPr>
          <w:p>
            <w:pPr>
              <w:spacing w:after="0"/>
              <w:rPr>
                <w:sz w:val="1"/>
                <w:szCs w:val="1"/>
                <w:color w:val="auto"/>
              </w:rPr>
            </w:pPr>
          </w:p>
        </w:tc>
      </w:tr>
      <w:tr>
        <w:trPr>
          <w:trHeight w:val="192"/>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7"/>
              </w:rPr>
              <w:t>Issuance of common stock for stock plans, net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35"/>
        </w:trPr>
        <w:tc>
          <w:tcPr>
            <w:tcW w:w="2840" w:type="dxa"/>
            <w:vAlign w:val="bottom"/>
          </w:tcPr>
          <w:p>
            <w:pPr>
              <w:ind w:left="20"/>
              <w:spacing w:after="0" w:line="135" w:lineRule="exact"/>
              <w:rPr>
                <w:sz w:val="20"/>
                <w:szCs w:val="20"/>
                <w:color w:val="auto"/>
              </w:rPr>
            </w:pPr>
            <w:r>
              <w:rPr>
                <w:rFonts w:ascii="Arial" w:cs="Arial" w:eastAsia="Arial" w:hAnsi="Arial"/>
                <w:sz w:val="14"/>
                <w:szCs w:val="14"/>
                <w:color w:val="auto"/>
                <w:w w:val="97"/>
              </w:rPr>
              <w:t>Issuance of common stock for employee stock</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6"/>
        </w:trPr>
        <w:tc>
          <w:tcPr>
            <w:tcW w:w="2840" w:type="dxa"/>
            <w:vAlign w:val="bottom"/>
          </w:tcPr>
          <w:p>
            <w:pPr>
              <w:ind w:left="20"/>
              <w:spacing w:after="0"/>
              <w:rPr>
                <w:sz w:val="20"/>
                <w:szCs w:val="20"/>
                <w:color w:val="auto"/>
              </w:rPr>
            </w:pPr>
            <w:r>
              <w:rPr>
                <w:rFonts w:ascii="Arial" w:cs="Arial" w:eastAsia="Arial" w:hAnsi="Arial"/>
                <w:sz w:val="14"/>
                <w:szCs w:val="14"/>
                <w:color w:val="auto"/>
              </w:rPr>
              <w:t>purchase plan</w:t>
            </w:r>
          </w:p>
        </w:tc>
        <w:tc>
          <w:tcPr>
            <w:tcW w:w="6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7"/>
              </w:rPr>
              <w:t>Dividends on common stock ($0.03 per share)</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6"/>
        </w:trPr>
        <w:tc>
          <w:tcPr>
            <w:tcW w:w="2840" w:type="dxa"/>
            <w:vAlign w:val="bottom"/>
          </w:tcPr>
          <w:p>
            <w:pPr>
              <w:ind w:left="20"/>
              <w:spacing w:after="0"/>
              <w:rPr>
                <w:sz w:val="20"/>
                <w:szCs w:val="20"/>
                <w:color w:val="auto"/>
              </w:rPr>
            </w:pPr>
            <w:r>
              <w:rPr>
                <w:rFonts w:ascii="Arial" w:cs="Arial" w:eastAsia="Arial" w:hAnsi="Arial"/>
                <w:sz w:val="14"/>
                <w:szCs w:val="14"/>
                <w:color w:val="auto"/>
              </w:rPr>
              <w:t>Share-based compensation expense</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211"/>
        </w:trPr>
        <w:tc>
          <w:tcPr>
            <w:tcW w:w="2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July 31, 2020</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1,637.0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(444.7)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3,180.6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(618.0)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3,760.4</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Condensed Statements of Stockholders' Equity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00" w:type="dxa"/>
            <w:vAlign w:val="bottom"/>
          </w:tcPr>
          <w:p>
            <w:pPr>
              <w:spacing w:after="0"/>
              <w:rPr>
                <w:sz w:val="16"/>
                <w:szCs w:val="16"/>
                <w:color w:val="auto"/>
              </w:rPr>
            </w:pPr>
          </w:p>
        </w:tc>
        <w:tc>
          <w:tcPr>
            <w:tcW w:w="1380" w:type="dxa"/>
            <w:vAlign w:val="bottom"/>
            <w:gridSpan w:val="5"/>
          </w:tcPr>
          <w:p>
            <w:pPr>
              <w:ind w:left="140"/>
              <w:spacing w:after="0"/>
              <w:rPr>
                <w:sz w:val="20"/>
                <w:szCs w:val="20"/>
                <w:color w:val="auto"/>
              </w:rPr>
            </w:pPr>
            <w:r>
              <w:rPr>
                <w:rFonts w:ascii="Arial" w:cs="Arial" w:eastAsia="Arial" w:hAnsi="Arial"/>
                <w:sz w:val="14"/>
                <w:szCs w:val="14"/>
                <w:b w:val="1"/>
                <w:bCs w:val="1"/>
                <w:color w:val="auto"/>
              </w:rPr>
              <w:t>Common Shares</w:t>
            </w:r>
          </w:p>
        </w:tc>
        <w:tc>
          <w:tcPr>
            <w:tcW w:w="1380" w:type="dxa"/>
            <w:vAlign w:val="bottom"/>
            <w:gridSpan w:val="5"/>
          </w:tcPr>
          <w:p>
            <w:pPr>
              <w:ind w:left="18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280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5"/>
        </w:trPr>
        <w:tc>
          <w:tcPr>
            <w:tcW w:w="2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Retained</w:t>
            </w:r>
          </w:p>
        </w:tc>
        <w:tc>
          <w:tcPr>
            <w:tcW w:w="7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4"/>
              </w:rPr>
              <w:t>Treasury</w:t>
            </w:r>
          </w:p>
        </w:tc>
        <w:tc>
          <w:tcPr>
            <w:tcW w:w="11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Noncontrolling</w:t>
            </w:r>
          </w:p>
        </w:tc>
        <w:tc>
          <w:tcPr>
            <w:tcW w:w="1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00" w:type="dxa"/>
            <w:vAlign w:val="bottom"/>
          </w:tcPr>
          <w:p>
            <w:pPr>
              <w:spacing w:after="0"/>
              <w:rPr>
                <w:sz w:val="11"/>
                <w:szCs w:val="11"/>
                <w:color w:val="auto"/>
              </w:rPr>
            </w:pPr>
          </w:p>
        </w:tc>
        <w:tc>
          <w:tcPr>
            <w:tcW w:w="6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Shares</w:t>
            </w:r>
          </w:p>
        </w:tc>
        <w:tc>
          <w:tcPr>
            <w:tcW w:w="7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6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Shares</w:t>
            </w:r>
          </w:p>
        </w:tc>
        <w:tc>
          <w:tcPr>
            <w:tcW w:w="7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1"/>
                <w:szCs w:val="11"/>
                <w:color w:val="auto"/>
              </w:rPr>
            </w:pPr>
          </w:p>
        </w:tc>
        <w:tc>
          <w:tcPr>
            <w:tcW w:w="7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8"/>
              </w:rPr>
              <w:t>Paid-In</w:t>
            </w:r>
          </w:p>
        </w:tc>
        <w:tc>
          <w:tcPr>
            <w:tcW w:w="118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780" w:type="dxa"/>
            <w:vAlign w:val="bottom"/>
            <w:gridSpan w:val="3"/>
            <w:vMerge w:val="continue"/>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9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88"/>
        </w:trPr>
        <w:tc>
          <w:tcPr>
            <w:tcW w:w="28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Income (Loss)</w:t>
            </w:r>
          </w:p>
        </w:tc>
        <w:tc>
          <w:tcPr>
            <w:tcW w:w="100" w:type="dxa"/>
            <w:vAlign w:val="bottom"/>
          </w:tcPr>
          <w:p>
            <w:pPr>
              <w:spacing w:after="0"/>
              <w:rPr>
                <w:sz w:val="16"/>
                <w:szCs w:val="16"/>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6"/>
                <w:szCs w:val="16"/>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Interests</w:t>
            </w:r>
          </w:p>
        </w:tc>
        <w:tc>
          <w:tcPr>
            <w:tcW w:w="180" w:type="dxa"/>
            <w:vAlign w:val="bottom"/>
          </w:tcPr>
          <w:p>
            <w:pPr>
              <w:spacing w:after="0"/>
              <w:rPr>
                <w:sz w:val="16"/>
                <w:szCs w:val="16"/>
                <w:color w:val="auto"/>
              </w:rPr>
            </w:pPr>
          </w:p>
        </w:tc>
        <w:tc>
          <w:tcPr>
            <w:tcW w:w="760" w:type="dxa"/>
            <w:vAlign w:val="bottom"/>
          </w:tcPr>
          <w:p>
            <w:pPr>
              <w:jc w:val="center"/>
              <w:ind w:right="10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84"/>
        </w:trPr>
        <w:tc>
          <w:tcPr>
            <w:tcW w:w="2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November 1, 2020</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49.1</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0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1,646.8</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(472.0)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3,261.8</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(617.3)</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3,824.8</w:t>
            </w:r>
          </w:p>
        </w:tc>
        <w:tc>
          <w:tcPr>
            <w:tcW w:w="0" w:type="dxa"/>
            <w:vAlign w:val="bottom"/>
          </w:tcPr>
          <w:p>
            <w:pPr>
              <w:spacing w:after="0"/>
              <w:rPr>
                <w:sz w:val="1"/>
                <w:szCs w:val="1"/>
                <w:color w:val="auto"/>
              </w:rPr>
            </w:pPr>
          </w:p>
        </w:tc>
      </w:tr>
      <w:tr>
        <w:trPr>
          <w:trHeight w:val="186"/>
        </w:trPr>
        <w:tc>
          <w:tcPr>
            <w:tcW w:w="28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2,101.1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2,101.1</w:t>
            </w:r>
          </w:p>
        </w:tc>
        <w:tc>
          <w:tcPr>
            <w:tcW w:w="0" w:type="dxa"/>
            <w:vAlign w:val="bottom"/>
          </w:tcPr>
          <w:p>
            <w:pPr>
              <w:spacing w:after="0"/>
              <w:rPr>
                <w:sz w:val="1"/>
                <w:szCs w:val="1"/>
                <w:color w:val="auto"/>
              </w:rPr>
            </w:pPr>
          </w:p>
        </w:tc>
      </w:tr>
      <w:tr>
        <w:trPr>
          <w:trHeight w:val="192"/>
        </w:trPr>
        <w:tc>
          <w:tcPr>
            <w:tcW w:w="2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net of tax</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90.7</w:t>
            </w:r>
          </w:p>
        </w:tc>
        <w:tc>
          <w:tcPr>
            <w:tcW w:w="0" w:type="dxa"/>
            <w:vAlign w:val="bottom"/>
          </w:tcPr>
          <w:p>
            <w:pPr>
              <w:spacing w:after="0"/>
              <w:rPr>
                <w:sz w:val="1"/>
                <w:szCs w:val="1"/>
                <w:color w:val="auto"/>
              </w:rPr>
            </w:pPr>
          </w:p>
        </w:tc>
      </w:tr>
      <w:tr>
        <w:trPr>
          <w:trHeight w:val="186"/>
        </w:trPr>
        <w:tc>
          <w:tcPr>
            <w:tcW w:w="2800" w:type="dxa"/>
            <w:vAlign w:val="bottom"/>
          </w:tcPr>
          <w:p>
            <w:pPr>
              <w:ind w:left="20"/>
              <w:spacing w:after="0"/>
              <w:rPr>
                <w:sz w:val="20"/>
                <w:szCs w:val="20"/>
                <w:color w:val="auto"/>
              </w:rPr>
            </w:pPr>
            <w:r>
              <w:rPr>
                <w:rFonts w:ascii="Arial" w:cs="Arial" w:eastAsia="Arial" w:hAnsi="Arial"/>
                <w:sz w:val="14"/>
                <w:szCs w:val="14"/>
                <w:color w:val="auto"/>
                <w:w w:val="96"/>
              </w:rPr>
              <w:t>Issuance of common stock for stock plans, net</w:t>
            </w:r>
          </w:p>
        </w:tc>
        <w:tc>
          <w:tcPr>
            <w:tcW w:w="56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38"/>
        </w:trPr>
        <w:tc>
          <w:tcPr>
            <w:tcW w:w="28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6"/>
              </w:rPr>
              <w:t>Issuance of common stock for employee stock</w:t>
            </w: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89"/>
        </w:trPr>
        <w:tc>
          <w:tcPr>
            <w:tcW w:w="2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plan</w:t>
            </w:r>
          </w:p>
        </w:tc>
        <w:tc>
          <w:tcPr>
            <w:tcW w:w="66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80" w:type="dxa"/>
            <w:vAlign w:val="bottom"/>
            <w:gridSpan w:val="2"/>
            <w:vMerge w:val="continue"/>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800" w:type="dxa"/>
            <w:vAlign w:val="bottom"/>
          </w:tcPr>
          <w:p>
            <w:pPr>
              <w:ind w:left="20"/>
              <w:spacing w:after="0"/>
              <w:rPr>
                <w:sz w:val="20"/>
                <w:szCs w:val="20"/>
                <w:color w:val="auto"/>
              </w:rPr>
            </w:pPr>
            <w:r>
              <w:rPr>
                <w:rFonts w:ascii="Arial" w:cs="Arial" w:eastAsia="Arial" w:hAnsi="Arial"/>
                <w:sz w:val="14"/>
                <w:szCs w:val="14"/>
                <w:color w:val="auto"/>
                <w:w w:val="96"/>
              </w:rPr>
              <w:t>Dividends on common stock ($0.03 per share)</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92"/>
        </w:trPr>
        <w:tc>
          <w:tcPr>
            <w:tcW w:w="2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 expense</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86"/>
        </w:trPr>
        <w:tc>
          <w:tcPr>
            <w:tcW w:w="2800" w:type="dxa"/>
            <w:vAlign w:val="bottom"/>
          </w:tcPr>
          <w:p>
            <w:pPr>
              <w:ind w:left="20"/>
              <w:spacing w:after="0"/>
              <w:rPr>
                <w:sz w:val="20"/>
                <w:szCs w:val="20"/>
                <w:color w:val="auto"/>
              </w:rPr>
            </w:pPr>
            <w:r>
              <w:rPr>
                <w:rFonts w:ascii="Arial" w:cs="Arial" w:eastAsia="Arial" w:hAnsi="Arial"/>
                <w:sz w:val="14"/>
                <w:szCs w:val="14"/>
                <w:color w:val="auto"/>
              </w:rPr>
              <w:t>Treasury stock repurchase</w:t>
            </w:r>
          </w:p>
        </w:tc>
        <w:tc>
          <w:tcPr>
            <w:tcW w:w="56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(24.8)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(24.8)</w:t>
            </w:r>
          </w:p>
        </w:tc>
        <w:tc>
          <w:tcPr>
            <w:tcW w:w="0" w:type="dxa"/>
            <w:vAlign w:val="bottom"/>
          </w:tcPr>
          <w:p>
            <w:pPr>
              <w:spacing w:after="0"/>
              <w:rPr>
                <w:sz w:val="1"/>
                <w:szCs w:val="1"/>
                <w:color w:val="auto"/>
              </w:rPr>
            </w:pPr>
          </w:p>
        </w:tc>
      </w:tr>
      <w:tr>
        <w:trPr>
          <w:trHeight w:val="192"/>
        </w:trPr>
        <w:tc>
          <w:tcPr>
            <w:tcW w:w="2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ASU 2016-13 adoption</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79"/>
        </w:trPr>
        <w:tc>
          <w:tcPr>
            <w:tcW w:w="28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Balance at January 31, 2021</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49.1</w:t>
            </w:r>
          </w:p>
        </w:tc>
        <w:tc>
          <w:tcPr>
            <w:tcW w:w="1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w:t>
            </w:r>
          </w:p>
        </w:tc>
        <w:tc>
          <w:tcPr>
            <w:tcW w:w="100" w:type="dxa"/>
            <w:vAlign w:val="bottom"/>
            <w:tcBorders>
              <w:bottom w:val="single" w:sz="8" w:color="CCEEFF"/>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w:t>
            </w:r>
          </w:p>
        </w:tc>
        <w:tc>
          <w:tcPr>
            <w:tcW w:w="1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1,647.2</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(381.3)</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5,360.0</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(641.5)</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5,989.9</w:t>
            </w:r>
          </w:p>
        </w:tc>
        <w:tc>
          <w:tcPr>
            <w:tcW w:w="0" w:type="dxa"/>
            <w:vAlign w:val="bottom"/>
          </w:tcPr>
          <w:p>
            <w:pPr>
              <w:spacing w:after="0"/>
              <w:rPr>
                <w:sz w:val="1"/>
                <w:szCs w:val="1"/>
                <w:color w:val="auto"/>
              </w:rPr>
            </w:pPr>
          </w:p>
        </w:tc>
      </w:tr>
      <w:tr>
        <w:trPr>
          <w:trHeight w:val="186"/>
        </w:trPr>
        <w:tc>
          <w:tcPr>
            <w:tcW w:w="2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117.5</w:t>
            </w:r>
          </w:p>
        </w:tc>
        <w:tc>
          <w:tcPr>
            <w:tcW w:w="0" w:type="dxa"/>
            <w:vAlign w:val="bottom"/>
          </w:tcPr>
          <w:p>
            <w:pPr>
              <w:spacing w:after="0"/>
              <w:rPr>
                <w:sz w:val="1"/>
                <w:szCs w:val="1"/>
                <w:color w:val="auto"/>
              </w:rPr>
            </w:pPr>
          </w:p>
        </w:tc>
      </w:tr>
      <w:tr>
        <w:trPr>
          <w:trHeight w:val="186"/>
        </w:trPr>
        <w:tc>
          <w:tcPr>
            <w:tcW w:w="2800" w:type="dxa"/>
            <w:vAlign w:val="bottom"/>
          </w:tcPr>
          <w:p>
            <w:pPr>
              <w:ind w:left="20"/>
              <w:spacing w:after="0"/>
              <w:rPr>
                <w:sz w:val="20"/>
                <w:szCs w:val="20"/>
                <w:color w:val="auto"/>
              </w:rPr>
            </w:pPr>
            <w:r>
              <w:rPr>
                <w:rFonts w:ascii="Arial" w:cs="Arial" w:eastAsia="Arial" w:hAnsi="Arial"/>
                <w:sz w:val="14"/>
                <w:szCs w:val="14"/>
                <w:color w:val="auto"/>
              </w:rPr>
              <w:t>Other comprehensive income, net of tax</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34.1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34.1</w:t>
            </w:r>
          </w:p>
        </w:tc>
        <w:tc>
          <w:tcPr>
            <w:tcW w:w="0" w:type="dxa"/>
            <w:vAlign w:val="bottom"/>
          </w:tcPr>
          <w:p>
            <w:pPr>
              <w:spacing w:after="0"/>
              <w:rPr>
                <w:sz w:val="1"/>
                <w:szCs w:val="1"/>
                <w:color w:val="auto"/>
              </w:rPr>
            </w:pPr>
          </w:p>
        </w:tc>
      </w:tr>
      <w:tr>
        <w:trPr>
          <w:trHeight w:val="192"/>
        </w:trPr>
        <w:tc>
          <w:tcPr>
            <w:tcW w:w="28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6"/>
              </w:rPr>
              <w:t>Issuance of common stock for stock plans, net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35"/>
        </w:trPr>
        <w:tc>
          <w:tcPr>
            <w:tcW w:w="2800" w:type="dxa"/>
            <w:vAlign w:val="bottom"/>
          </w:tcPr>
          <w:p>
            <w:pPr>
              <w:ind w:left="20"/>
              <w:spacing w:after="0" w:line="135" w:lineRule="exact"/>
              <w:rPr>
                <w:sz w:val="20"/>
                <w:szCs w:val="20"/>
                <w:color w:val="auto"/>
              </w:rPr>
            </w:pPr>
            <w:r>
              <w:rPr>
                <w:rFonts w:ascii="Arial" w:cs="Arial" w:eastAsia="Arial" w:hAnsi="Arial"/>
                <w:sz w:val="14"/>
                <w:szCs w:val="14"/>
                <w:color w:val="auto"/>
                <w:w w:val="96"/>
              </w:rPr>
              <w:t>Issuance of common stock for employee stock</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6"/>
        </w:trPr>
        <w:tc>
          <w:tcPr>
            <w:tcW w:w="2800" w:type="dxa"/>
            <w:vAlign w:val="bottom"/>
          </w:tcPr>
          <w:p>
            <w:pPr>
              <w:ind w:left="20"/>
              <w:spacing w:after="0"/>
              <w:rPr>
                <w:sz w:val="20"/>
                <w:szCs w:val="20"/>
                <w:color w:val="auto"/>
              </w:rPr>
            </w:pPr>
            <w:r>
              <w:rPr>
                <w:rFonts w:ascii="Arial" w:cs="Arial" w:eastAsia="Arial" w:hAnsi="Arial"/>
                <w:sz w:val="14"/>
                <w:szCs w:val="14"/>
                <w:color w:val="auto"/>
              </w:rPr>
              <w:t>purchase plan</w:t>
            </w:r>
          </w:p>
        </w:tc>
        <w:tc>
          <w:tcPr>
            <w:tcW w:w="6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 expense</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79"/>
        </w:trPr>
        <w:tc>
          <w:tcPr>
            <w:tcW w:w="28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Balance at April 30, 2021</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49.2</w:t>
            </w:r>
          </w:p>
        </w:tc>
        <w:tc>
          <w:tcPr>
            <w:tcW w:w="1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w:t>
            </w:r>
          </w:p>
        </w:tc>
        <w:tc>
          <w:tcPr>
            <w:tcW w:w="100" w:type="dxa"/>
            <w:vAlign w:val="bottom"/>
            <w:tcBorders>
              <w:bottom w:val="single" w:sz="8" w:color="CCEEFF"/>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w:t>
            </w:r>
          </w:p>
        </w:tc>
        <w:tc>
          <w:tcPr>
            <w:tcW w:w="1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1,667.8</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(347.2)</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5,477.5</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(640.9)</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6,162.8</w:t>
            </w:r>
          </w:p>
        </w:tc>
        <w:tc>
          <w:tcPr>
            <w:tcW w:w="0" w:type="dxa"/>
            <w:vAlign w:val="bottom"/>
          </w:tcPr>
          <w:p>
            <w:pPr>
              <w:spacing w:after="0"/>
              <w:rPr>
                <w:sz w:val="1"/>
                <w:szCs w:val="1"/>
                <w:color w:val="auto"/>
              </w:rPr>
            </w:pPr>
          </w:p>
        </w:tc>
      </w:tr>
      <w:tr>
        <w:trPr>
          <w:trHeight w:val="186"/>
        </w:trPr>
        <w:tc>
          <w:tcPr>
            <w:tcW w:w="2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615.8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615.8</w:t>
            </w:r>
          </w:p>
        </w:tc>
        <w:tc>
          <w:tcPr>
            <w:tcW w:w="0" w:type="dxa"/>
            <w:vAlign w:val="bottom"/>
          </w:tcPr>
          <w:p>
            <w:pPr>
              <w:spacing w:after="0"/>
              <w:rPr>
                <w:sz w:val="1"/>
                <w:szCs w:val="1"/>
                <w:color w:val="auto"/>
              </w:rPr>
            </w:pPr>
          </w:p>
        </w:tc>
      </w:tr>
      <w:tr>
        <w:trPr>
          <w:trHeight w:val="186"/>
        </w:trPr>
        <w:tc>
          <w:tcPr>
            <w:tcW w:w="2800" w:type="dxa"/>
            <w:vAlign w:val="bottom"/>
          </w:tcPr>
          <w:p>
            <w:pPr>
              <w:ind w:left="20"/>
              <w:spacing w:after="0"/>
              <w:rPr>
                <w:sz w:val="20"/>
                <w:szCs w:val="20"/>
                <w:color w:val="auto"/>
              </w:rPr>
            </w:pPr>
            <w:r>
              <w:rPr>
                <w:rFonts w:ascii="Arial" w:cs="Arial" w:eastAsia="Arial" w:hAnsi="Arial"/>
                <w:sz w:val="14"/>
                <w:szCs w:val="14"/>
                <w:color w:val="auto"/>
              </w:rPr>
              <w:t>Other comprehensive loss, net of tax</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192"/>
        </w:trPr>
        <w:tc>
          <w:tcPr>
            <w:tcW w:w="28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6"/>
              </w:rPr>
              <w:t>Issuance of common stock for stock plans, net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35"/>
        </w:trPr>
        <w:tc>
          <w:tcPr>
            <w:tcW w:w="2800" w:type="dxa"/>
            <w:vAlign w:val="bottom"/>
          </w:tcPr>
          <w:p>
            <w:pPr>
              <w:ind w:left="20"/>
              <w:spacing w:after="0" w:line="135" w:lineRule="exact"/>
              <w:rPr>
                <w:sz w:val="20"/>
                <w:szCs w:val="20"/>
                <w:color w:val="auto"/>
              </w:rPr>
            </w:pPr>
            <w:r>
              <w:rPr>
                <w:rFonts w:ascii="Arial" w:cs="Arial" w:eastAsia="Arial" w:hAnsi="Arial"/>
                <w:sz w:val="14"/>
                <w:szCs w:val="14"/>
                <w:color w:val="auto"/>
                <w:w w:val="96"/>
              </w:rPr>
              <w:t>Issuance of common stock for employee stock</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86"/>
        </w:trPr>
        <w:tc>
          <w:tcPr>
            <w:tcW w:w="2800" w:type="dxa"/>
            <w:vAlign w:val="bottom"/>
          </w:tcPr>
          <w:p>
            <w:pPr>
              <w:ind w:left="20"/>
              <w:spacing w:after="0"/>
              <w:rPr>
                <w:sz w:val="20"/>
                <w:szCs w:val="20"/>
                <w:color w:val="auto"/>
              </w:rPr>
            </w:pPr>
            <w:r>
              <w:rPr>
                <w:rFonts w:ascii="Arial" w:cs="Arial" w:eastAsia="Arial" w:hAnsi="Arial"/>
                <w:sz w:val="14"/>
                <w:szCs w:val="14"/>
                <w:color w:val="auto"/>
              </w:rPr>
              <w:t>purchase plan</w:t>
            </w:r>
          </w:p>
        </w:tc>
        <w:tc>
          <w:tcPr>
            <w:tcW w:w="6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8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6"/>
              </w:rPr>
              <w:t>Dividends on common stock ($0.03 per share)</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6"/>
        </w:trPr>
        <w:tc>
          <w:tcPr>
            <w:tcW w:w="2800" w:type="dxa"/>
            <w:vAlign w:val="bottom"/>
          </w:tcPr>
          <w:p>
            <w:pPr>
              <w:ind w:left="20"/>
              <w:spacing w:after="0"/>
              <w:rPr>
                <w:sz w:val="20"/>
                <w:szCs w:val="20"/>
                <w:color w:val="auto"/>
              </w:rPr>
            </w:pPr>
            <w:r>
              <w:rPr>
                <w:rFonts w:ascii="Arial" w:cs="Arial" w:eastAsia="Arial" w:hAnsi="Arial"/>
                <w:sz w:val="14"/>
                <w:szCs w:val="14"/>
                <w:color w:val="auto"/>
              </w:rPr>
              <w:t>Share-based compensation expense</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211"/>
        </w:trPr>
        <w:tc>
          <w:tcPr>
            <w:tcW w:w="2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July 31, 2021</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1,688.1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(359.8)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6,091.8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(640.3)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6,785.4</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6" w:name="page7"/>
    <w:bookmarkEnd w:id="6"/>
    <w:p>
      <w:pPr>
        <w:ind w:left="3460"/>
        <w:spacing w:after="0"/>
        <w:rPr>
          <w:sz w:val="20"/>
          <w:szCs w:val="20"/>
          <w:color w:val="auto"/>
        </w:rPr>
      </w:pPr>
      <w:r>
        <w:rPr>
          <w:rFonts w:ascii="Arial" w:cs="Arial" w:eastAsia="Arial" w:hAnsi="Arial"/>
          <w:sz w:val="18"/>
          <w:szCs w:val="18"/>
          <w:color w:val="auto"/>
        </w:rPr>
        <w:t>THE COOPER COMPANIES, INC. AND SUBSIDIARIES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Condensed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July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r>
      <w:tr>
        <w:trPr>
          <w:trHeight w:val="215"/>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798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2,834.4</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157.2</w:t>
            </w:r>
          </w:p>
        </w:tc>
      </w:tr>
      <w:tr>
        <w:trPr>
          <w:trHeight w:val="229"/>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r>
      <w:tr>
        <w:trPr>
          <w:trHeight w:val="230"/>
        </w:trPr>
        <w:tc>
          <w:tcPr>
            <w:tcW w:w="7980" w:type="dxa"/>
            <w:vAlign w:val="bottom"/>
          </w:tcPr>
          <w:p>
            <w:pPr>
              <w:ind w:left="360"/>
              <w:spacing w:after="0"/>
              <w:rPr>
                <w:sz w:val="20"/>
                <w:szCs w:val="20"/>
                <w:color w:val="auto"/>
              </w:rPr>
            </w:pPr>
            <w:r>
              <w:rPr>
                <w:rFonts w:ascii="Arial" w:cs="Arial" w:eastAsia="Arial" w:hAnsi="Arial"/>
                <w:sz w:val="18"/>
                <w:szCs w:val="18"/>
                <w:color w:val="auto"/>
              </w:rPr>
              <w:t>Change in fair value of contingent consideration</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Increase in operating capital</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w:t>
            </w:r>
          </w:p>
        </w:tc>
      </w:tr>
      <w:tr>
        <w:trPr>
          <w:trHeight w:val="229"/>
        </w:trPr>
        <w:tc>
          <w:tcPr>
            <w:tcW w:w="7980" w:type="dxa"/>
            <w:vAlign w:val="bottom"/>
          </w:tcPr>
          <w:p>
            <w:pPr>
              <w:ind w:left="360"/>
              <w:spacing w:after="0"/>
              <w:rPr>
                <w:sz w:val="20"/>
                <w:szCs w:val="20"/>
                <w:color w:val="auto"/>
              </w:rPr>
            </w:pPr>
            <w:r>
              <w:rPr>
                <w:rFonts w:ascii="Arial" w:cs="Arial" w:eastAsia="Arial" w:hAnsi="Arial"/>
                <w:sz w:val="18"/>
                <w:szCs w:val="18"/>
                <w:color w:val="auto"/>
              </w:rPr>
              <w:t>Deferred income taxes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(2,489.5)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non-cash items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w:t>
            </w:r>
          </w:p>
        </w:tc>
      </w:tr>
      <w:tr>
        <w:trPr>
          <w:trHeight w:val="22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268.3</w:t>
            </w:r>
          </w:p>
        </w:tc>
      </w:tr>
      <w:tr>
        <w:trPr>
          <w:trHeight w:val="21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7980" w:type="dxa"/>
            <w:vAlign w:val="bottom"/>
          </w:tcPr>
          <w:p>
            <w:pPr>
              <w:ind w:left="360"/>
              <w:spacing w:after="0"/>
              <w:rPr>
                <w:sz w:val="20"/>
                <w:szCs w:val="20"/>
                <w:color w:val="auto"/>
              </w:rPr>
            </w:pPr>
            <w:r>
              <w:rPr>
                <w:rFonts w:ascii="Arial" w:cs="Arial" w:eastAsia="Arial" w:hAnsi="Arial"/>
                <w:sz w:val="18"/>
                <w:szCs w:val="18"/>
                <w:color w:val="auto"/>
              </w:rPr>
              <w:t>Purchases of property, plant and equipment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(149.4)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(203.4)</w:t>
            </w:r>
          </w:p>
        </w:tc>
      </w:tr>
      <w:tr>
        <w:trPr>
          <w:trHeight w:val="229"/>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Acquisitions of businesses and assets, net of cash acquired, and other</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2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(221.3)</w:t>
            </w:r>
          </w:p>
        </w:tc>
      </w:tr>
      <w:tr>
        <w:trPr>
          <w:trHeight w:val="20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7980" w:type="dxa"/>
            <w:vAlign w:val="bottom"/>
          </w:tcPr>
          <w:p>
            <w:pPr>
              <w:ind w:left="360"/>
              <w:spacing w:after="0"/>
              <w:rPr>
                <w:sz w:val="20"/>
                <w:szCs w:val="20"/>
                <w:color w:val="auto"/>
              </w:rPr>
            </w:pPr>
            <w:r>
              <w:rPr>
                <w:rFonts w:ascii="Arial" w:cs="Arial" w:eastAsia="Arial" w:hAnsi="Arial"/>
                <w:sz w:val="18"/>
                <w:szCs w:val="18"/>
                <w:color w:val="auto"/>
              </w:rPr>
              <w:t>Proceeds from long-term debt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815.0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2086.4</w:t>
            </w:r>
          </w:p>
        </w:tc>
      </w:tr>
      <w:tr>
        <w:trPr>
          <w:trHeight w:val="229"/>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Repayments of long-term debt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(2,022.8)</w:t>
            </w:r>
          </w:p>
        </w:tc>
      </w:tr>
      <w:tr>
        <w:trPr>
          <w:trHeight w:val="230"/>
        </w:trPr>
        <w:tc>
          <w:tcPr>
            <w:tcW w:w="7980" w:type="dxa"/>
            <w:vAlign w:val="bottom"/>
          </w:tcPr>
          <w:p>
            <w:pPr>
              <w:ind w:left="360"/>
              <w:spacing w:after="0"/>
              <w:rPr>
                <w:sz w:val="20"/>
                <w:szCs w:val="20"/>
                <w:color w:val="auto"/>
              </w:rPr>
            </w:pPr>
            <w:r>
              <w:rPr>
                <w:rFonts w:ascii="Arial" w:cs="Arial" w:eastAsia="Arial" w:hAnsi="Arial"/>
                <w:sz w:val="18"/>
                <w:szCs w:val="18"/>
                <w:color w:val="auto"/>
              </w:rPr>
              <w:t>Net proceeds (repayments) from short-term debt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29"/>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proceeds (payments) related to share-based compensation awards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30"/>
        </w:trPr>
        <w:tc>
          <w:tcPr>
            <w:tcW w:w="7980" w:type="dxa"/>
            <w:vAlign w:val="bottom"/>
          </w:tcPr>
          <w:p>
            <w:pPr>
              <w:ind w:left="360"/>
              <w:spacing w:after="0"/>
              <w:rPr>
                <w:sz w:val="20"/>
                <w:szCs w:val="20"/>
                <w:color w:val="auto"/>
              </w:rPr>
            </w:pPr>
            <w:r>
              <w:rPr>
                <w:rFonts w:ascii="Arial" w:cs="Arial" w:eastAsia="Arial" w:hAnsi="Arial"/>
                <w:sz w:val="18"/>
                <w:szCs w:val="18"/>
                <w:color w:val="auto"/>
              </w:rPr>
              <w:t>Dividends on common stock</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Repurchase of common stock</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r>
      <w:tr>
        <w:trPr>
          <w:trHeight w:val="230"/>
        </w:trPr>
        <w:tc>
          <w:tcPr>
            <w:tcW w:w="7980" w:type="dxa"/>
            <w:vAlign w:val="bottom"/>
          </w:tcPr>
          <w:p>
            <w:pPr>
              <w:ind w:left="360"/>
              <w:spacing w:after="0"/>
              <w:rPr>
                <w:sz w:val="20"/>
                <w:szCs w:val="20"/>
                <w:color w:val="auto"/>
              </w:rPr>
            </w:pPr>
            <w:r>
              <w:rPr>
                <w:rFonts w:ascii="Arial" w:cs="Arial" w:eastAsia="Arial" w:hAnsi="Arial"/>
                <w:sz w:val="18"/>
                <w:szCs w:val="18"/>
                <w:color w:val="auto"/>
              </w:rPr>
              <w:t>Issuance of common stock for employee stock purchase plan</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Debt issuance costs</w:t>
            </w:r>
          </w:p>
        </w:tc>
        <w:tc>
          <w:tcPr>
            <w:tcW w:w="3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2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in financing activities</w:t>
            </w:r>
          </w:p>
        </w:tc>
        <w:tc>
          <w:tcPr>
            <w:tcW w:w="3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(187.6)</w:t>
            </w:r>
          </w:p>
        </w:tc>
        <w:tc>
          <w:tcPr>
            <w:tcW w:w="1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Net (decrease) increase in cash, cash equivalents, restricted cash and cash held for sale</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38.8</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Cash, cash equivalents, restricted cash and cash held for sale at end of period</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7"/>
        </w:trPr>
        <w:tc>
          <w:tcPr>
            <w:tcW w:w="79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Reconciliation of cash flow information:</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112.2</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127.4</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 included in other current assets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held for sale</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cash equivalents, restricted cash and cash held for sale at end of period</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General</w:t>
      </w:r>
    </w:p>
    <w:p>
      <w:pPr>
        <w:spacing w:after="0" w:line="256"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accompanying Consolidated Condensed Financial Statements of the Cooper Companies, Inc. and its subsidiaries (the Company) have been prepared in accordance with generally accepted accounting principles in the United States ("GAAP") for interim financial information and with the requirements of Regulation S-X, Rule 10-01 for financial statements required to be filed as a part of this Quarterly Report on Form 10-Q. Unless the context requires otherwise, terms "the Company", "we", "us", and "our" are used to refer collectively to the Cooper Companies, Inc. and its subsidiaries.</w:t>
      </w:r>
    </w:p>
    <w:p>
      <w:pPr>
        <w:spacing w:after="0" w:line="184" w:lineRule="exact"/>
        <w:rPr>
          <w:sz w:val="20"/>
          <w:szCs w:val="20"/>
          <w:color w:val="auto"/>
        </w:rPr>
      </w:pPr>
    </w:p>
    <w:p>
      <w:pPr>
        <w:ind w:right="420"/>
        <w:spacing w:after="0" w:line="296" w:lineRule="auto"/>
        <w:rPr>
          <w:sz w:val="20"/>
          <w:szCs w:val="20"/>
          <w:color w:val="auto"/>
        </w:rPr>
      </w:pPr>
      <w:r>
        <w:rPr>
          <w:rFonts w:ascii="Arial" w:cs="Arial" w:eastAsia="Arial" w:hAnsi="Arial"/>
          <w:sz w:val="16"/>
          <w:szCs w:val="16"/>
          <w:color w:val="auto"/>
        </w:rPr>
        <w:t>The accompanying Consolidated Condensed Financial Statements and related notes are unaudited and should be read in conjunction with the audited Consolidated Financial Statements of the Cooper Companies, Inc. and its subsidiaries (the Company) and related notes as contained in the Company’s Annual Report on Form 10-K for the fiscal year ended October 31, 2020. The Consolidated Condensed Financial Statements include all adjustments (consisting only of normal recurring adjustments) and accruals necessary in the judgment of management for a fair presentation of the results for the interim periods presented. Readers should not assume that the results reported here either indicate or guarantee future performance.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w:t>
      </w:r>
    </w:p>
    <w:p>
      <w:pPr>
        <w:spacing w:after="0" w:line="256"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There have been no material changes to our significant accounting policies described in our Annual Report on Form 10-K for the fiscal year ended October 31, 2020.</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w:t>
      </w:r>
    </w:p>
    <w:p>
      <w:pPr>
        <w:spacing w:after="0" w:line="256"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World Health Organization categorized the Coronavirus disease 2019 (COVID-19) as a pandemic. The COVID-19 pandemic has caused a severe global health crisis, along with economic and societal disruptions and uncertainties, which have negatively impacted business and healthcare activity globally. As a result of healthcare systems responding to the demands of managing the pandemic, governments around the world imposing measures designed to reduce the transmission of the COVID-19 virus, and individuals responding to the concerns of contracting the COVID-19 virus, many optical practitioners &amp; retailers, hospitals, medical offices and fertility clinics closed their facilities, restricted access, or delayed or canceled patient visits, exams and elective medical procedures, and many customers that have reopened are experiencing reduced patient visits. These factors have had, and in the future may have, an adverse effect on our sales, operating results and cash flows.</w:t>
      </w:r>
    </w:p>
    <w:p>
      <w:pPr>
        <w:spacing w:after="0" w:line="191"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The preparation of Consolidated Condensed Financial Statements in conformity with GAAP requires management to make estimates and assumptions that affect the reported amounts of assets and liabilities and disclosure of contingent assets and liabilities at the date of the financial statements, as well as the reported amounts of net sales and expenses during the reporting period. Actual results could differ from those estimates particularly as it relates to estimates reliant on forecasts and other assumptions reasonably available to the Company and the uncertain future impacts of the COVID-19 pandemic and related economic disruptions. The extent to which the COVID-19 pandemic and related economic disruptions impact our business and financial results will depend on future developments including, but not limited to, the continued spread, duration and severity of the COVID-19 pandemic; the occurrence, spread, duration and severity of any subsequent wave or waves of outbreaks, including the emergence and spread of variants of the COVID-19 virus; the actions taken by the U.S. and foreign governments to contain the COVID-19 pandemic, address its impact or respond to the reduction in global and local economic activity; the occurrence, duration and severity of a global, regional or national recession, depression or other sustained adverse market event; the impact of the developments described above on our customers and suppliers; and how quickly and to what extent normal economic and operating conditions can resume. The accounting matters assessed included, but were not limited to:</w:t>
      </w:r>
    </w:p>
    <w:p>
      <w:pPr>
        <w:spacing w:after="0" w:line="129"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allowance for doubtful accounts and credit losses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carrying value of inventory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carrying value of goodwill and other long-lived assets</w:t>
      </w:r>
    </w:p>
    <w:p>
      <w:pPr>
        <w:spacing w:after="0" w:line="171"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There was not a material impact to the above estimates in the Company’s Consolidated Condensed Financial Statements for the three and nine months ended July 31, 2021. The Company continually monitors and evaluates the estimates used as additional information becomes available. Adjustments will be made to these provisions periodically to reflect new facts and circumstances that may indicate that historical experience may not be indicative of current and/or future results. The Company’s future assessment of the magnitude and duration of COVID-19, as well as other factors, could result in material</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81" w:lineRule="exact"/>
        <w:rPr>
          <w:sz w:val="20"/>
          <w:szCs w:val="20"/>
          <w:color w:val="auto"/>
        </w:rPr>
      </w:pPr>
    </w:p>
    <w:p>
      <w:pPr>
        <w:ind w:right="1260"/>
        <w:spacing w:after="0" w:line="465" w:lineRule="auto"/>
        <w:rPr>
          <w:sz w:val="20"/>
          <w:szCs w:val="20"/>
          <w:color w:val="auto"/>
        </w:rPr>
      </w:pPr>
      <w:r>
        <w:rPr>
          <w:rFonts w:ascii="Arial" w:cs="Arial" w:eastAsia="Arial" w:hAnsi="Arial"/>
          <w:sz w:val="18"/>
          <w:szCs w:val="18"/>
          <w:color w:val="auto"/>
        </w:rPr>
        <w:t xml:space="preserve">changes to the estimates and material impacts to the Company’s Consolidated Condensed Financial Statements in future reporting periods. </w:t>
      </w:r>
      <w:r>
        <w:rPr>
          <w:rFonts w:ascii="Arial" w:cs="Arial" w:eastAsia="Arial" w:hAnsi="Arial"/>
          <w:sz w:val="18"/>
          <w:szCs w:val="18"/>
          <w:b w:val="1"/>
          <w:bCs w:val="1"/>
          <w:color w:val="auto"/>
        </w:rPr>
        <w:t>Accounting Pronouncements Recently Adopted</w:t>
      </w:r>
    </w:p>
    <w:p>
      <w:pPr>
        <w:spacing w:after="0" w:line="3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 xml:space="preserve">In January 2020, the Financial Accounting Standards Board (FASB) issued ASU 2020-01, </w:t>
      </w:r>
      <w:r>
        <w:rPr>
          <w:rFonts w:ascii="Arial" w:cs="Arial" w:eastAsia="Arial" w:hAnsi="Arial"/>
          <w:sz w:val="16"/>
          <w:szCs w:val="16"/>
          <w:i w:val="1"/>
          <w:iCs w:val="1"/>
          <w:color w:val="auto"/>
        </w:rPr>
        <w:t>Investments-Equity Securities (Topic 321), Investments-Equity</w:t>
      </w:r>
      <w:r>
        <w:rPr>
          <w:rFonts w:ascii="Arial" w:cs="Arial" w:eastAsia="Arial" w:hAnsi="Arial"/>
          <w:sz w:val="16"/>
          <w:szCs w:val="16"/>
          <w:color w:val="auto"/>
        </w:rPr>
        <w:t xml:space="preserve"> </w:t>
      </w:r>
      <w:r>
        <w:rPr>
          <w:rFonts w:ascii="Arial" w:cs="Arial" w:eastAsia="Arial" w:hAnsi="Arial"/>
          <w:sz w:val="16"/>
          <w:szCs w:val="16"/>
          <w:i w:val="1"/>
          <w:iCs w:val="1"/>
          <w:color w:val="auto"/>
        </w:rPr>
        <w:t>Method and Joint Ventures (Topic 323), and Derivatives and Hedging (Topic 815)—Clarifying the Interactions between Topic 321, Topic 323, and Topic 815</w:t>
      </w:r>
      <w:r>
        <w:rPr>
          <w:rFonts w:ascii="Arial" w:cs="Arial" w:eastAsia="Arial" w:hAnsi="Arial"/>
          <w:sz w:val="16"/>
          <w:szCs w:val="16"/>
          <w:color w:val="auto"/>
        </w:rPr>
        <w:t>. This guidance addresses accounting for the transition into and out of the equity method and provides clarification of the interaction of rules for equity</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the equity method of accounting, and forward contracts and purchase options on certain types of securities. This standard is effective for fiscal years and interim periods within those fiscal years beginning after December 15, 2020. Early adoption is permitted. The Company early adopted this guidance in the second quarter of fiscal 2021, and it did not have a material impact on our Consolidated Condensed Financial Statements.</w:t>
      </w:r>
    </w:p>
    <w:p>
      <w:pPr>
        <w:spacing w:after="0" w:line="19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w:t>
      </w:r>
      <w:r>
        <w:rPr>
          <w:rFonts w:ascii="Arial" w:cs="Arial" w:eastAsia="Arial" w:hAnsi="Arial"/>
          <w:sz w:val="17"/>
          <w:szCs w:val="17"/>
          <w:color w:val="auto"/>
        </w:rPr>
        <w:t>and subsequent amendments to the initial guidance: ASU 2018-19</w:t>
      </w:r>
      <w:r>
        <w:rPr>
          <w:rFonts w:ascii="Arial" w:cs="Arial" w:eastAsia="Arial" w:hAnsi="Arial"/>
          <w:sz w:val="17"/>
          <w:szCs w:val="17"/>
          <w:i w:val="1"/>
          <w:iCs w:val="1"/>
          <w:color w:val="auto"/>
        </w:rPr>
        <w:t xml:space="preserve"> Codification Improvements to Topic 326, Financial Instruments-Credit Losses</w:t>
      </w:r>
      <w:r>
        <w:rPr>
          <w:rFonts w:ascii="Arial" w:cs="Arial" w:eastAsia="Arial" w:hAnsi="Arial"/>
          <w:sz w:val="17"/>
          <w:szCs w:val="17"/>
          <w:color w:val="auto"/>
        </w:rPr>
        <w:t>, ASU 2019-04</w:t>
      </w:r>
      <w:r>
        <w:rPr>
          <w:rFonts w:ascii="Arial" w:cs="Arial" w:eastAsia="Arial" w:hAnsi="Arial"/>
          <w:sz w:val="17"/>
          <w:szCs w:val="17"/>
          <w:i w:val="1"/>
          <w:iCs w:val="1"/>
          <w:color w:val="auto"/>
        </w:rPr>
        <w:t xml:space="preserve"> Codification Improvements to Topic 326, Financial Instruments-Credit Losses, Topic 815, Derivatives and Hedging, and Topic 825, Financial Instruments</w:t>
      </w:r>
      <w:r>
        <w:rPr>
          <w:rFonts w:ascii="Arial" w:cs="Arial" w:eastAsia="Arial" w:hAnsi="Arial"/>
          <w:sz w:val="17"/>
          <w:szCs w:val="17"/>
          <w:color w:val="auto"/>
        </w:rPr>
        <w:t>, ASU 2019-05</w:t>
      </w:r>
      <w:r>
        <w:rPr>
          <w:rFonts w:ascii="Arial" w:cs="Arial" w:eastAsia="Arial" w:hAnsi="Arial"/>
          <w:sz w:val="17"/>
          <w:szCs w:val="17"/>
          <w:i w:val="1"/>
          <w:iCs w:val="1"/>
          <w:color w:val="auto"/>
        </w:rPr>
        <w:t xml:space="preserve"> Financial Instruments-Credit Losses</w:t>
      </w:r>
      <w:r>
        <w:rPr>
          <w:rFonts w:ascii="Arial" w:cs="Arial" w:eastAsia="Arial" w:hAnsi="Arial"/>
          <w:sz w:val="17"/>
          <w:szCs w:val="17"/>
          <w:color w:val="auto"/>
        </w:rPr>
        <w:t>, ASU 2019-11</w:t>
      </w:r>
      <w:r>
        <w:rPr>
          <w:rFonts w:ascii="Arial" w:cs="Arial" w:eastAsia="Arial" w:hAnsi="Arial"/>
          <w:sz w:val="17"/>
          <w:szCs w:val="17"/>
          <w:i w:val="1"/>
          <w:iCs w:val="1"/>
          <w:color w:val="auto"/>
        </w:rPr>
        <w:t xml:space="preserve"> Codification Improvements to Topic 326, Financial Instruments —Credit Losses</w:t>
      </w:r>
      <w:r>
        <w:rPr>
          <w:rFonts w:ascii="Arial" w:cs="Arial" w:eastAsia="Arial" w:hAnsi="Arial"/>
          <w:sz w:val="17"/>
          <w:szCs w:val="17"/>
          <w:color w:val="auto"/>
        </w:rPr>
        <w:t>, ASU 2020-02</w:t>
      </w:r>
      <w:r>
        <w:rPr>
          <w:rFonts w:ascii="Arial" w:cs="Arial" w:eastAsia="Arial" w:hAnsi="Arial"/>
          <w:sz w:val="17"/>
          <w:szCs w:val="17"/>
          <w:i w:val="1"/>
          <w:iCs w:val="1"/>
          <w:color w:val="auto"/>
        </w:rPr>
        <w:t xml:space="preserve"> Financial Instruments—Credit Losses (Topic 326) and Leases (Topic 842) </w:t>
      </w:r>
      <w:r>
        <w:rPr>
          <w:rFonts w:ascii="Arial" w:cs="Arial" w:eastAsia="Arial" w:hAnsi="Arial"/>
          <w:sz w:val="17"/>
          <w:szCs w:val="17"/>
          <w:color w:val="auto"/>
        </w:rPr>
        <w:t>and ASU 2020-03</w:t>
      </w:r>
      <w:r>
        <w:rPr>
          <w:rFonts w:ascii="Arial" w:cs="Arial" w:eastAsia="Arial" w:hAnsi="Arial"/>
          <w:sz w:val="17"/>
          <w:szCs w:val="17"/>
          <w:i w:val="1"/>
          <w:iCs w:val="1"/>
          <w:color w:val="auto"/>
        </w:rPr>
        <w:t xml:space="preserve"> Codification Improvements to Financial Instruments </w:t>
      </w:r>
      <w:r>
        <w:rPr>
          <w:rFonts w:ascii="Arial" w:cs="Arial" w:eastAsia="Arial" w:hAnsi="Arial"/>
          <w:sz w:val="17"/>
          <w:szCs w:val="17"/>
          <w:color w:val="auto"/>
        </w:rPr>
        <w:t>(collectively, “Topic 326”). Topic 326 requires measurement and recognition of expected credit losses for financial assets held. Topic</w:t>
      </w:r>
      <w:r>
        <w:rPr>
          <w:rFonts w:ascii="Arial" w:cs="Arial" w:eastAsia="Arial" w:hAnsi="Arial"/>
          <w:sz w:val="17"/>
          <w:szCs w:val="17"/>
          <w:i w:val="1"/>
          <w:iCs w:val="1"/>
          <w:color w:val="auto"/>
        </w:rPr>
        <w:t xml:space="preserve"> </w:t>
      </w:r>
      <w:r>
        <w:rPr>
          <w:rFonts w:ascii="Arial" w:cs="Arial" w:eastAsia="Arial" w:hAnsi="Arial"/>
          <w:sz w:val="17"/>
          <w:szCs w:val="17"/>
          <w:color w:val="auto"/>
        </w:rPr>
        <w:t>326 is effective for fiscal years and interim periods within those fiscal years beginning after December 15, 2019. The Company adopted this guidance in the first quarter of fiscal 2021 on a modified retrospective basis, and the most notable impact was related to the assessment of the adequacy of its allowance for doubtful accounts on trade accounts receivable and the recognition of credit losses. The Company recorded a cumulative-effect adjustment of $1.4 million to the Consolidated Condensed Balance Sheet on November 1, 2020.</w:t>
      </w:r>
    </w:p>
    <w:p>
      <w:pPr>
        <w:spacing w:after="0" w:line="21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In November 2018, the FASB issued ASU 2018-18, </w:t>
      </w:r>
      <w:r>
        <w:rPr>
          <w:rFonts w:ascii="Arial" w:cs="Arial" w:eastAsia="Arial" w:hAnsi="Arial"/>
          <w:sz w:val="16"/>
          <w:szCs w:val="16"/>
          <w:i w:val="1"/>
          <w:iCs w:val="1"/>
          <w:color w:val="auto"/>
        </w:rPr>
        <w:t>Collaborative Arrangements (Topic 808): Clarifying the Interaction between Topic 808 and Topic 606</w:t>
      </w:r>
      <w:r>
        <w:rPr>
          <w:rFonts w:ascii="Arial" w:cs="Arial" w:eastAsia="Arial" w:hAnsi="Arial"/>
          <w:sz w:val="16"/>
          <w:szCs w:val="16"/>
          <w:color w:val="auto"/>
        </w:rPr>
        <w:t>. This guidance amended Topic 808 and Topic 606 to clarify that transactions in a collaborative arrangement should be accounted for under Topic 606 when the counterparty is a customer for a distinct good or service (i.e., unit of account). The amendments preclude an entity from presenting consideration from a transaction in a collaborative arrangement as revenue from contracts with customers if the counterparty is not a customer for that transaction. This guidance is effective for fiscal years and interim periods within those fiscal years beginning after December 15, 2019. The Company adopted this guidance on November 1, 2020, and it did not have a material impact on our Consolidated Condensed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Pronouncements Issued Not Yet Adopted</w:t>
      </w:r>
    </w:p>
    <w:p>
      <w:pPr>
        <w:spacing w:after="0" w:line="256"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This guidance removes certain exceptions to the general principles in Topic 740 and enhances and simplifies various aspects of the income tax accounting guidance, including requirements such as tax basis step-up in goodwill obtained in a transaction that is not a business combination, ownership changes in investments, and interim-period accounting for enacted changes in tax law. This standard is effective for fiscal years and interim periods within those fiscal years beginning after December 15, 2020. Early adoption is permitted. We are currently evaluating the impact of ASU 2019-12 on our Consolidated Condensed Financial Statements, which is effective for the Company in our fiscal year and interim periods beginning on November 1, 2021.</w:t>
      </w:r>
    </w:p>
    <w:p>
      <w:pPr>
        <w:spacing w:after="0" w:line="124"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 xml:space="preserve">In March 2020, the FASB issued ASU 2020-04, </w:t>
      </w:r>
      <w:r>
        <w:rPr>
          <w:rFonts w:ascii="Arial" w:cs="Arial" w:eastAsia="Arial" w:hAnsi="Arial"/>
          <w:sz w:val="16"/>
          <w:szCs w:val="16"/>
          <w:i w:val="1"/>
          <w:iCs w:val="1"/>
          <w:color w:val="auto"/>
        </w:rPr>
        <w:t>Reference Rate Reform</w:t>
      </w:r>
      <w:r>
        <w:rPr>
          <w:rFonts w:ascii="Arial" w:cs="Arial" w:eastAsia="Arial" w:hAnsi="Arial"/>
          <w:sz w:val="16"/>
          <w:szCs w:val="16"/>
          <w:color w:val="auto"/>
        </w:rPr>
        <w:t xml:space="preserve"> (</w:t>
      </w:r>
      <w:r>
        <w:rPr>
          <w:rFonts w:ascii="Arial" w:cs="Arial" w:eastAsia="Arial" w:hAnsi="Arial"/>
          <w:sz w:val="16"/>
          <w:szCs w:val="16"/>
          <w:i w:val="1"/>
          <w:iCs w:val="1"/>
          <w:color w:val="auto"/>
        </w:rPr>
        <w:t>Topic 848</w:t>
      </w:r>
      <w:r>
        <w:rPr>
          <w:rFonts w:ascii="Arial" w:cs="Arial" w:eastAsia="Arial" w:hAnsi="Arial"/>
          <w:sz w:val="16"/>
          <w:szCs w:val="16"/>
          <w:color w:val="auto"/>
        </w:rPr>
        <w:t xml:space="preserve">): </w:t>
      </w:r>
      <w:r>
        <w:rPr>
          <w:rFonts w:ascii="Arial" w:cs="Arial" w:eastAsia="Arial" w:hAnsi="Arial"/>
          <w:sz w:val="16"/>
          <w:szCs w:val="16"/>
          <w:i w:val="1"/>
          <w:iCs w:val="1"/>
          <w:color w:val="auto"/>
        </w:rPr>
        <w:t>Facilitation of the Effects of Reference Rate Reform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Reporting </w:t>
      </w:r>
      <w:r>
        <w:rPr>
          <w:rFonts w:ascii="Arial" w:cs="Arial" w:eastAsia="Arial" w:hAnsi="Arial"/>
          <w:sz w:val="16"/>
          <w:szCs w:val="16"/>
          <w:color w:val="auto"/>
        </w:rPr>
        <w:t>and subsequent amendment to the initial guidance: ASU 2021-01,</w:t>
      </w:r>
      <w:r>
        <w:rPr>
          <w:rFonts w:ascii="Arial" w:cs="Arial" w:eastAsia="Arial" w:hAnsi="Arial"/>
          <w:sz w:val="16"/>
          <w:szCs w:val="16"/>
          <w:i w:val="1"/>
          <w:iCs w:val="1"/>
          <w:color w:val="auto"/>
        </w:rPr>
        <w:t xml:space="preserve"> Reference Rate Reform (Topic 848): Scope </w:t>
      </w:r>
      <w:r>
        <w:rPr>
          <w:rFonts w:ascii="Arial" w:cs="Arial" w:eastAsia="Arial" w:hAnsi="Arial"/>
          <w:sz w:val="16"/>
          <w:szCs w:val="16"/>
          <w:color w:val="auto"/>
        </w:rPr>
        <w:t>(collectively, “Topic 848”). Topic</w:t>
      </w:r>
      <w:r>
        <w:rPr>
          <w:rFonts w:ascii="Arial" w:cs="Arial" w:eastAsia="Arial" w:hAnsi="Arial"/>
          <w:sz w:val="16"/>
          <w:szCs w:val="16"/>
          <w:i w:val="1"/>
          <w:iCs w:val="1"/>
          <w:color w:val="auto"/>
        </w:rPr>
        <w:t xml:space="preserve"> </w:t>
      </w:r>
      <w:r>
        <w:rPr>
          <w:rFonts w:ascii="Arial" w:cs="Arial" w:eastAsia="Arial" w:hAnsi="Arial"/>
          <w:sz w:val="16"/>
          <w:szCs w:val="16"/>
          <w:color w:val="auto"/>
        </w:rPr>
        <w:t>848 provides optional expedients and exceptions for applying GAAP to contracts, hedging relationships, and other transactions affected by reference rate reform if certain criteria are met. The amendments apply only to contracts, hedging relationships, and other transactions that reference LIBOR or another reference rate expected to be discontinued because of reference rate reform. The guidance generally can be applied from March 12, 2020 through December 31, 2022. We are currently assessing the impacts of the practical expedients provided in Topic 848 and which, if any, we will adopt.</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19"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 xml:space="preserve">In August 2020, the FASB issued ASU 2020-06, </w:t>
      </w:r>
      <w:r>
        <w:rPr>
          <w:rFonts w:ascii="Arial" w:cs="Arial" w:eastAsia="Arial" w:hAnsi="Arial"/>
          <w:sz w:val="16"/>
          <w:szCs w:val="16"/>
          <w:i w:val="1"/>
          <w:iCs w:val="1"/>
          <w:color w:val="auto"/>
        </w:rPr>
        <w:t>Debt—Debt with Conversion and Other Options (Subtopic 470-20) and Derivatives and Hedging—</w:t>
      </w:r>
      <w:r>
        <w:rPr>
          <w:rFonts w:ascii="Arial" w:cs="Arial" w:eastAsia="Arial" w:hAnsi="Arial"/>
          <w:sz w:val="16"/>
          <w:szCs w:val="16"/>
          <w:color w:val="auto"/>
        </w:rPr>
        <w:t xml:space="preserve"> </w:t>
      </w:r>
      <w:r>
        <w:rPr>
          <w:rFonts w:ascii="Arial" w:cs="Arial" w:eastAsia="Arial" w:hAnsi="Arial"/>
          <w:sz w:val="16"/>
          <w:szCs w:val="16"/>
          <w:i w:val="1"/>
          <w:iCs w:val="1"/>
          <w:color w:val="auto"/>
        </w:rPr>
        <w:t>Contracts in Entity’s Own Equity (Subtopic 815-40)</w:t>
      </w:r>
      <w:r>
        <w:rPr>
          <w:rFonts w:ascii="Arial" w:cs="Arial" w:eastAsia="Arial" w:hAnsi="Arial"/>
          <w:sz w:val="16"/>
          <w:szCs w:val="16"/>
          <w:color w:val="auto"/>
        </w:rPr>
        <w:t>. This update amends the guidance on convertible instruments and the derivatives scope exception for</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contracts in an entity's own equity and improves and amends the related EPS guidance for both Subtopics. This standard is effective for fiscal years and interim periods within those fiscal years beginning after December 15, 2021, which means it will be effective for our fiscal year beginning November 1, 2022. Early adoption is permitted but no earlier than fiscal years beginning after December 15, 2020, including interim periods within those fiscal years. We are currently evaluating the impact of ASU 2020-06 on our Consolidated Condensed Financial Statements.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No other recently issued accounting pronouncements had or are expected to have a material impact on our Consolidated Condensed Financial Statements.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Acquisitions and Assets Held for Sale</w:t>
      </w:r>
    </w:p>
    <w:p>
      <w:pPr>
        <w:spacing w:after="0" w:line="9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is a summary of the allocation of the total purchase consideration for business and asset acquisitions that the Company completed during the nine months ended July 31, 2021 and fiscal 2020:</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4"/>
                <w:szCs w:val="14"/>
                <w:color w:val="auto"/>
              </w:rPr>
            </w:pPr>
          </w:p>
        </w:tc>
        <w:tc>
          <w:tcPr>
            <w:tcW w:w="1520" w:type="dxa"/>
            <w:vAlign w:val="bottom"/>
            <w:gridSpan w:val="2"/>
          </w:tcPr>
          <w:p>
            <w:pPr>
              <w:ind w:left="180"/>
              <w:spacing w:after="0"/>
              <w:rPr>
                <w:sz w:val="20"/>
                <w:szCs w:val="20"/>
                <w:color w:val="auto"/>
              </w:rPr>
            </w:pPr>
            <w:r>
              <w:rPr>
                <w:rFonts w:ascii="Arial" w:cs="Arial" w:eastAsia="Arial" w:hAnsi="Arial"/>
                <w:sz w:val="14"/>
                <w:szCs w:val="14"/>
                <w:b w:val="1"/>
                <w:bCs w:val="1"/>
                <w:color w:val="auto"/>
              </w:rPr>
              <w:t>July 31, 2021</w:t>
            </w:r>
          </w:p>
        </w:tc>
        <w:tc>
          <w:tcPr>
            <w:tcW w:w="220" w:type="dxa"/>
            <w:vAlign w:val="bottom"/>
          </w:tcPr>
          <w:p>
            <w:pPr>
              <w:spacing w:after="0"/>
              <w:rPr>
                <w:sz w:val="14"/>
                <w:szCs w:val="14"/>
                <w:color w:val="auto"/>
              </w:rPr>
            </w:pPr>
          </w:p>
        </w:tc>
        <w:tc>
          <w:tcPr>
            <w:tcW w:w="1460" w:type="dxa"/>
            <w:vAlign w:val="bottom"/>
          </w:tcPr>
          <w:p>
            <w:pPr>
              <w:jc w:val="right"/>
              <w:ind w:right="232"/>
              <w:spacing w:after="0"/>
              <w:rPr>
                <w:sz w:val="20"/>
                <w:szCs w:val="20"/>
                <w:color w:val="auto"/>
              </w:rPr>
            </w:pPr>
            <w:r>
              <w:rPr>
                <w:rFonts w:ascii="Arial" w:cs="Arial" w:eastAsia="Arial" w:hAnsi="Arial"/>
                <w:sz w:val="14"/>
                <w:szCs w:val="14"/>
                <w:b w:val="1"/>
                <w:bCs w:val="1"/>
                <w:color w:val="auto"/>
                <w:w w:val="99"/>
              </w:rPr>
              <w:t>October 31, 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70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Technology</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In-Process Research &amp; Development (IPR&amp;D)</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29"/>
        </w:trPr>
        <w:tc>
          <w:tcPr>
            <w:tcW w:w="20" w:type="dxa"/>
            <w:vAlign w:val="bottom"/>
          </w:tcPr>
          <w:p>
            <w:pPr>
              <w:spacing w:after="0"/>
              <w:rPr>
                <w:sz w:val="19"/>
                <w:szCs w:val="19"/>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Trademarks</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29"/>
        </w:trPr>
        <w:tc>
          <w:tcPr>
            <w:tcW w:w="20" w:type="dxa"/>
            <w:vAlign w:val="bottom"/>
            <w:shd w:val="clear" w:color="auto" w:fill="CCEEFF"/>
          </w:tcPr>
          <w:p>
            <w:pPr>
              <w:spacing w:after="0"/>
              <w:rPr>
                <w:sz w:val="19"/>
                <w:szCs w:val="19"/>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23"/>
        </w:trPr>
        <w:tc>
          <w:tcPr>
            <w:tcW w:w="20" w:type="dxa"/>
            <w:vAlign w:val="bottom"/>
            <w:tcBorders>
              <w:bottom w:val="single" w:sz="8" w:color="CCEEFF"/>
            </w:tcBorders>
          </w:tcPr>
          <w:p>
            <w:pPr>
              <w:spacing w:after="0"/>
              <w:rPr>
                <w:sz w:val="19"/>
                <w:szCs w:val="19"/>
                <w:color w:val="auto"/>
              </w:rPr>
            </w:pPr>
          </w:p>
        </w:tc>
        <w:tc>
          <w:tcPr>
            <w:tcW w:w="77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identifiable intangible assets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r>
      <w:tr>
        <w:trPr>
          <w:trHeight w:val="223"/>
        </w:trPr>
        <w:tc>
          <w:tcPr>
            <w:tcW w:w="20" w:type="dxa"/>
            <w:vAlign w:val="bottom"/>
            <w:shd w:val="clear" w:color="auto" w:fill="CCEEFF"/>
          </w:tcPr>
          <w:p>
            <w:pPr>
              <w:spacing w:after="0"/>
              <w:rPr>
                <w:sz w:val="19"/>
                <w:szCs w:val="19"/>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30"/>
        </w:trPr>
        <w:tc>
          <w:tcPr>
            <w:tcW w:w="20" w:type="dxa"/>
            <w:vAlign w:val="bottom"/>
          </w:tcPr>
          <w:p>
            <w:pPr>
              <w:spacing w:after="0"/>
              <w:rPr>
                <w:sz w:val="19"/>
                <w:szCs w:val="19"/>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Net tangible liabilities</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29"/>
        </w:trPr>
        <w:tc>
          <w:tcPr>
            <w:tcW w:w="20" w:type="dxa"/>
            <w:vAlign w:val="bottom"/>
            <w:shd w:val="clear" w:color="auto" w:fill="CCEEFF"/>
          </w:tcPr>
          <w:p>
            <w:pPr>
              <w:spacing w:after="0"/>
              <w:rPr>
                <w:sz w:val="19"/>
                <w:szCs w:val="19"/>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contingent consideration</w:t>
            </w: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7760" w:type="dxa"/>
            <w:vAlign w:val="bottom"/>
            <w:gridSpan w:val="2"/>
          </w:tcPr>
          <w:p>
            <w:pPr>
              <w:spacing w:after="0"/>
              <w:rPr>
                <w:sz w:val="20"/>
                <w:szCs w:val="20"/>
                <w:color w:val="auto"/>
              </w:rPr>
            </w:pPr>
            <w:r>
              <w:rPr>
                <w:rFonts w:ascii="Arial" w:cs="Arial" w:eastAsia="Arial" w:hAnsi="Arial"/>
                <w:sz w:val="18"/>
                <w:szCs w:val="18"/>
                <w:b w:val="1"/>
                <w:bCs w:val="1"/>
                <w:color w:val="auto"/>
              </w:rPr>
              <w:t>Total closing purchase price</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All acquisitions were funded by cash generated from operations or facility borrowings.</w:t>
      </w:r>
    </w:p>
    <w:p>
      <w:pPr>
        <w:spacing w:after="0" w:line="17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For business acquisitions, the Company recorded tangible and intangible assets acquired and liabilities assumed at their fair values as of the applicable date of acquisition. For asset acquisitions, the Company recorded tangible and intangible assets acquired and liabilities assumed at their estimated and relative fair values as of the applicable date of acquisition.</w:t>
      </w:r>
    </w:p>
    <w:p>
      <w:pPr>
        <w:spacing w:after="0" w:line="211"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The Company believes these acquisitions strengthen CooperSurgical's and CooperVision's businesses through the addition of new distributors or complementary products and services.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2021</w:t>
      </w:r>
    </w:p>
    <w:p>
      <w:pPr>
        <w:spacing w:after="0" w:line="243" w:lineRule="exact"/>
        <w:rPr>
          <w:sz w:val="20"/>
          <w:szCs w:val="20"/>
          <w:color w:val="auto"/>
        </w:rPr>
      </w:pPr>
    </w:p>
    <w:p>
      <w:pPr>
        <w:jc w:val="both"/>
        <w:ind w:right="340"/>
        <w:spacing w:after="0" w:line="235" w:lineRule="auto"/>
        <w:rPr>
          <w:sz w:val="20"/>
          <w:szCs w:val="20"/>
          <w:color w:val="auto"/>
        </w:rPr>
      </w:pPr>
      <w:r>
        <w:rPr>
          <w:rFonts w:ascii="Arial" w:cs="Arial" w:eastAsia="Arial" w:hAnsi="Arial"/>
          <w:sz w:val="18"/>
          <w:szCs w:val="18"/>
          <w:color w:val="auto"/>
        </w:rPr>
        <w:t>On May 3, 2021, CooperSurgical completed the acquisition of a privately-held medical device company that develops single-use illuminating medical devices. The purchase price allocation is preliminary, and the Company is in the process of finalizing information primarily related to valuation and the corresponding impact on goodwill.</w:t>
      </w:r>
    </w:p>
    <w:p>
      <w:pPr>
        <w:spacing w:after="0" w:line="202"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On April 26, 2021, CooperVision completed the acquisition of a privately-held U.K. contact lens manufacturer focusing on specialty contact lenses. This acquisition expands CooperVision’s specialty eye care portfolio and accelerates its development of myopia management solutions in the U.K. The purchase price allocation is preliminary, and the Company is in the process of finalizing information and the corresponding impact on goodwill.</w:t>
      </w:r>
    </w:p>
    <w:p>
      <w:pPr>
        <w:spacing w:after="0" w:line="192"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On March 1, 2021, CooperSurgical completed the acquisition of a privately-held medical device company that designed and developed an innovative obstetric product for use in urgent obstetrics to reduce risks associated with childbirth. The purchase price allocation is preliminary, and the Company is in the process of finalizing information primarily related to valuation and taxes and the corresponding impact on goodwill.</w:t>
      </w:r>
    </w:p>
    <w:p>
      <w:pPr>
        <w:spacing w:after="0" w:line="186" w:lineRule="exact"/>
        <w:rPr>
          <w:sz w:val="20"/>
          <w:szCs w:val="20"/>
          <w:color w:val="auto"/>
        </w:rPr>
      </w:pPr>
    </w:p>
    <w:p>
      <w:pPr>
        <w:ind w:right="120"/>
        <w:spacing w:after="0" w:line="229" w:lineRule="auto"/>
        <w:rPr>
          <w:sz w:val="20"/>
          <w:szCs w:val="20"/>
          <w:color w:val="auto"/>
        </w:rPr>
      </w:pPr>
      <w:r>
        <w:rPr>
          <w:rFonts w:ascii="Arial" w:cs="Arial" w:eastAsia="Arial" w:hAnsi="Arial"/>
          <w:sz w:val="17"/>
          <w:szCs w:val="17"/>
          <w:color w:val="auto"/>
        </w:rPr>
        <w:t>On February 1, 2021, CooperSurgical acquired all of the remaining equity interests of a privately-held medical device company that developed the Mara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Water Vapor Ablation System, which is used for endometrial ablation. The Company accounted for this acquisition as an asset acquisition, whereby the Company allocated the total cost of the acquisition to the net assets acquired on the basis of their estimated relative fair values on the acquisition date with no goodwill recognized. The primary asset acquired in this asset acquisition is Technology.</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jc w:val="center"/>
        <w:ind w:right="-5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color w:val="auto"/>
        </w:rPr>
        <w:t>On January 19, 2021, CooperVision acquired all of the remaining equity interests of a privately-held medical device company that develops spectacle</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lenses for myopia management. The fair value remeasurement of our previous equity investment immediately before the acquisition resulted in a gain of</w:t>
      </w:r>
    </w:p>
    <w:p>
      <w:pPr>
        <w:spacing w:after="0" w:line="238" w:lineRule="auto"/>
        <w:rPr>
          <w:sz w:val="20"/>
          <w:szCs w:val="20"/>
          <w:color w:val="auto"/>
        </w:rPr>
      </w:pPr>
      <w:r>
        <w:rPr>
          <w:rFonts w:ascii="Arial" w:cs="Arial" w:eastAsia="Arial" w:hAnsi="Arial"/>
          <w:sz w:val="17"/>
          <w:szCs w:val="17"/>
          <w:color w:val="auto"/>
        </w:rPr>
        <w:t>$11.5 million, which was recorded in other income. The terms of the acquisition include upfront cash consideration paid at closing of approximately</w:t>
      </w:r>
    </w:p>
    <w:p>
      <w:pPr>
        <w:spacing w:after="0"/>
        <w:rPr>
          <w:sz w:val="20"/>
          <w:szCs w:val="20"/>
          <w:color w:val="auto"/>
        </w:rPr>
      </w:pPr>
      <w:r>
        <w:rPr>
          <w:rFonts w:ascii="Arial" w:cs="Arial" w:eastAsia="Arial" w:hAnsi="Arial"/>
          <w:sz w:val="16"/>
          <w:szCs w:val="16"/>
          <w:color w:val="auto"/>
        </w:rPr>
        <w:t>$40.9 million attributable to the equity interests not held by the Company on the closing date. The transaction also includes potential payments of future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consideration that are contingent upon the achievement of the regulatory approval milestone (the regulatory approval payment) and the acquired business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reaching certain revenue thresholds over a specified period (the revenue payments). The undiscounted range of the contingent consideration is zero to</w:t>
      </w:r>
    </w:p>
    <w:p>
      <w:pPr>
        <w:spacing w:after="0" w:line="238" w:lineRule="auto"/>
        <w:rPr>
          <w:sz w:val="20"/>
          <w:szCs w:val="20"/>
          <w:color w:val="auto"/>
        </w:rPr>
      </w:pPr>
      <w:r>
        <w:rPr>
          <w:rFonts w:ascii="Arial" w:cs="Arial" w:eastAsia="Arial" w:hAnsi="Arial"/>
          <w:sz w:val="17"/>
          <w:szCs w:val="17"/>
          <w:color w:val="auto"/>
        </w:rPr>
        <w:t>$139.1 million payable to the other former equity interest owners. The purchase price allocation is preliminary, and the Company is in the process of</w:t>
      </w:r>
    </w:p>
    <w:p>
      <w:pPr>
        <w:spacing w:after="0"/>
        <w:rPr>
          <w:sz w:val="20"/>
          <w:szCs w:val="20"/>
          <w:color w:val="auto"/>
        </w:rPr>
      </w:pPr>
      <w:r>
        <w:rPr>
          <w:rFonts w:ascii="Arial" w:cs="Arial" w:eastAsia="Arial" w:hAnsi="Arial"/>
          <w:sz w:val="18"/>
          <w:szCs w:val="18"/>
          <w:color w:val="auto"/>
        </w:rPr>
        <w:t>finalizing information and the corresponding impact on goodwill.</w:t>
      </w:r>
    </w:p>
    <w:p>
      <w:pPr>
        <w:spacing w:after="0" w:line="209" w:lineRule="exact"/>
        <w:rPr>
          <w:sz w:val="20"/>
          <w:szCs w:val="20"/>
          <w:color w:val="auto"/>
        </w:rPr>
      </w:pPr>
    </w:p>
    <w:p>
      <w:pPr>
        <w:ind w:right="60"/>
        <w:spacing w:after="0" w:line="242" w:lineRule="auto"/>
        <w:rPr>
          <w:sz w:val="20"/>
          <w:szCs w:val="20"/>
          <w:color w:val="auto"/>
        </w:rPr>
      </w:pPr>
      <w:r>
        <w:rPr>
          <w:rFonts w:ascii="Arial" w:cs="Arial" w:eastAsia="Arial" w:hAnsi="Arial"/>
          <w:sz w:val="17"/>
          <w:szCs w:val="17"/>
          <w:color w:val="auto"/>
        </w:rPr>
        <w:t>The estimated fair value of the contingent consideration on the acquisition date was approximately $37.9 million, and, accordingly, the Company recorded a liability of approximately $30.2 million, which represents the fair value of the contingent consideration payable to the other former equity interest owners. The fair value of the regulatory approval payment was determined using an option pricing framework based on the expected payment under the contractual terms and the estimates of the probability of achieving the regulatory approval. The fair value of the revenue payments was determined using a Monte Carlo simulation based on the revenue projections and the expected payment for each simulation.</w:t>
      </w:r>
    </w:p>
    <w:p>
      <w:pPr>
        <w:spacing w:after="0" w:line="202" w:lineRule="exact"/>
        <w:rPr>
          <w:sz w:val="20"/>
          <w:szCs w:val="20"/>
          <w:color w:val="auto"/>
        </w:rPr>
      </w:pPr>
    </w:p>
    <w:p>
      <w:pPr>
        <w:ind w:right="300"/>
        <w:spacing w:after="0" w:line="246" w:lineRule="auto"/>
        <w:rPr>
          <w:sz w:val="20"/>
          <w:szCs w:val="20"/>
          <w:color w:val="auto"/>
        </w:rPr>
      </w:pPr>
      <w:r>
        <w:rPr>
          <w:rFonts w:ascii="Arial" w:cs="Arial" w:eastAsia="Arial" w:hAnsi="Arial"/>
          <w:sz w:val="17"/>
          <w:szCs w:val="17"/>
          <w:color w:val="auto"/>
        </w:rPr>
        <w:t>As of July 31, 2021, no contingent consideration has been paid. The Company remeasured the fair value of the contingent consideration as of July 31, 2021, which resulted in a $56.8 million increase in fair value that was recognized in selling, general and administrative expense in the Consolidated Statements of Income and Comprehensive Income. The increase in fair value of the contingent consideration was primarily driven by an increase in the revenue projections, which increased the estimated fair value of the revenue payments.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On December 31, 2020, CooperSurgical completed the acquisition of a privately-held in vitro fertilization (IVF) cryo-storage software solutions company.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purchase price allocation is preliminary, and the Company is in the process of finalizing information and the corresponding impact on goodwill.</w:t>
      </w:r>
    </w:p>
    <w:p>
      <w:pPr>
        <w:spacing w:after="0" w:line="16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pro forma results of operations of these acquisitions have not been presented because the effect of the business combinations described above was not material to the consolidated 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2020</w:t>
      </w:r>
    </w:p>
    <w:p>
      <w:pPr>
        <w:spacing w:after="0" w:line="25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On August 7, 2020, CooperVision completed the acquisition of a privately-held U.S. contact lens manufacturer focusing on ortho-k lenses. This acquisition expands CooperVision’s specialty eye care portfolio and its leadership in addressing the increasing severity and prevalence of myopia.</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On December 13, 2019, CooperSurgical completed the acquisition of a privately-held distributor of IVF medical devices and systems.</w:t>
      </w:r>
    </w:p>
    <w:p>
      <w:pPr>
        <w:spacing w:after="0" w:line="25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pro forma results of operations of these acquisitions have not been presented because the effect of the business combinations described above was not material to the consolidated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Consideration</w:t>
      </w:r>
    </w:p>
    <w:p>
      <w:pPr>
        <w:spacing w:after="0" w:line="256"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Certain of the Company’s business combinations involve potential payments of future consideration that are contingent upon the achievement of regulatory milestones and/or the acquired business reaching certain revenue thresholds. A liability is recorded for the estimated fair value of the contingent consideration on the acquisition date. The fair value of the contingent consideration is remeasured at each reporting period, and the change in fair value is recognized in selling, general and administrative expense in the Consolidated Statements of Income and Comprehensive Income.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the beginning and ending balances of contingent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420" w:type="dxa"/>
            <w:vAlign w:val="bottom"/>
            <w:gridSpan w:val="2"/>
          </w:tcPr>
          <w:p>
            <w:pPr>
              <w:spacing w:after="0"/>
              <w:rPr>
                <w:sz w:val="20"/>
                <w:szCs w:val="20"/>
                <w:color w:val="auto"/>
              </w:rPr>
            </w:pPr>
            <w:r>
              <w:rPr>
                <w:rFonts w:ascii="Arial" w:cs="Arial" w:eastAsia="Arial" w:hAnsi="Arial"/>
                <w:sz w:val="14"/>
                <w:szCs w:val="14"/>
                <w:b w:val="1"/>
                <w:bCs w:val="1"/>
                <w:color w:val="auto"/>
              </w:rPr>
              <w:t>Periods Ended July 31,</w:t>
            </w:r>
          </w:p>
        </w:tc>
        <w:tc>
          <w:tcPr>
            <w:tcW w:w="4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Three Months</w:t>
            </w:r>
          </w:p>
        </w:tc>
        <w:tc>
          <w:tcPr>
            <w:tcW w:w="12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Nine Months</w:t>
            </w:r>
          </w:p>
        </w:tc>
        <w:tc>
          <w:tcPr>
            <w:tcW w:w="960" w:type="dxa"/>
            <w:vAlign w:val="bottom"/>
            <w:tcBorders>
              <w:bottom w:val="single" w:sz="8" w:color="auto"/>
            </w:tcBorders>
          </w:tcPr>
          <w:p>
            <w:pPr>
              <w:spacing w:after="0"/>
              <w:rPr>
                <w:sz w:val="16"/>
                <w:szCs w:val="16"/>
                <w:color w:val="auto"/>
              </w:rPr>
            </w:pPr>
          </w:p>
        </w:tc>
      </w:tr>
      <w:tr>
        <w:trPr>
          <w:trHeight w:val="148"/>
        </w:trPr>
        <w:tc>
          <w:tcPr>
            <w:tcW w:w="20" w:type="dxa"/>
            <w:vAlign w:val="bottom"/>
          </w:tcPr>
          <w:p>
            <w:pPr>
              <w:spacing w:after="0"/>
              <w:rPr>
                <w:sz w:val="12"/>
                <w:szCs w:val="12"/>
                <w:color w:val="auto"/>
              </w:rPr>
            </w:pPr>
          </w:p>
        </w:tc>
        <w:tc>
          <w:tcPr>
            <w:tcW w:w="44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12"/>
                <w:szCs w:val="12"/>
                <w:color w:val="auto"/>
              </w:rPr>
            </w:pPr>
          </w:p>
        </w:tc>
        <w:tc>
          <w:tcPr>
            <w:tcW w:w="1380" w:type="dxa"/>
            <w:vAlign w:val="bottom"/>
          </w:tcPr>
          <w:p>
            <w:pPr>
              <w:jc w:val="right"/>
              <w:ind w:right="675"/>
              <w:spacing w:after="0" w:line="149"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4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ind w:right="475"/>
              <w:spacing w:after="0" w:line="149"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6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6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Purchase price contingent consideration</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Payments</w:t>
            </w:r>
          </w:p>
        </w:tc>
        <w:tc>
          <w:tcPr>
            <w:tcW w:w="4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Change in fair value</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4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Held for Sale</w:t>
      </w:r>
    </w:p>
    <w:p>
      <w:pPr>
        <w:spacing w:after="0" w:line="256"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On February 2, 2021, CooperVision entered into a stock purchase agreement to sell 50% of the equity interest in a wholly-owned subsidiary that was acquired by CooperVision on January 19, 2021. The closing of this transaction is subject to certain closing conditions including required regulatory approvals. The Company intends to operate the previously wholly-owned subsidiary as a joint venture with the purchaser of the 50% interest once the transaction is closed.</w:t>
      </w:r>
    </w:p>
    <w:p>
      <w:pPr>
        <w:spacing w:after="0" w:line="21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Company concluded the substantive terms of the joint venture during the third quarter of fiscal 2021, and as of July 31, 2021, the assets and liabilities of this disposal group were reclassified as held for sale. Pursuant to ASC 360, assets held for sale were measured at the lower of their carrying amounts or fair value less cost to sell. Based on the Company's assessment, no impairment was recorded in the three months ended July 31, 2021. The Company has determined that this disposal did not qualify as a discontinued operation as the sale was deemed to not be a strategic shift that has or will have a major effect on the Company's operations and financial results.</w:t>
      </w:r>
    </w:p>
    <w:p>
      <w:pPr>
        <w:spacing w:after="0" w:line="21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Included in the Company's Consolidated Condensed Balance Sheet as of July 31,2021 are the following carrying amounts of the assets and liabilities held for sale: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40" w:type="dxa"/>
            <w:vAlign w:val="bottom"/>
          </w:tcPr>
          <w:p>
            <w:pPr>
              <w:jc w:val="right"/>
              <w:ind w:right="593"/>
              <w:spacing w:after="0"/>
              <w:rPr>
                <w:sz w:val="20"/>
                <w:szCs w:val="20"/>
                <w:color w:val="auto"/>
              </w:rPr>
            </w:pPr>
            <w:r>
              <w:rPr>
                <w:rFonts w:ascii="Arial" w:cs="Arial" w:eastAsia="Arial" w:hAnsi="Arial"/>
                <w:sz w:val="14"/>
                <w:szCs w:val="14"/>
                <w:b w:val="1"/>
                <w:bCs w:val="1"/>
                <w:color w:val="auto"/>
              </w:rPr>
              <w:t>July 31, 2021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55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0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gridSpan w:val="3"/>
          </w:tcPr>
          <w:p>
            <w:pPr>
              <w:ind w:left="340"/>
              <w:spacing w:after="0"/>
              <w:rPr>
                <w:sz w:val="20"/>
                <w:szCs w:val="20"/>
                <w:color w:val="auto"/>
              </w:rPr>
            </w:pPr>
            <w:r>
              <w:rPr>
                <w:rFonts w:ascii="Arial" w:cs="Arial" w:eastAsia="Arial" w:hAnsi="Arial"/>
                <w:sz w:val="18"/>
                <w:szCs w:val="18"/>
                <w:color w:val="auto"/>
              </w:rPr>
              <w:t>Cash</w:t>
            </w:r>
          </w:p>
        </w:tc>
        <w:tc>
          <w:tcPr>
            <w:tcW w:w="3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gridSpan w:val="2"/>
          </w:tcPr>
          <w:p>
            <w:pPr>
              <w:jc w:val="right"/>
              <w:ind w:right="210"/>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0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Goodwill</w:t>
            </w:r>
          </w:p>
        </w:tc>
        <w:tc>
          <w:tcPr>
            <w:tcW w:w="3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00" w:type="dxa"/>
            <w:vAlign w:val="bottom"/>
            <w:gridSpan w:val="3"/>
          </w:tcPr>
          <w:p>
            <w:pPr>
              <w:ind w:left="340"/>
              <w:spacing w:after="0"/>
              <w:rPr>
                <w:sz w:val="20"/>
                <w:szCs w:val="20"/>
                <w:color w:val="auto"/>
              </w:rPr>
            </w:pPr>
            <w:r>
              <w:rPr>
                <w:rFonts w:ascii="Arial" w:cs="Arial" w:eastAsia="Arial" w:hAnsi="Arial"/>
                <w:sz w:val="18"/>
                <w:szCs w:val="18"/>
                <w:color w:val="auto"/>
              </w:rPr>
              <w:t>Other intangibles, net</w:t>
            </w:r>
          </w:p>
        </w:tc>
        <w:tc>
          <w:tcPr>
            <w:tcW w:w="3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0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Deferred tax assets</w:t>
            </w:r>
          </w:p>
        </w:tc>
        <w:tc>
          <w:tcPr>
            <w:tcW w:w="3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000" w:type="dxa"/>
            <w:vAlign w:val="bottom"/>
            <w:tcBorders>
              <w:bottom w:val="single" w:sz="8" w:color="CCEEFF"/>
            </w:tcBorders>
            <w:gridSpan w:val="3"/>
          </w:tcPr>
          <w:p>
            <w:pPr>
              <w:ind w:left="340"/>
              <w:spacing w:after="0"/>
              <w:rPr>
                <w:sz w:val="20"/>
                <w:szCs w:val="20"/>
                <w:color w:val="auto"/>
              </w:rPr>
            </w:pPr>
            <w:r>
              <w:rPr>
                <w:rFonts w:ascii="Arial" w:cs="Arial" w:eastAsia="Arial" w:hAnsi="Arial"/>
                <w:sz w:val="18"/>
                <w:szCs w:val="18"/>
                <w:color w:val="auto"/>
              </w:rPr>
              <w:t>Other assets</w:t>
            </w:r>
          </w:p>
        </w:tc>
        <w:tc>
          <w:tcPr>
            <w:tcW w:w="38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3"/>
            <w:shd w:val="clear" w:color="auto" w:fill="CCEEFF"/>
          </w:tcPr>
          <w:p>
            <w:pPr>
              <w:ind w:left="660"/>
              <w:spacing w:after="0"/>
              <w:rPr>
                <w:sz w:val="20"/>
                <w:szCs w:val="20"/>
                <w:color w:val="auto"/>
              </w:rPr>
            </w:pPr>
            <w:r>
              <w:rPr>
                <w:rFonts w:ascii="Arial" w:cs="Arial" w:eastAsia="Arial" w:hAnsi="Arial"/>
                <w:sz w:val="18"/>
                <w:szCs w:val="18"/>
                <w:color w:val="auto"/>
              </w:rPr>
              <w:t>Total assets held-for-sale</w:t>
            </w:r>
          </w:p>
        </w:tc>
        <w:tc>
          <w:tcPr>
            <w:tcW w:w="3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00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b w:val="1"/>
                <w:bCs w:val="1"/>
                <w:color w:val="auto"/>
              </w:rPr>
              <w:t>LIABILITIES</w:t>
            </w:r>
          </w:p>
        </w:tc>
        <w:tc>
          <w:tcPr>
            <w:tcW w:w="3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Borders>
              <w:bottom w:val="single" w:sz="8" w:color="CCEEFF"/>
            </w:tcBorders>
            <w:vMerge w:val="continue"/>
          </w:tcPr>
          <w:p>
            <w:pPr>
              <w:spacing w:after="0"/>
              <w:rPr>
                <w:sz w:val="15"/>
                <w:szCs w:val="15"/>
                <w:color w:val="auto"/>
              </w:rPr>
            </w:pPr>
          </w:p>
        </w:tc>
        <w:tc>
          <w:tcPr>
            <w:tcW w:w="7000" w:type="dxa"/>
            <w:vAlign w:val="bottom"/>
            <w:tcBorders>
              <w:bottom w:val="single" w:sz="8" w:color="CCEEFF"/>
            </w:tcBorders>
            <w:gridSpan w:val="3"/>
            <w:vMerge w:val="continue"/>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16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3"/>
            <w:shd w:val="clear" w:color="auto" w:fill="CCEEFF"/>
          </w:tcPr>
          <w:p>
            <w:pPr>
              <w:ind w:left="660"/>
              <w:spacing w:after="0"/>
              <w:rPr>
                <w:sz w:val="20"/>
                <w:szCs w:val="20"/>
                <w:color w:val="auto"/>
              </w:rPr>
            </w:pPr>
            <w:r>
              <w:rPr>
                <w:rFonts w:ascii="Arial" w:cs="Arial" w:eastAsia="Arial" w:hAnsi="Arial"/>
                <w:sz w:val="18"/>
                <w:szCs w:val="18"/>
                <w:color w:val="auto"/>
              </w:rPr>
              <w:t>Total liabilities held-for-sale</w:t>
            </w:r>
          </w:p>
        </w:tc>
        <w:tc>
          <w:tcPr>
            <w:tcW w:w="3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gridSpan w:val="4"/>
            <w:vMerge w:val="restart"/>
          </w:tcPr>
          <w:p>
            <w:pPr>
              <w:spacing w:after="0"/>
              <w:rPr>
                <w:sz w:val="20"/>
                <w:szCs w:val="20"/>
                <w:color w:val="auto"/>
              </w:rPr>
            </w:pPr>
            <w:r>
              <w:rPr>
                <w:rFonts w:ascii="Arial" w:cs="Arial" w:eastAsia="Arial" w:hAnsi="Arial"/>
                <w:sz w:val="18"/>
                <w:szCs w:val="18"/>
                <w:b w:val="1"/>
                <w:bCs w:val="1"/>
                <w:color w:val="auto"/>
              </w:rPr>
              <w:t>Note 3. Inventories</w:t>
            </w:r>
          </w:p>
        </w:tc>
        <w:tc>
          <w:tcPr>
            <w:tcW w:w="3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7020" w:type="dxa"/>
            <w:vAlign w:val="bottom"/>
            <w:gridSpan w:val="4"/>
            <w:vMerge w:val="continue"/>
          </w:tcPr>
          <w:p>
            <w:pPr>
              <w:spacing w:after="0"/>
              <w:rPr>
                <w:sz w:val="24"/>
                <w:szCs w:val="24"/>
                <w:color w:val="auto"/>
              </w:rPr>
            </w:pPr>
          </w:p>
        </w:tc>
        <w:tc>
          <w:tcPr>
            <w:tcW w:w="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(In millions)</w:t>
            </w:r>
          </w:p>
        </w:tc>
        <w:tc>
          <w:tcPr>
            <w:tcW w:w="5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00" w:type="dxa"/>
            <w:vAlign w:val="bottom"/>
            <w:gridSpan w:val="2"/>
          </w:tcPr>
          <w:p>
            <w:pPr>
              <w:ind w:left="260"/>
              <w:spacing w:after="0"/>
              <w:rPr>
                <w:sz w:val="20"/>
                <w:szCs w:val="20"/>
                <w:color w:val="auto"/>
              </w:rPr>
            </w:pPr>
            <w:r>
              <w:rPr>
                <w:rFonts w:ascii="Arial" w:cs="Arial" w:eastAsia="Arial" w:hAnsi="Arial"/>
                <w:sz w:val="14"/>
                <w:szCs w:val="14"/>
                <w:b w:val="1"/>
                <w:bCs w:val="1"/>
                <w:color w:val="auto"/>
              </w:rPr>
              <w:t>July 31, 2021</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tcPr>
          <w:p>
            <w:pPr>
              <w:jc w:val="right"/>
              <w:ind w:right="413"/>
              <w:spacing w:after="0"/>
              <w:rPr>
                <w:sz w:val="20"/>
                <w:szCs w:val="20"/>
                <w:color w:val="auto"/>
              </w:rPr>
            </w:pPr>
            <w:r>
              <w:rPr>
                <w:rFonts w:ascii="Arial" w:cs="Arial" w:eastAsia="Arial" w:hAnsi="Arial"/>
                <w:sz w:val="14"/>
                <w:szCs w:val="14"/>
                <w:b w:val="1"/>
                <w:bCs w:val="1"/>
                <w:color w:val="auto"/>
              </w:rPr>
              <w:t>October 31, 2020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55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Raw materials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gridSpan w:val="3"/>
          </w:tcPr>
          <w:p>
            <w:pPr>
              <w:spacing w:after="0"/>
              <w:rPr>
                <w:sz w:val="20"/>
                <w:szCs w:val="20"/>
                <w:color w:val="auto"/>
              </w:rPr>
            </w:pPr>
            <w:r>
              <w:rPr>
                <w:rFonts w:ascii="Arial" w:cs="Arial" w:eastAsia="Arial" w:hAnsi="Arial"/>
                <w:sz w:val="18"/>
                <w:szCs w:val="18"/>
                <w:color w:val="auto"/>
              </w:rPr>
              <w:t>Work-in-process</w:t>
            </w:r>
          </w:p>
        </w:tc>
        <w:tc>
          <w:tcPr>
            <w:tcW w:w="3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gridSpan w:val="3"/>
          </w:tcPr>
          <w:p>
            <w:pPr>
              <w:spacing w:after="0"/>
              <w:rPr>
                <w:sz w:val="20"/>
                <w:szCs w:val="20"/>
                <w:color w:val="auto"/>
              </w:rPr>
            </w:pPr>
            <w:r>
              <w:rPr>
                <w:rFonts w:ascii="Arial" w:cs="Arial" w:eastAsia="Arial" w:hAnsi="Arial"/>
                <w:sz w:val="18"/>
                <w:szCs w:val="18"/>
                <w:color w:val="auto"/>
              </w:rPr>
              <w:t>Total inventories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Inventories are stated at the lower of cost and net realizable value. Cost is computed using standard cost that approximates actual cost, on a first-in, first-out basis.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4. Intangible Assets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8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4"/>
                <w:szCs w:val="14"/>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CooperVision</w:t>
            </w:r>
          </w:p>
        </w:tc>
        <w:tc>
          <w:tcPr>
            <w:tcW w:w="220" w:type="dxa"/>
            <w:vAlign w:val="bottom"/>
          </w:tcPr>
          <w:p>
            <w:pPr>
              <w:spacing w:after="0"/>
              <w:rPr>
                <w:sz w:val="14"/>
                <w:szCs w:val="14"/>
                <w:color w:val="auto"/>
              </w:rPr>
            </w:pPr>
          </w:p>
        </w:tc>
        <w:tc>
          <w:tcPr>
            <w:tcW w:w="1500" w:type="dxa"/>
            <w:vAlign w:val="bottom"/>
            <w:gridSpan w:val="2"/>
          </w:tcPr>
          <w:p>
            <w:pPr>
              <w:ind w:left="100"/>
              <w:spacing w:after="0"/>
              <w:rPr>
                <w:sz w:val="20"/>
                <w:szCs w:val="20"/>
                <w:color w:val="auto"/>
              </w:rPr>
            </w:pPr>
            <w:r>
              <w:rPr>
                <w:rFonts w:ascii="Arial" w:cs="Arial" w:eastAsia="Arial" w:hAnsi="Arial"/>
                <w:sz w:val="14"/>
                <w:szCs w:val="14"/>
                <w:b w:val="1"/>
                <w:bCs w:val="1"/>
                <w:color w:val="auto"/>
              </w:rPr>
              <w:t>CooperSurgical</w:t>
            </w:r>
          </w:p>
        </w:tc>
        <w:tc>
          <w:tcPr>
            <w:tcW w:w="380" w:type="dxa"/>
            <w:vAlign w:val="bottom"/>
          </w:tcPr>
          <w:p>
            <w:pPr>
              <w:spacing w:after="0"/>
              <w:rPr>
                <w:sz w:val="14"/>
                <w:szCs w:val="14"/>
                <w:color w:val="auto"/>
              </w:rPr>
            </w:pPr>
          </w:p>
        </w:tc>
        <w:tc>
          <w:tcPr>
            <w:tcW w:w="1220" w:type="dxa"/>
            <w:vAlign w:val="bottom"/>
          </w:tcPr>
          <w:p>
            <w:pPr>
              <w:jc w:val="right"/>
              <w:ind w:right="553"/>
              <w:spacing w:after="0"/>
              <w:rPr>
                <w:sz w:val="20"/>
                <w:szCs w:val="20"/>
                <w:color w:val="auto"/>
              </w:rPr>
            </w:pPr>
            <w:r>
              <w:rPr>
                <w:rFonts w:ascii="Arial" w:cs="Arial" w:eastAsia="Arial" w:hAnsi="Arial"/>
                <w:sz w:val="14"/>
                <w:szCs w:val="14"/>
                <w:b w:val="1"/>
                <w:bCs w:val="1"/>
                <w:color w:val="auto"/>
              </w:rPr>
              <w:t>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54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October 31, 2020</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2,447.3</w:t>
            </w:r>
          </w:p>
        </w:tc>
      </w:tr>
      <w:tr>
        <w:trPr>
          <w:trHeight w:val="229"/>
        </w:trPr>
        <w:tc>
          <w:tcPr>
            <w:tcW w:w="20" w:type="dxa"/>
            <w:vAlign w:val="bottom"/>
          </w:tcPr>
          <w:p>
            <w:pPr>
              <w:spacing w:after="0"/>
              <w:rPr>
                <w:sz w:val="19"/>
                <w:szCs w:val="19"/>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Current period additions</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61.1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93.0</w:t>
            </w:r>
          </w:p>
        </w:tc>
      </w:tr>
      <w:tr>
        <w:trPr>
          <w:trHeight w:val="230"/>
        </w:trPr>
        <w:tc>
          <w:tcPr>
            <w:tcW w:w="20" w:type="dxa"/>
            <w:vAlign w:val="bottom"/>
            <w:shd w:val="clear" w:color="auto" w:fill="CCEEFF"/>
          </w:tcPr>
          <w:p>
            <w:pPr>
              <w:spacing w:after="0"/>
              <w:rPr>
                <w:sz w:val="19"/>
                <w:szCs w:val="19"/>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 reclassified to assets held for sale (Note 2)</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29"/>
        </w:trPr>
        <w:tc>
          <w:tcPr>
            <w:tcW w:w="20" w:type="dxa"/>
            <w:vAlign w:val="bottom"/>
            <w:tcBorders>
              <w:bottom w:val="single" w:sz="8" w:color="CCEEFF"/>
            </w:tcBorders>
          </w:tcPr>
          <w:p>
            <w:pPr>
              <w:spacing w:after="0"/>
              <w:rPr>
                <w:sz w:val="19"/>
                <w:szCs w:val="19"/>
                <w:color w:val="auto"/>
              </w:rPr>
            </w:pPr>
          </w:p>
        </w:tc>
        <w:tc>
          <w:tcPr>
            <w:tcW w:w="61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Foreign currency translation adjustment</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July 31, 2021</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2,585.2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5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The Company evaluates goodwill for impairment annually during the fiscal third quarter and when an event occurs or circumstances change such that it is reasonably possible that impairment may exist. The Company accounts for goodwill, evaluates and tests goodwill balances for impairment in accordance with related accounting standards.</w:t>
      </w:r>
    </w:p>
    <w:p>
      <w:pPr>
        <w:spacing w:after="0" w:line="21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Company performed an annual impairment assessment in the third quarter of fiscal 2021 and 2020, and its analysis indicated that there was no impairment of goodwill in its reporting units. Qualitative factors considered in the assessment include industry and market considerations, overall financial performance and other relevant events and factors affecting each reporting unit. Based on the Company's qualitative assessment, if the Company determines that the fair value of a reporting unit is more likely than not to be less than its carrying amount, the fair value of the reporting unit will be compared with its carrying amount and an impairment charge will be recognized for the amount that the carrying value exceeds the fair value of the reporting unit. A reporting unit is the level of reporting at which goodwill is tested for impairment. The Company has three reporting units: CooperVision, and within the CooperSurgical segment, Office/Surgical and Fertility, reflecting the current way the Company manages its business.</w:t>
      </w:r>
    </w:p>
    <w:p>
      <w:pPr>
        <w:spacing w:after="0" w:line="20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Goodwill impairment analysis and measurement is a process that requires significant judgment. If the Company's common stock price trades below book value per share, there are changes in market conditions or a future downturn in its business, or a future goodwill impairment test indicates an impairment of our goodwill, the Company may have to recognize a non-cash impairment of goodwill that could be material and could adversely affect the Company's results of operations in the period recognized and also adversely affect its total assets and stockholders' equity.</w:t>
      </w:r>
    </w:p>
    <w:p>
      <w:pPr>
        <w:spacing w:after="0" w:line="19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Given the general deterioration in economic and market conditions surrounding the COVID-19 pandemic, the Company considered the impact that the COVID-19 pandemic may have on its near and long-term forecasts and determined that it was not more likely than not that the fair value of reporting units or relevant asset groups was below carrying amounts, and therefore the Company determined that there was no impairment to either its goodwill, definite-lived or indefinite-lived intangible assets at July 31, 2021.</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40" w:type="dxa"/>
            <w:vAlign w:val="bottom"/>
            <w:gridSpan w:val="5"/>
          </w:tcPr>
          <w:p>
            <w:pPr>
              <w:ind w:left="600"/>
              <w:spacing w:after="0"/>
              <w:rPr>
                <w:sz w:val="20"/>
                <w:szCs w:val="20"/>
                <w:color w:val="auto"/>
              </w:rPr>
            </w:pPr>
            <w:r>
              <w:rPr>
                <w:rFonts w:ascii="Arial" w:cs="Arial" w:eastAsia="Arial" w:hAnsi="Arial"/>
                <w:sz w:val="14"/>
                <w:szCs w:val="14"/>
                <w:b w:val="1"/>
                <w:bCs w:val="1"/>
                <w:color w:val="auto"/>
              </w:rPr>
              <w:t>July 31, 2021</w:t>
            </w:r>
          </w:p>
        </w:tc>
        <w:tc>
          <w:tcPr>
            <w:tcW w:w="140" w:type="dxa"/>
            <w:vAlign w:val="bottom"/>
          </w:tcPr>
          <w:p>
            <w:pPr>
              <w:spacing w:after="0"/>
              <w:rPr>
                <w:sz w:val="16"/>
                <w:szCs w:val="16"/>
                <w:color w:val="auto"/>
              </w:rPr>
            </w:pPr>
          </w:p>
        </w:tc>
        <w:tc>
          <w:tcPr>
            <w:tcW w:w="2140" w:type="dxa"/>
            <w:vAlign w:val="bottom"/>
            <w:gridSpan w:val="5"/>
          </w:tcPr>
          <w:p>
            <w:pPr>
              <w:jc w:val="right"/>
              <w:ind w:right="530"/>
              <w:spacing w:after="0"/>
              <w:rPr>
                <w:sz w:val="20"/>
                <w:szCs w:val="20"/>
                <w:color w:val="auto"/>
              </w:rPr>
            </w:pPr>
            <w:r>
              <w:rPr>
                <w:rFonts w:ascii="Arial" w:cs="Arial" w:eastAsia="Arial" w:hAnsi="Arial"/>
                <w:sz w:val="14"/>
                <w:szCs w:val="14"/>
                <w:b w:val="1"/>
                <w:bCs w:val="1"/>
                <w:color w:val="auto"/>
              </w:rPr>
              <w:t>October 31, 2020</w:t>
            </w: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restart"/>
          </w:tcPr>
          <w:p>
            <w:pPr>
              <w:jc w:val="center"/>
              <w:ind w:right="95"/>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6"/>
              </w:rPr>
              <w:t>Amortization Period</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gridSpan w:val="2"/>
            <w:vMerge w:val="restart"/>
          </w:tcPr>
          <w:p>
            <w:pPr>
              <w:jc w:val="right"/>
              <w:ind w:right="11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5"/>
                <w:szCs w:val="5"/>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1"/>
                <w:szCs w:val="11"/>
                <w:color w:val="auto"/>
              </w:rPr>
            </w:pPr>
          </w:p>
        </w:tc>
        <w:tc>
          <w:tcPr>
            <w:tcW w:w="780" w:type="dxa"/>
            <w:vAlign w:val="bottom"/>
          </w:tcPr>
          <w:p>
            <w:pPr>
              <w:jc w:val="center"/>
              <w:ind w:right="55"/>
              <w:spacing w:after="0" w:line="135"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center"/>
              <w:ind w:right="55"/>
              <w:spacing w:after="0" w:line="135"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2"/>
                <w:szCs w:val="12"/>
                <w:color w:val="auto"/>
              </w:rPr>
            </w:pPr>
          </w:p>
        </w:tc>
        <w:tc>
          <w:tcPr>
            <w:tcW w:w="80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11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Intangible assets with definite lives: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80" w:type="dxa"/>
            <w:vAlign w:val="bottom"/>
            <w:gridSpan w:val="3"/>
          </w:tcPr>
          <w:p>
            <w:pPr>
              <w:ind w:left="120"/>
              <w:spacing w:after="0"/>
              <w:rPr>
                <w:sz w:val="20"/>
                <w:szCs w:val="20"/>
                <w:color w:val="auto"/>
              </w:rPr>
            </w:pPr>
            <w:r>
              <w:rPr>
                <w:rFonts w:ascii="Arial" w:cs="Arial" w:eastAsia="Arial" w:hAnsi="Arial"/>
                <w:sz w:val="18"/>
                <w:szCs w:val="18"/>
                <w:color w:val="auto"/>
              </w:rPr>
              <w:t>Composite intangible asset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1,061.9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265.5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1,061.9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212.4</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8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Technology</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251.9</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80" w:type="dxa"/>
            <w:vAlign w:val="bottom"/>
            <w:gridSpan w:val="3"/>
          </w:tcPr>
          <w:p>
            <w:pPr>
              <w:ind w:left="120"/>
              <w:spacing w:after="0"/>
              <w:rPr>
                <w:sz w:val="20"/>
                <w:szCs w:val="20"/>
                <w:color w:val="auto"/>
              </w:rPr>
            </w:pPr>
            <w:r>
              <w:rPr>
                <w:rFonts w:ascii="Arial" w:cs="Arial" w:eastAsia="Arial" w:hAnsi="Arial"/>
                <w:sz w:val="18"/>
                <w:szCs w:val="18"/>
                <w:color w:val="auto"/>
              </w:rPr>
              <w:t>Customer relationships</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379.3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216.2</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Trademarks</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880" w:type="dxa"/>
            <w:vAlign w:val="bottom"/>
            <w:tcBorders>
              <w:bottom w:val="single" w:sz="8" w:color="CCEEFF"/>
            </w:tcBorders>
            <w:gridSpan w:val="3"/>
          </w:tcPr>
          <w:p>
            <w:pPr>
              <w:ind w:left="120"/>
              <w:spacing w:after="0"/>
              <w:rPr>
                <w:sz w:val="20"/>
                <w:szCs w:val="20"/>
                <w:color w:val="auto"/>
              </w:rPr>
            </w:pPr>
            <w:r>
              <w:rPr>
                <w:rFonts w:ascii="Arial" w:cs="Arial" w:eastAsia="Arial" w:hAnsi="Arial"/>
                <w:sz w:val="18"/>
                <w:szCs w:val="18"/>
                <w:color w:val="auto"/>
              </w:rPr>
              <w:t>License and distribution rights and other</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18.2</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736.4</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88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Less: accumulated amortization and translation</w:t>
            </w: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846.4</w:t>
            </w: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736.4</w:t>
            </w: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Borders>
              <w:bottom w:val="single" w:sz="8" w:color="CCEEFF"/>
            </w:tcBorders>
            <w:vMerge w:val="continue"/>
          </w:tcPr>
          <w:p>
            <w:pPr>
              <w:spacing w:after="0"/>
              <w:rPr>
                <w:sz w:val="15"/>
                <w:szCs w:val="15"/>
                <w:color w:val="auto"/>
              </w:rPr>
            </w:pPr>
          </w:p>
        </w:tc>
        <w:tc>
          <w:tcPr>
            <w:tcW w:w="4880" w:type="dxa"/>
            <w:vAlign w:val="bottom"/>
            <w:tcBorders>
              <w:bottom w:val="single" w:sz="8" w:color="CCEEFF"/>
            </w:tcBorders>
            <w:gridSpan w:val="3"/>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5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Intangible assets with definite lives, net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880" w:type="dxa"/>
            <w:vAlign w:val="bottom"/>
            <w:tcBorders>
              <w:bottom w:val="single" w:sz="8" w:color="CCEEFF"/>
            </w:tcBorders>
            <w:gridSpan w:val="3"/>
          </w:tcPr>
          <w:p>
            <w:pPr>
              <w:spacing w:after="0" w:line="230" w:lineRule="exact"/>
              <w:rPr>
                <w:sz w:val="20"/>
                <w:szCs w:val="20"/>
                <w:color w:val="auto"/>
              </w:rPr>
            </w:pPr>
            <w:r>
              <w:rPr>
                <w:rFonts w:ascii="Arial" w:cs="Arial" w:eastAsia="Arial" w:hAnsi="Arial"/>
                <w:sz w:val="18"/>
                <w:szCs w:val="18"/>
                <w:color w:val="auto"/>
              </w:rPr>
              <w:t xml:space="preserve">Intangible assets with indefinite lives, net </w:t>
            </w:r>
            <w:r>
              <w:rPr>
                <w:rFonts w:ascii="Arial" w:cs="Arial" w:eastAsia="Arial" w:hAnsi="Arial"/>
                <w:sz w:val="23"/>
                <w:szCs w:val="23"/>
                <w:color w:val="auto"/>
                <w:vertAlign w:val="superscript"/>
              </w:rPr>
              <w:t>(1)</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8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other intangibles,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5820" w:type="dxa"/>
            <w:vAlign w:val="bottom"/>
            <w:gridSpan w:val="6"/>
          </w:tcPr>
          <w:p>
            <w:pPr>
              <w:spacing w:after="0"/>
              <w:rPr>
                <w:sz w:val="20"/>
                <w:szCs w:val="20"/>
                <w:color w:val="auto"/>
              </w:rPr>
            </w:pPr>
            <w:r>
              <w:rPr>
                <w:rFonts w:ascii="Arial" w:cs="Arial" w:eastAsia="Arial" w:hAnsi="Arial"/>
                <w:sz w:val="23"/>
                <w:szCs w:val="23"/>
                <w:i w:val="1"/>
                <w:iCs w:val="1"/>
                <w:color w:val="auto"/>
                <w:w w:val="96"/>
                <w:vertAlign w:val="superscript"/>
              </w:rPr>
              <w:t>(1)</w:t>
            </w:r>
            <w:r>
              <w:rPr>
                <w:rFonts w:ascii="Arial" w:cs="Arial" w:eastAsia="Arial" w:hAnsi="Arial"/>
                <w:sz w:val="18"/>
                <w:szCs w:val="18"/>
                <w:i w:val="1"/>
                <w:iCs w:val="1"/>
                <w:color w:val="auto"/>
                <w:w w:val="96"/>
              </w:rPr>
              <w:t xml:space="preserve"> Intangible assets with indefinite lives include technology and trademarks.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4900" w:type="dxa"/>
            <w:vAlign w:val="bottom"/>
            <w:gridSpan w:val="4"/>
          </w:tcPr>
          <w:p>
            <w:pPr>
              <w:spacing w:after="0"/>
              <w:rPr>
                <w:sz w:val="20"/>
                <w:szCs w:val="20"/>
                <w:color w:val="auto"/>
              </w:rPr>
            </w:pPr>
            <w:r>
              <w:rPr>
                <w:rFonts w:ascii="Arial" w:cs="Arial" w:eastAsia="Arial" w:hAnsi="Arial"/>
                <w:sz w:val="18"/>
                <w:szCs w:val="18"/>
                <w:color w:val="auto"/>
              </w:rPr>
              <w:t>Balances include foreign currency translation adjustments.</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520" w:type="dxa"/>
            <w:vAlign w:val="bottom"/>
            <w:gridSpan w:val="14"/>
          </w:tcPr>
          <w:p>
            <w:pPr>
              <w:spacing w:after="0"/>
              <w:rPr>
                <w:sz w:val="20"/>
                <w:szCs w:val="20"/>
                <w:color w:val="auto"/>
              </w:rPr>
            </w:pPr>
            <w:r>
              <w:rPr>
                <w:rFonts w:ascii="Arial" w:cs="Arial" w:eastAsia="Arial" w:hAnsi="Arial"/>
                <w:sz w:val="18"/>
                <w:szCs w:val="18"/>
                <w:color w:val="auto"/>
                <w:w w:val="91"/>
              </w:rPr>
              <w:t>As of July 31, 2021, the estimate of future amortization expenses for intangible assets with definite lives is as follows:</w:t>
            </w: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880" w:type="dxa"/>
            <w:vAlign w:val="bottom"/>
            <w:gridSpan w:val="3"/>
          </w:tcPr>
          <w:p>
            <w:pPr>
              <w:spacing w:after="0"/>
              <w:rPr>
                <w:sz w:val="20"/>
                <w:szCs w:val="20"/>
                <w:color w:val="auto"/>
              </w:rPr>
            </w:pPr>
            <w:r>
              <w:rPr>
                <w:rFonts w:ascii="Arial" w:cs="Arial" w:eastAsia="Arial" w:hAnsi="Arial"/>
                <w:sz w:val="14"/>
                <w:szCs w:val="14"/>
                <w:b w:val="1"/>
                <w:bCs w:val="1"/>
                <w:color w:val="auto"/>
              </w:rPr>
              <w:t>Fiscal Years:</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jc w:val="right"/>
              <w:ind w:right="688"/>
              <w:spacing w:after="0"/>
              <w:rPr>
                <w:sz w:val="20"/>
                <w:szCs w:val="20"/>
                <w:color w:val="auto"/>
              </w:rPr>
            </w:pPr>
            <w:r>
              <w:rPr>
                <w:rFonts w:ascii="Arial" w:cs="Arial" w:eastAsia="Arial" w:hAnsi="Arial"/>
                <w:sz w:val="14"/>
                <w:szCs w:val="14"/>
                <w:b w:val="1"/>
                <w:bCs w:val="1"/>
                <w:color w:val="auto"/>
                <w:w w:val="99"/>
              </w:rPr>
              <w:t>(In millions)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40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30"/>
        </w:trPr>
        <w:tc>
          <w:tcPr>
            <w:tcW w:w="78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4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80" w:type="dxa"/>
            <w:vAlign w:val="bottom"/>
            <w:gridSpan w:val="2"/>
          </w:tcPr>
          <w:p>
            <w:pPr>
              <w:jc w:val="right"/>
              <w:ind w:right="8"/>
              <w:spacing w:after="0"/>
              <w:rPr>
                <w:sz w:val="20"/>
                <w:szCs w:val="20"/>
                <w:color w:val="auto"/>
              </w:rPr>
            </w:pPr>
            <w:r>
              <w:rPr>
                <w:rFonts w:ascii="Arial" w:cs="Arial" w:eastAsia="Arial" w:hAnsi="Arial"/>
                <w:sz w:val="18"/>
                <w:szCs w:val="18"/>
                <w:color w:val="auto"/>
              </w:rPr>
              <w:t>149.3</w:t>
            </w:r>
          </w:p>
        </w:tc>
        <w:tc>
          <w:tcPr>
            <w:tcW w:w="0" w:type="dxa"/>
            <w:vAlign w:val="bottom"/>
          </w:tcPr>
          <w:p>
            <w:pPr>
              <w:spacing w:after="0"/>
              <w:rPr>
                <w:sz w:val="1"/>
                <w:szCs w:val="1"/>
                <w:color w:val="auto"/>
              </w:rPr>
            </w:pPr>
          </w:p>
        </w:tc>
      </w:tr>
      <w:tr>
        <w:trPr>
          <w:trHeight w:val="230"/>
        </w:trPr>
        <w:tc>
          <w:tcPr>
            <w:tcW w:w="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0" w:type="dxa"/>
            <w:vAlign w:val="bottom"/>
            <w:shd w:val="clear" w:color="auto" w:fill="CCEEFF"/>
          </w:tcPr>
          <w:p>
            <w:pPr>
              <w:spacing w:after="0"/>
              <w:rPr>
                <w:sz w:val="19"/>
                <w:szCs w:val="19"/>
                <w:color w:val="auto"/>
              </w:rPr>
            </w:pPr>
          </w:p>
        </w:tc>
        <w:tc>
          <w:tcPr>
            <w:tcW w:w="4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30"/>
        </w:trPr>
        <w:tc>
          <w:tcPr>
            <w:tcW w:w="78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4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80" w:type="dxa"/>
            <w:vAlign w:val="bottom"/>
            <w:gridSpan w:val="2"/>
          </w:tcPr>
          <w:p>
            <w:pPr>
              <w:jc w:val="right"/>
              <w:ind w:right="8"/>
              <w:spacing w:after="0"/>
              <w:rPr>
                <w:sz w:val="20"/>
                <w:szCs w:val="20"/>
                <w:color w:val="auto"/>
              </w:rPr>
            </w:pPr>
            <w:r>
              <w:rPr>
                <w:rFonts w:ascii="Arial" w:cs="Arial" w:eastAsia="Arial" w:hAnsi="Arial"/>
                <w:sz w:val="18"/>
                <w:szCs w:val="18"/>
                <w:color w:val="auto"/>
              </w:rPr>
              <w:t>142.8</w:t>
            </w:r>
          </w:p>
        </w:tc>
        <w:tc>
          <w:tcPr>
            <w:tcW w:w="0" w:type="dxa"/>
            <w:vAlign w:val="bottom"/>
          </w:tcPr>
          <w:p>
            <w:pPr>
              <w:spacing w:after="0"/>
              <w:rPr>
                <w:sz w:val="1"/>
                <w:szCs w:val="1"/>
                <w:color w:val="auto"/>
              </w:rPr>
            </w:pPr>
          </w:p>
        </w:tc>
      </w:tr>
      <w:tr>
        <w:trPr>
          <w:trHeight w:val="229"/>
        </w:trPr>
        <w:tc>
          <w:tcPr>
            <w:tcW w:w="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0" w:type="dxa"/>
            <w:vAlign w:val="bottom"/>
            <w:shd w:val="clear" w:color="auto" w:fill="CCEEFF"/>
          </w:tcPr>
          <w:p>
            <w:pPr>
              <w:spacing w:after="0"/>
              <w:rPr>
                <w:sz w:val="19"/>
                <w:szCs w:val="19"/>
                <w:color w:val="auto"/>
              </w:rPr>
            </w:pPr>
          </w:p>
        </w:tc>
        <w:tc>
          <w:tcPr>
            <w:tcW w:w="4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132.3</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88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8"/>
                <w:szCs w:val="18"/>
                <w:color w:val="auto"/>
              </w:rPr>
              <w:t>689.6</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800" w:type="dxa"/>
            <w:vAlign w:val="bottom"/>
            <w:tcBorders>
              <w:bottom w:val="single" w:sz="8" w:color="CCEEFF"/>
            </w:tcBorders>
            <w:gridSpan w:val="5"/>
            <w:shd w:val="clear" w:color="auto" w:fill="CCEEFF"/>
          </w:tcPr>
          <w:p>
            <w:pPr>
              <w:ind w:left="200"/>
              <w:spacing w:after="0"/>
              <w:rPr>
                <w:sz w:val="20"/>
                <w:szCs w:val="20"/>
                <w:color w:val="auto"/>
              </w:rPr>
            </w:pPr>
            <w:r>
              <w:rPr>
                <w:rFonts w:ascii="Arial" w:cs="Arial" w:eastAsia="Arial" w:hAnsi="Arial"/>
                <w:sz w:val="18"/>
                <w:szCs w:val="18"/>
                <w:color w:val="auto"/>
              </w:rPr>
              <w:t>Total remaining amortization for intangible assets with definite lives</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1,298.0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assesses definite-lived intangible assets whenever events or changes in circumstances indicate that the carrying amount of a definite-lived intangible asset (asset group) may not be recoverable. When events or changes in circumstances indicate that the carrying amount of a definite-lived intangible asset may not be recoverable, in accordance with related accounting standards, the Company evaluates whether the definite-lived intangible asset is impaired by comparing its carrying value to its undiscounted future cash flows.</w:t>
      </w:r>
    </w:p>
    <w:p>
      <w:pPr>
        <w:spacing w:after="0" w:line="133"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The Company assesses indefinite-lived intangible assets annually in the third quarter of the fiscal year, or whenever events or circumstances indicate that the carrying amount of an indefinite-lived intangible asset (asset group) may not be recoverable, in accordance with related accounting standards. The Company evaluates whether the indefinite-lived intangible asset is impaired by comparing its carrying value to its fair value.</w:t>
      </w:r>
    </w:p>
    <w:p>
      <w:pPr>
        <w:spacing w:after="0" w:line="17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If the carrying value of a definite-lived or indefinite-lived intangible asset is not recoverable, an impairment loss is recognized based on the amount by which the carrying value exceeds the fair value. The Company performed an annual impairment assessment in the third quarter of fiscal 2021 and 2020 and did not recognize any intangible asset impairment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5. Debt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4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4"/>
                <w:szCs w:val="14"/>
                <w:color w:val="auto"/>
              </w:rPr>
            </w:pPr>
          </w:p>
        </w:tc>
        <w:tc>
          <w:tcPr>
            <w:tcW w:w="1640" w:type="dxa"/>
            <w:vAlign w:val="bottom"/>
            <w:gridSpan w:val="2"/>
          </w:tcPr>
          <w:p>
            <w:pPr>
              <w:ind w:left="200"/>
              <w:spacing w:after="0"/>
              <w:rPr>
                <w:sz w:val="20"/>
                <w:szCs w:val="20"/>
                <w:color w:val="auto"/>
              </w:rPr>
            </w:pPr>
            <w:r>
              <w:rPr>
                <w:rFonts w:ascii="Arial" w:cs="Arial" w:eastAsia="Arial" w:hAnsi="Arial"/>
                <w:sz w:val="14"/>
                <w:szCs w:val="14"/>
                <w:b w:val="1"/>
                <w:bCs w:val="1"/>
                <w:color w:val="auto"/>
              </w:rPr>
              <w:t>July 31, 2021</w:t>
            </w:r>
          </w:p>
        </w:tc>
        <w:tc>
          <w:tcPr>
            <w:tcW w:w="240" w:type="dxa"/>
            <w:vAlign w:val="bottom"/>
          </w:tcPr>
          <w:p>
            <w:pPr>
              <w:spacing w:after="0"/>
              <w:rPr>
                <w:sz w:val="14"/>
                <w:szCs w:val="14"/>
                <w:color w:val="auto"/>
              </w:rPr>
            </w:pPr>
          </w:p>
        </w:tc>
        <w:tc>
          <w:tcPr>
            <w:tcW w:w="1600" w:type="dxa"/>
            <w:vAlign w:val="bottom"/>
          </w:tcPr>
          <w:p>
            <w:pPr>
              <w:jc w:val="right"/>
              <w:ind w:right="312"/>
              <w:spacing w:after="0"/>
              <w:rPr>
                <w:sz w:val="20"/>
                <w:szCs w:val="20"/>
                <w:color w:val="auto"/>
              </w:rPr>
            </w:pPr>
            <w:r>
              <w:rPr>
                <w:rFonts w:ascii="Arial" w:cs="Arial" w:eastAsia="Arial" w:hAnsi="Arial"/>
                <w:sz w:val="14"/>
                <w:szCs w:val="14"/>
                <w:b w:val="1"/>
                <w:bCs w:val="1"/>
                <w:color w:val="auto"/>
              </w:rPr>
              <w:t>October 31, 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6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Overdraft and other credit facilities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r>
      <w:tr>
        <w:trPr>
          <w:trHeight w:val="229"/>
        </w:trPr>
        <w:tc>
          <w:tcPr>
            <w:tcW w:w="20" w:type="dxa"/>
            <w:vAlign w:val="bottom"/>
          </w:tcPr>
          <w:p>
            <w:pPr>
              <w:spacing w:after="0"/>
              <w:rPr>
                <w:sz w:val="19"/>
                <w:szCs w:val="19"/>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Term loan</w:t>
            </w: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350.0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350.0</w:t>
            </w:r>
          </w:p>
        </w:tc>
      </w:tr>
      <w:tr>
        <w:trPr>
          <w:trHeight w:val="229"/>
        </w:trPr>
        <w:tc>
          <w:tcPr>
            <w:tcW w:w="20" w:type="dxa"/>
            <w:vAlign w:val="bottom"/>
            <w:shd w:val="clear" w:color="auto" w:fill="CCEEFF"/>
          </w:tcPr>
          <w:p>
            <w:pPr>
              <w:spacing w:after="0"/>
              <w:rPr>
                <w:sz w:val="19"/>
                <w:szCs w:val="19"/>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unamortized debt issuance cost</w:t>
            </w:r>
          </w:p>
        </w:tc>
        <w:tc>
          <w:tcPr>
            <w:tcW w:w="3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3"/>
        </w:trPr>
        <w:tc>
          <w:tcPr>
            <w:tcW w:w="20" w:type="dxa"/>
            <w:vAlign w:val="bottom"/>
            <w:tcBorders>
              <w:bottom w:val="single" w:sz="8" w:color="CCEEFF"/>
            </w:tcBorders>
          </w:tcPr>
          <w:p>
            <w:pPr>
              <w:spacing w:after="0"/>
              <w:rPr>
                <w:sz w:val="19"/>
                <w:szCs w:val="19"/>
                <w:color w:val="auto"/>
              </w:rPr>
            </w:pPr>
          </w:p>
        </w:tc>
        <w:tc>
          <w:tcPr>
            <w:tcW w:w="74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Short-term debt</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440.1</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409.3</w:t>
            </w:r>
          </w:p>
        </w:tc>
      </w:tr>
      <w:tr>
        <w:trPr>
          <w:trHeight w:val="237"/>
        </w:trPr>
        <w:tc>
          <w:tcPr>
            <w:tcW w:w="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6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Revolving credit</w:t>
            </w: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330.0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534.0</w:t>
            </w:r>
          </w:p>
        </w:tc>
      </w:tr>
      <w:tr>
        <w:trPr>
          <w:trHeight w:val="229"/>
        </w:trPr>
        <w:tc>
          <w:tcPr>
            <w:tcW w:w="20" w:type="dxa"/>
            <w:vAlign w:val="bottom"/>
            <w:shd w:val="clear" w:color="auto" w:fill="CCEEFF"/>
          </w:tcPr>
          <w:p>
            <w:pPr>
              <w:spacing w:after="0"/>
              <w:rPr>
                <w:sz w:val="19"/>
                <w:szCs w:val="19"/>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 loans</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w:t>
            </w:r>
          </w:p>
        </w:tc>
      </w:tr>
      <w:tr>
        <w:trPr>
          <w:trHeight w:val="230"/>
        </w:trPr>
        <w:tc>
          <w:tcPr>
            <w:tcW w:w="20" w:type="dxa"/>
            <w:vAlign w:val="bottom"/>
          </w:tcPr>
          <w:p>
            <w:pPr>
              <w:spacing w:after="0"/>
              <w:rPr>
                <w:sz w:val="19"/>
                <w:szCs w:val="19"/>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29"/>
        </w:trPr>
        <w:tc>
          <w:tcPr>
            <w:tcW w:w="20" w:type="dxa"/>
            <w:vAlign w:val="bottom"/>
            <w:shd w:val="clear" w:color="auto" w:fill="CCEEFF"/>
          </w:tcPr>
          <w:p>
            <w:pPr>
              <w:spacing w:after="0"/>
              <w:rPr>
                <w:sz w:val="19"/>
                <w:szCs w:val="19"/>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unamortized debt issuance cost</w:t>
            </w:r>
          </w:p>
        </w:tc>
        <w:tc>
          <w:tcPr>
            <w:tcW w:w="3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23"/>
        </w:trPr>
        <w:tc>
          <w:tcPr>
            <w:tcW w:w="20" w:type="dxa"/>
            <w:vAlign w:val="bottom"/>
            <w:tcBorders>
              <w:bottom w:val="single" w:sz="8" w:color="CCEEFF"/>
            </w:tcBorders>
          </w:tcPr>
          <w:p>
            <w:pPr>
              <w:spacing w:after="0"/>
              <w:rPr>
                <w:sz w:val="19"/>
                <w:szCs w:val="19"/>
                <w:color w:val="auto"/>
              </w:rPr>
            </w:pPr>
          </w:p>
        </w:tc>
        <w:tc>
          <w:tcPr>
            <w:tcW w:w="74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Long-term debt</w:t>
            </w: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1,179.9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1,383.9</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debt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Loan Agreement on October 16, 2020</w:t>
      </w:r>
    </w:p>
    <w:p>
      <w:pPr>
        <w:spacing w:after="0" w:line="256"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On October 16, 2020, the Company entered into a 364-day, $350.0 million, term loan agreement by and among the Company, the lenders party thereto and The Bank of Nova Scotia, as administrative agent which matures on October 15, 2021. The funds were used to partially repay outstanding borrowings under the 2020 Revolving Credit Facility (as defined below). At July 31, 2021, the Company had $350.0 million outstanding under this agreement.</w:t>
      </w:r>
    </w:p>
    <w:p>
      <w:pPr>
        <w:spacing w:after="0" w:line="176"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Amounts outstanding under this agreement will bear interest, at the Company’s option, at either the base rate, or the adjusted LIBO rate, plus, in each case, an applicable rate of 0.00% in respect of base rate loans and 0.80% in respect of adjusted LIBO rate loans. The interest rate was 0.90% at July 31, 2021.</w:t>
      </w:r>
    </w:p>
    <w:p>
      <w:pPr>
        <w:spacing w:after="0" w:line="151"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color w:val="auto"/>
        </w:rPr>
        <w:t>This agreement contains customary restrictive covenants, as well as financial covenants that require the Company to maintain a certain Total Leverage Ratio and Interest Coverage Ratio consistent with the 2020 Credit Agreement discussed below</w:t>
      </w:r>
      <w:r>
        <w:rPr>
          <w:rFonts w:ascii="Arial" w:cs="Arial" w:eastAsia="Arial" w:hAnsi="Arial"/>
          <w:sz w:val="19"/>
          <w:szCs w:val="19"/>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and Term Loan Agreement on April 1, 2020</w:t>
      </w:r>
    </w:p>
    <w:p>
      <w:pPr>
        <w:spacing w:after="0" w:line="12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On April 1, 2020, the Company entered into a Revolving Credit and Term Loan Agreement (the 2020 Credit Agreement), among the Company, CooperVision International Holding Company, LP, CooperSurgical Netherlands B.V., CooperVision Holding Kft. the lenders from time to time party thereto, and KeyBank National Association, as administrative agent. The 2020 Credit Agreement provides for (a) a multicurrency revolving credit facility (the 2020 Revolving Credit Facility) in an aggregate principal amount of $1.29 billion and (b) a term loan facility (the 2020 Term Loan Facility) in an aggregate principal amount of $850.0 million, each of which, unless terminated earlier, mature on April 1, 2025. In addition, the Company has the ability from time to time to request an increase to the size of the revolving credit facility or establish one or more new term loans under the term loan facility in an aggregate amount up to $1.605 billion, subject to the discretionary participation of the lenders.</w:t>
      </w:r>
    </w:p>
    <w:p>
      <w:pPr>
        <w:spacing w:after="0" w:line="69" w:lineRule="exact"/>
        <w:rPr>
          <w:sz w:val="20"/>
          <w:szCs w:val="20"/>
          <w:color w:val="auto"/>
        </w:rPr>
      </w:pPr>
    </w:p>
    <w:p>
      <w:pPr>
        <w:jc w:val="both"/>
        <w:ind w:right="260"/>
        <w:spacing w:after="0" w:line="296" w:lineRule="auto"/>
        <w:rPr>
          <w:sz w:val="20"/>
          <w:szCs w:val="20"/>
          <w:color w:val="auto"/>
        </w:rPr>
      </w:pPr>
      <w:r>
        <w:rPr>
          <w:rFonts w:ascii="Arial" w:cs="Arial" w:eastAsia="Arial" w:hAnsi="Arial"/>
          <w:sz w:val="16"/>
          <w:szCs w:val="16"/>
          <w:color w:val="auto"/>
        </w:rPr>
        <w:t>Amounts outstanding under the 2020 Credit Agreement will bear interest, at the Company’s option, at either the base rate, or the adjusted LIBO rate or adjusted foreign currency rate, plus, in each case, an applicable rate of between 0.00% and 0.50% in respect of base rate loans, and between 0.75% and 1.50% in respect of adjusted LIBO rate or adjusted foreign currency rate loans, in each case in accordance with a pricing grid tied to the Total Leverage Ratio, as defined in the 2020 Credit Agreement. During the term of the 2020 Revolving Credit Facility, the Borrowers may borrow, repay and re-borrow amounts available under the Revolving Credit Facility, subject to voluntary reduction of the revolving commitment.</w:t>
      </w:r>
    </w:p>
    <w:p>
      <w:pPr>
        <w:spacing w:after="0" w:line="53"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The Company pays an annual commitment fee that ranges from 0.10% to 0.20% of the unused portion of the 2020 Revolving Credit Facility based upon the Company’s Total Leverage Ratio, as defined in the 2020 Credit Agreement. In addition to the annual commitment fee, the Company is also required to pay certain letter of credit and related fronting fees and other administrative fees pursuant to the terms of the 2020 Credit Agreement.</w:t>
      </w:r>
    </w:p>
    <w:p>
      <w:pPr>
        <w:spacing w:after="0" w:line="41"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On April 1, 2020, the Company borrowed $850.0 million under the 2020 Term Loan Facility and $445.0 million under the 2020 Revolving Credit Facility and used the proceeds to repay the outstanding amounts under the previous credit agreement and an outstanding term loan, and for general corporate purposes.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27"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On October 30, 2020, the Company entered into Amendment No. 1 to the 2020 Credit Agreement (the First Amendment to the 2020 Credit Agreement). The First Amendment to the 2020 Credit Agreement modifies the 2020 Credit Agreement by, among other things, adding CooperVision International Limited as a revolving borrower and releasing certain borrowers in the 2020 Credit Agreement.</w:t>
      </w:r>
    </w:p>
    <w:p>
      <w:pPr>
        <w:spacing w:after="0" w:line="7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At July 31, 2021, the Company had $850.0 million outstanding under the 2020 Term Loan Facility, $330.0 million outstanding under the 2020 Revolving Credit Facility and $958.6 million available under the 2020 Revolving Credit Facility, net of $1.4 million outstanding letters of credit. The interest rate on the 2020 Term Loan Facility was 0.98% at July 31, 2021. During the three and nine months ended July 31, 2021, the Company expensed less than $0.1 million related to the debt issuance costs of the 2020 Term Loan Facility.</w:t>
      </w:r>
    </w:p>
    <w:p>
      <w:pPr>
        <w:spacing w:after="0" w:line="7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2020 Credit Agreement contains customary restrictive covenants, as well as financial covenants that require the Company to maintain a certain Total Leverage Ratio and Interest Coverage Ratio, each as defined in the 2020 Credit Agreement:</w:t>
      </w:r>
    </w:p>
    <w:p>
      <w:pPr>
        <w:spacing w:after="0" w:line="62"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Interest Coverage Ratio, as defined, to be at least 3.00 to 1.00 at all times.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Leverage Ratio, as defined, to be no higher than 3.75 to 1.00.</w:t>
      </w:r>
    </w:p>
    <w:p>
      <w:pPr>
        <w:spacing w:after="0" w:line="103"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At July 31, 2021, the Company was in compliance with the Interest Coverage Ratio at 39.88 to 1.00 and the Total Leverage Ratio at 1.52 to 1.00 for the 2020 Credit Agreement. The Company, after considering the potential impacts of the COVID-19 pandemic, expects to remain in compliance with its financial maintenance covenant and meet its debt service obligations for at least the twelve months following the date of issuance of these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Refer to our Annual Report on Form 10-K for the fiscal year ended October 31, 2020 for more details.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summary of the maximum commitments and the net amounts available to us under credit facilities discussed above as of July 31, 2021:</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4"/>
                <w:szCs w:val="14"/>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Facility Limit</w:t>
            </w:r>
          </w:p>
        </w:tc>
        <w:tc>
          <w:tcPr>
            <w:tcW w:w="1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Outstanding</w:t>
            </w:r>
          </w:p>
        </w:tc>
        <w:tc>
          <w:tcPr>
            <w:tcW w:w="140" w:type="dxa"/>
            <w:vAlign w:val="bottom"/>
          </w:tcPr>
          <w:p>
            <w:pPr>
              <w:spacing w:after="0"/>
              <w:rPr>
                <w:sz w:val="14"/>
                <w:szCs w:val="14"/>
                <w:color w:val="auto"/>
              </w:rPr>
            </w:pPr>
          </w:p>
        </w:tc>
        <w:tc>
          <w:tcPr>
            <w:tcW w:w="1080" w:type="dxa"/>
            <w:vAlign w:val="bottom"/>
          </w:tcPr>
          <w:p>
            <w:pPr>
              <w:jc w:val="right"/>
              <w:ind w:right="96"/>
              <w:spacing w:after="0"/>
              <w:rPr>
                <w:sz w:val="20"/>
                <w:szCs w:val="20"/>
                <w:color w:val="auto"/>
              </w:rPr>
            </w:pPr>
            <w:r>
              <w:rPr>
                <w:rFonts w:ascii="Arial" w:cs="Arial" w:eastAsia="Arial" w:hAnsi="Arial"/>
                <w:sz w:val="14"/>
                <w:szCs w:val="14"/>
                <w:b w:val="1"/>
                <w:bCs w:val="1"/>
                <w:color w:val="auto"/>
                <w:w w:val="97"/>
              </w:rPr>
              <w:t>Total Amount</w:t>
            </w:r>
          </w:p>
        </w:tc>
        <w:tc>
          <w:tcPr>
            <w:tcW w:w="120" w:type="dxa"/>
            <w:vAlign w:val="bottom"/>
          </w:tcPr>
          <w:p>
            <w:pPr>
              <w:spacing w:after="0"/>
              <w:rPr>
                <w:sz w:val="14"/>
                <w:szCs w:val="14"/>
                <w:color w:val="auto"/>
              </w:rPr>
            </w:pPr>
          </w:p>
        </w:tc>
        <w:tc>
          <w:tcPr>
            <w:tcW w:w="2020" w:type="dxa"/>
            <w:vAlign w:val="bottom"/>
            <w:vMerge w:val="restart"/>
          </w:tcPr>
          <w:p>
            <w:pPr>
              <w:jc w:val="right"/>
              <w:ind w:right="495"/>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Borrowings</w:t>
            </w:r>
          </w:p>
        </w:tc>
        <w:tc>
          <w:tcPr>
            <w:tcW w:w="12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Letters of Credit</w:t>
            </w:r>
          </w:p>
        </w:tc>
        <w:tc>
          <w:tcPr>
            <w:tcW w:w="140" w:type="dxa"/>
            <w:vAlign w:val="bottom"/>
          </w:tcPr>
          <w:p>
            <w:pPr>
              <w:spacing w:after="0"/>
              <w:rPr>
                <w:sz w:val="12"/>
                <w:szCs w:val="12"/>
                <w:color w:val="auto"/>
              </w:rPr>
            </w:pPr>
          </w:p>
        </w:tc>
        <w:tc>
          <w:tcPr>
            <w:tcW w:w="1080" w:type="dxa"/>
            <w:vAlign w:val="bottom"/>
          </w:tcPr>
          <w:p>
            <w:pPr>
              <w:jc w:val="right"/>
              <w:ind w:right="236"/>
              <w:spacing w:after="0" w:line="149" w:lineRule="exact"/>
              <w:rPr>
                <w:sz w:val="20"/>
                <w:szCs w:val="20"/>
                <w:color w:val="auto"/>
              </w:rPr>
            </w:pPr>
            <w:r>
              <w:rPr>
                <w:rFonts w:ascii="Arial" w:cs="Arial" w:eastAsia="Arial" w:hAnsi="Arial"/>
                <w:sz w:val="14"/>
                <w:szCs w:val="14"/>
                <w:b w:val="1"/>
                <w:bCs w:val="1"/>
                <w:color w:val="auto"/>
              </w:rPr>
              <w:t>Available</w:t>
            </w:r>
          </w:p>
        </w:tc>
        <w:tc>
          <w:tcPr>
            <w:tcW w:w="120" w:type="dxa"/>
            <w:vAlign w:val="bottom"/>
          </w:tcPr>
          <w:p>
            <w:pPr>
              <w:spacing w:after="0"/>
              <w:rPr>
                <w:sz w:val="12"/>
                <w:szCs w:val="12"/>
                <w:color w:val="auto"/>
              </w:rPr>
            </w:pPr>
          </w:p>
        </w:tc>
        <w:tc>
          <w:tcPr>
            <w:tcW w:w="2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9"/>
              </w:rPr>
              <w:t>2020</w:t>
            </w:r>
          </w:p>
        </w:tc>
        <w:tc>
          <w:tcPr>
            <w:tcW w:w="3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Revolving Credit Facility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958.6</w:t>
            </w: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April 1, 2025</w:t>
            </w:r>
          </w:p>
        </w:tc>
        <w:tc>
          <w:tcPr>
            <w:tcW w:w="0" w:type="dxa"/>
            <w:vAlign w:val="bottom"/>
          </w:tcPr>
          <w:p>
            <w:pPr>
              <w:spacing w:after="0"/>
              <w:rPr>
                <w:sz w:val="1"/>
                <w:szCs w:val="1"/>
                <w:color w:val="auto"/>
              </w:rPr>
            </w:pPr>
          </w:p>
        </w:tc>
      </w:tr>
      <w:tr>
        <w:trPr>
          <w:trHeight w:val="230"/>
        </w:trPr>
        <w:tc>
          <w:tcPr>
            <w:tcW w:w="400" w:type="dxa"/>
            <w:vAlign w:val="bottom"/>
            <w:gridSpan w:val="2"/>
          </w:tcPr>
          <w:p>
            <w:pPr>
              <w:ind w:left="20"/>
              <w:spacing w:after="0"/>
              <w:rPr>
                <w:sz w:val="20"/>
                <w:szCs w:val="20"/>
                <w:color w:val="auto"/>
              </w:rPr>
            </w:pPr>
            <w:r>
              <w:rPr>
                <w:rFonts w:ascii="Arial" w:cs="Arial" w:eastAsia="Arial" w:hAnsi="Arial"/>
                <w:sz w:val="18"/>
                <w:szCs w:val="18"/>
                <w:color w:val="auto"/>
                <w:w w:val="89"/>
              </w:rPr>
              <w:t>2020</w:t>
            </w:r>
          </w:p>
        </w:tc>
        <w:tc>
          <w:tcPr>
            <w:tcW w:w="3440" w:type="dxa"/>
            <w:vAlign w:val="bottom"/>
            <w:gridSpan w:val="2"/>
          </w:tcPr>
          <w:p>
            <w:pPr>
              <w:ind w:left="40"/>
              <w:spacing w:after="0"/>
              <w:rPr>
                <w:sz w:val="20"/>
                <w:szCs w:val="20"/>
                <w:color w:val="auto"/>
              </w:rPr>
            </w:pPr>
            <w:r>
              <w:rPr>
                <w:rFonts w:ascii="Arial" w:cs="Arial" w:eastAsia="Arial" w:hAnsi="Arial"/>
                <w:sz w:val="18"/>
                <w:szCs w:val="18"/>
                <w:color w:val="auto"/>
              </w:rPr>
              <w:t>Term Loan Facility</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April 1, 2025</w:t>
            </w:r>
          </w:p>
        </w:tc>
        <w:tc>
          <w:tcPr>
            <w:tcW w:w="0" w:type="dxa"/>
            <w:vAlign w:val="bottom"/>
          </w:tcPr>
          <w:p>
            <w:pPr>
              <w:spacing w:after="0"/>
              <w:rPr>
                <w:sz w:val="1"/>
                <w:szCs w:val="1"/>
                <w:color w:val="auto"/>
              </w:rPr>
            </w:pPr>
          </w:p>
        </w:tc>
      </w:tr>
      <w:tr>
        <w:trPr>
          <w:trHeight w:val="229"/>
        </w:trPr>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9"/>
              </w:rPr>
              <w:t>2020</w:t>
            </w:r>
          </w:p>
        </w:tc>
        <w:tc>
          <w:tcPr>
            <w:tcW w:w="3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Term Loan</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October 15, 2021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gridSpan w:val="3"/>
          </w:tcPr>
          <w:p>
            <w:pPr>
              <w:ind w:left="20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2,490.0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1,530.0</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958.6</w:t>
            </w:r>
          </w:p>
        </w:tc>
        <w:tc>
          <w:tcPr>
            <w:tcW w:w="1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6. Income Taxes</w:t>
      </w:r>
    </w:p>
    <w:p>
      <w:pPr>
        <w:spacing w:after="0" w:line="243"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The Company's effective tax rates for the three months ended July 31, 2021 and July 31, 2020 were (554.9)% and 16.9%, respectively. The decrease was primarily due to a $534.9 million tax benefit related to the remeasurement of deferred tax assets caused by the UK enactment of a 25% corporate tax rate to be effective in fiscal 2023 and is primarily related to deferred tax assets recognized from intra-group intangible asset transfers. The Company’s effective tax rate also decreased due to changes in unrecognized tax benefits, excess tax benefits from share-based compensation, and changes in the geographical composition of pre-tax earnings. The Company's effective tax rate for the third quarter of fiscal 2021 was lower than the U.S. federal statutory tax rate primarily due to the remeasurement of deferred tax assets, pre-tax earnings in foreign jurisdictions with lower tax rates, changes in unrecognized tax benefits, and excess tax benefits from share-based compensation.</w:t>
      </w:r>
    </w:p>
    <w:p>
      <w:pPr>
        <w:spacing w:after="0" w:line="203"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The Company's effective tax rates for the nine months ended July 31, 2021 and July 31, 2020 were (666.3)% and 9.0%, respectively. The decrease was primarily due to an intra-group transfer of intellectual property, as discussed below, and remeasurement of the related deferred tax assets caused by the UK enactment of a 25% corporate tax rate. The Company’s effective tax rate otherwise increased due to changes in the geographical composition of pre-tax earnings, partially offset by changes in unrecognized tax benefits and excess tax benefits from share-based compensation. The Company's effective tax rate for the nine months ended July 31, 2021 was lower than the U.S. federal statutory tax rate primarily due to the intra-group transfer, the remeasurement of deferred tax assets, earnings in foreign jurisdictions with lower tax rates, changes in unrecognized tax benefits, and excess tax benefits from share-based compensation.</w:t>
      </w:r>
    </w:p>
    <w:p>
      <w:pPr>
        <w:spacing w:after="0" w:line="208" w:lineRule="exact"/>
        <w:rPr>
          <w:sz w:val="20"/>
          <w:szCs w:val="20"/>
          <w:color w:val="auto"/>
        </w:rPr>
      </w:pPr>
    </w:p>
    <w:p>
      <w:pPr>
        <w:ind w:right="80"/>
        <w:spacing w:after="0" w:line="231" w:lineRule="auto"/>
        <w:rPr>
          <w:sz w:val="20"/>
          <w:szCs w:val="20"/>
          <w:color w:val="auto"/>
        </w:rPr>
      </w:pPr>
      <w:r>
        <w:rPr>
          <w:rFonts w:ascii="Arial" w:cs="Arial" w:eastAsia="Arial" w:hAnsi="Arial"/>
          <w:sz w:val="18"/>
          <w:szCs w:val="18"/>
          <w:color w:val="auto"/>
        </w:rPr>
        <w:t>In November 2020, the Company completed an intra-group transfer of certain intellectual property and related assets to a UK subsidiary as part of a group restructuring to establish headquarters operations in the UK. Income before income taxes resulting from this transfer is eliminated upon consolidation. The transfer resulted in a step-up of the UK tax-deductible basis in the intellectual property and goodwill, creating a temporary difference between the book basis and the tax basis of</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05" w:lineRule="exact"/>
        <w:rPr>
          <w:sz w:val="20"/>
          <w:szCs w:val="20"/>
          <w:color w:val="auto"/>
        </w:rPr>
      </w:pPr>
    </w:p>
    <w:p>
      <w:pPr>
        <w:ind w:right="560"/>
        <w:spacing w:after="0" w:line="246" w:lineRule="auto"/>
        <w:rPr>
          <w:sz w:val="20"/>
          <w:szCs w:val="20"/>
          <w:color w:val="auto"/>
        </w:rPr>
      </w:pPr>
      <w:r>
        <w:rPr>
          <w:rFonts w:ascii="Arial" w:cs="Arial" w:eastAsia="Arial" w:hAnsi="Arial"/>
          <w:sz w:val="18"/>
          <w:szCs w:val="18"/>
          <w:color w:val="auto"/>
        </w:rPr>
        <w:t>these assets. As a result, the Company recognized a deferred tax asset of $1,987.9 million, with a corresponding income tax benefit, during the three months ended January 31, 2021.</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Earnings Per Share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620" w:type="dxa"/>
            <w:vAlign w:val="bottom"/>
            <w:gridSpan w:val="2"/>
          </w:tcPr>
          <w:p>
            <w:pPr>
              <w:spacing w:after="0"/>
              <w:rPr>
                <w:sz w:val="20"/>
                <w:szCs w:val="20"/>
                <w:color w:val="auto"/>
              </w:rPr>
            </w:pPr>
            <w:r>
              <w:rPr>
                <w:rFonts w:ascii="Arial" w:cs="Arial" w:eastAsia="Arial" w:hAnsi="Arial"/>
                <w:sz w:val="14"/>
                <w:szCs w:val="14"/>
                <w:b w:val="1"/>
                <w:bCs w:val="1"/>
                <w:color w:val="auto"/>
              </w:rPr>
              <w:t>Periods Ended July 31,</w:t>
            </w:r>
          </w:p>
        </w:tc>
        <w:tc>
          <w:tcPr>
            <w:tcW w:w="10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575"/>
              <w:spacing w:after="0"/>
              <w:rPr>
                <w:sz w:val="20"/>
                <w:szCs w:val="20"/>
                <w:color w:val="auto"/>
              </w:rPr>
            </w:pPr>
            <w:r>
              <w:rPr>
                <w:rFonts w:ascii="Arial" w:cs="Arial" w:eastAsia="Arial" w:hAnsi="Arial"/>
                <w:sz w:val="14"/>
                <w:szCs w:val="14"/>
                <w:b w:val="1"/>
                <w:bCs w:val="1"/>
                <w:color w:val="auto"/>
              </w:rPr>
              <w:t>Three Months</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Nine Months</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 millions, except per share amounts)</w:t>
            </w:r>
          </w:p>
        </w:tc>
        <w:tc>
          <w:tcPr>
            <w:tcW w:w="10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ind w:right="35"/>
              <w:spacing w:after="0" w:line="149" w:lineRule="exact"/>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jc w:val="right"/>
              <w:ind w:right="554"/>
              <w:spacing w:after="0" w:line="149"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tcPr>
          <w:p>
            <w:pPr>
              <w:jc w:val="right"/>
              <w:ind w:right="552"/>
              <w:spacing w:after="0" w:line="149"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400" w:type="dxa"/>
            <w:vAlign w:val="bottom"/>
            <w:tcBorders>
              <w:top w:val="single" w:sz="8" w:color="auto"/>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000" w:type="dxa"/>
            <w:vAlign w:val="bottom"/>
            <w:tcBorders>
              <w:bottom w:val="single" w:sz="8" w:color="auto"/>
            </w:tcBorders>
            <w:shd w:val="clear" w:color="auto" w:fill="CCEEFF"/>
          </w:tcPr>
          <w:p>
            <w:pPr>
              <w:jc w:val="right"/>
              <w:ind w:right="815"/>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615.8</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5"/>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2,834.4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6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i w:val="1"/>
                <w:iCs w:val="1"/>
                <w:color w:val="auto"/>
              </w:rPr>
              <w:t>Basic:</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620" w:type="dxa"/>
            <w:vAlign w:val="bottom"/>
            <w:gridSpan w:val="2"/>
            <w:vMerge w:val="continue"/>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46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Weighted average common shares</w:t>
            </w:r>
          </w:p>
        </w:tc>
        <w:tc>
          <w:tcPr>
            <w:tcW w:w="100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620" w:type="dxa"/>
            <w:vAlign w:val="bottom"/>
            <w:tcBorders>
              <w:top w:val="single" w:sz="8" w:color="CCEEFF"/>
              <w:bottom w:val="single" w:sz="8" w:color="CCEEFF"/>
            </w:tcBorders>
            <w:gridSpan w:val="2"/>
            <w:vMerge w:val="restart"/>
          </w:tcPr>
          <w:p>
            <w:pPr>
              <w:ind w:left="120"/>
              <w:spacing w:after="0"/>
              <w:rPr>
                <w:sz w:val="20"/>
                <w:szCs w:val="20"/>
                <w:color w:val="auto"/>
              </w:rPr>
            </w:pPr>
            <w:r>
              <w:rPr>
                <w:rFonts w:ascii="Arial" w:cs="Arial" w:eastAsia="Arial" w:hAnsi="Arial"/>
                <w:sz w:val="18"/>
                <w:szCs w:val="18"/>
                <w:color w:val="auto"/>
              </w:rPr>
              <w:t>Basic earnings per share</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20" w:type="dxa"/>
            <w:vAlign w:val="bottom"/>
            <w:gridSpan w:val="2"/>
            <w:vMerge w:val="continue"/>
          </w:tcPr>
          <w:p>
            <w:pPr>
              <w:spacing w:after="0"/>
              <w:rPr>
                <w:sz w:val="17"/>
                <w:szCs w:val="17"/>
                <w:color w:val="auto"/>
              </w:rPr>
            </w:pPr>
          </w:p>
        </w:tc>
        <w:tc>
          <w:tcPr>
            <w:tcW w:w="1000" w:type="dxa"/>
            <w:vAlign w:val="bottom"/>
            <w:tcBorders>
              <w:bottom w:val="single" w:sz="8" w:color="auto"/>
            </w:tcBorders>
          </w:tcPr>
          <w:p>
            <w:pPr>
              <w:jc w:val="right"/>
              <w:ind w:right="815"/>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12.50</w:t>
            </w:r>
          </w:p>
        </w:tc>
        <w:tc>
          <w:tcPr>
            <w:tcW w:w="120" w:type="dxa"/>
            <w:vAlign w:val="bottom"/>
          </w:tcPr>
          <w:p>
            <w:pPr>
              <w:spacing w:after="0"/>
              <w:rPr>
                <w:sz w:val="17"/>
                <w:szCs w:val="17"/>
                <w:color w:val="auto"/>
              </w:rPr>
            </w:pPr>
          </w:p>
        </w:tc>
        <w:tc>
          <w:tcPr>
            <w:tcW w:w="1040" w:type="dxa"/>
            <w:vAlign w:val="bottom"/>
            <w:tcBorders>
              <w:bottom w:val="single" w:sz="8" w:color="auto"/>
            </w:tcBorders>
          </w:tcPr>
          <w:p>
            <w:pPr>
              <w:jc w:val="right"/>
              <w:ind w:right="855"/>
              <w:spacing w:after="0" w:line="203" w:lineRule="exact"/>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1.13</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57.61</w:t>
            </w:r>
          </w:p>
        </w:tc>
        <w:tc>
          <w:tcPr>
            <w:tcW w:w="120" w:type="dxa"/>
            <w:vAlign w:val="bottom"/>
          </w:tcPr>
          <w:p>
            <w:pPr>
              <w:spacing w:after="0"/>
              <w:rPr>
                <w:sz w:val="17"/>
                <w:szCs w:val="17"/>
                <w:color w:val="auto"/>
              </w:rPr>
            </w:pPr>
          </w:p>
        </w:tc>
        <w:tc>
          <w:tcPr>
            <w:tcW w:w="48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46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Diluted:</w:t>
            </w:r>
          </w:p>
        </w:tc>
        <w:tc>
          <w:tcPr>
            <w:tcW w:w="10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20" w:type="dxa"/>
            <w:vAlign w:val="bottom"/>
            <w:gridSpan w:val="2"/>
          </w:tcPr>
          <w:p>
            <w:pPr>
              <w:ind w:left="120"/>
              <w:spacing w:after="0"/>
              <w:rPr>
                <w:sz w:val="20"/>
                <w:szCs w:val="20"/>
                <w:color w:val="auto"/>
              </w:rPr>
            </w:pPr>
            <w:r>
              <w:rPr>
                <w:rFonts w:ascii="Arial" w:cs="Arial" w:eastAsia="Arial" w:hAnsi="Arial"/>
                <w:sz w:val="18"/>
                <w:szCs w:val="18"/>
                <w:color w:val="auto"/>
              </w:rPr>
              <w:t>Weighted average common shares</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49.3</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Effect of dilutive stock plans</w:t>
            </w: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gridSpan w:val="2"/>
          </w:tcPr>
          <w:p>
            <w:pPr>
              <w:ind w:left="120"/>
              <w:spacing w:after="0"/>
              <w:rPr>
                <w:sz w:val="20"/>
                <w:szCs w:val="20"/>
                <w:color w:val="auto"/>
              </w:rPr>
            </w:pPr>
            <w:r>
              <w:rPr>
                <w:rFonts w:ascii="Arial" w:cs="Arial" w:eastAsia="Arial" w:hAnsi="Arial"/>
                <w:sz w:val="18"/>
                <w:szCs w:val="18"/>
                <w:color w:val="auto"/>
              </w:rPr>
              <w:t>Diluted weighted average common shares</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Diluted earnings per share</w:t>
            </w:r>
          </w:p>
        </w:tc>
        <w:tc>
          <w:tcPr>
            <w:tcW w:w="1000" w:type="dxa"/>
            <w:vAlign w:val="bottom"/>
            <w:tcBorders>
              <w:bottom w:val="single" w:sz="8" w:color="auto"/>
            </w:tcBorders>
            <w:shd w:val="clear" w:color="auto" w:fill="CCEEFF"/>
          </w:tcPr>
          <w:p>
            <w:pPr>
              <w:jc w:val="right"/>
              <w:ind w:right="815"/>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5"/>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stock options to purchase our common stock and restricted stock units that were not included in the diluted earnings per share calculation because their effect would have been antidilutive for the periods presented: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140" w:type="dxa"/>
            <w:vAlign w:val="bottom"/>
            <w:gridSpan w:val="2"/>
          </w:tcPr>
          <w:p>
            <w:pPr>
              <w:spacing w:after="0"/>
              <w:rPr>
                <w:sz w:val="20"/>
                <w:szCs w:val="20"/>
                <w:color w:val="auto"/>
              </w:rPr>
            </w:pPr>
            <w:r>
              <w:rPr>
                <w:rFonts w:ascii="Arial" w:cs="Arial" w:eastAsia="Arial" w:hAnsi="Arial"/>
                <w:sz w:val="14"/>
                <w:szCs w:val="14"/>
                <w:b w:val="1"/>
                <w:bCs w:val="1"/>
                <w:color w:val="auto"/>
              </w:rPr>
              <w:t>Periods Ended July 31,</w:t>
            </w:r>
          </w:p>
        </w:tc>
        <w:tc>
          <w:tcPr>
            <w:tcW w:w="4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ind w:left="1100"/>
              <w:spacing w:after="0"/>
              <w:rPr>
                <w:sz w:val="20"/>
                <w:szCs w:val="20"/>
                <w:color w:val="auto"/>
              </w:rPr>
            </w:pPr>
            <w:r>
              <w:rPr>
                <w:rFonts w:ascii="Arial" w:cs="Arial" w:eastAsia="Arial" w:hAnsi="Arial"/>
                <w:sz w:val="14"/>
                <w:szCs w:val="14"/>
                <w:b w:val="1"/>
                <w:bCs w:val="1"/>
                <w:color w:val="auto"/>
              </w:rPr>
              <w:t>Three Months</w:t>
            </w:r>
          </w:p>
        </w:tc>
        <w:tc>
          <w:tcPr>
            <w:tcW w:w="1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Nine Months</w:t>
            </w:r>
          </w:p>
        </w:tc>
        <w:tc>
          <w:tcPr>
            <w:tcW w:w="1340" w:type="dxa"/>
            <w:vAlign w:val="bottom"/>
            <w:tcBorders>
              <w:bottom w:val="single" w:sz="8" w:color="auto"/>
            </w:tcBorders>
          </w:tcPr>
          <w:p>
            <w:pPr>
              <w:spacing w:after="0"/>
              <w:rPr>
                <w:sz w:val="16"/>
                <w:szCs w:val="16"/>
                <w:color w:val="auto"/>
              </w:rPr>
            </w:pPr>
          </w:p>
        </w:tc>
      </w:tr>
      <w:tr>
        <w:trPr>
          <w:trHeight w:val="148"/>
        </w:trPr>
        <w:tc>
          <w:tcPr>
            <w:tcW w:w="20" w:type="dxa"/>
            <w:vAlign w:val="bottom"/>
          </w:tcPr>
          <w:p>
            <w:pPr>
              <w:spacing w:after="0"/>
              <w:rPr>
                <w:sz w:val="12"/>
                <w:szCs w:val="12"/>
                <w:color w:val="auto"/>
              </w:rPr>
            </w:pPr>
          </w:p>
        </w:tc>
        <w:tc>
          <w:tcPr>
            <w:tcW w:w="31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 thousands, except exercise prices)</w:t>
            </w:r>
          </w:p>
        </w:tc>
        <w:tc>
          <w:tcPr>
            <w:tcW w:w="460" w:type="dxa"/>
            <w:vAlign w:val="bottom"/>
          </w:tcPr>
          <w:p>
            <w:pPr>
              <w:spacing w:after="0"/>
              <w:rPr>
                <w:sz w:val="12"/>
                <w:szCs w:val="12"/>
                <w:color w:val="auto"/>
              </w:rPr>
            </w:pPr>
          </w:p>
        </w:tc>
        <w:tc>
          <w:tcPr>
            <w:tcW w:w="1460" w:type="dxa"/>
            <w:vAlign w:val="bottom"/>
          </w:tcPr>
          <w:p>
            <w:pPr>
              <w:jc w:val="right"/>
              <w:ind w:right="737"/>
              <w:spacing w:after="0" w:line="149"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60" w:type="dxa"/>
            <w:vAlign w:val="bottom"/>
          </w:tcPr>
          <w:p>
            <w:pPr>
              <w:jc w:val="right"/>
              <w:ind w:right="735"/>
              <w:spacing w:after="0" w:line="149"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60" w:type="dxa"/>
            <w:vAlign w:val="bottom"/>
          </w:tcPr>
          <w:p>
            <w:pPr>
              <w:jc w:val="right"/>
              <w:ind w:right="737"/>
              <w:spacing w:after="0" w:line="149"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40" w:type="dxa"/>
            <w:vAlign w:val="bottom"/>
          </w:tcPr>
          <w:p>
            <w:pPr>
              <w:jc w:val="right"/>
              <w:ind w:right="735"/>
              <w:spacing w:after="0" w:line="149" w:lineRule="exact"/>
              <w:rPr>
                <w:sz w:val="20"/>
                <w:szCs w:val="20"/>
                <w:color w:val="auto"/>
              </w:rPr>
            </w:pPr>
            <w:r>
              <w:rPr>
                <w:rFonts w:ascii="Arial" w:cs="Arial" w:eastAsia="Arial" w:hAnsi="Arial"/>
                <w:sz w:val="14"/>
                <w:szCs w:val="14"/>
                <w:b w:val="1"/>
                <w:bCs w:val="1"/>
                <w:color w:val="auto"/>
              </w:rPr>
              <w:t>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280" w:type="dxa"/>
            <w:vAlign w:val="bottom"/>
            <w:tcBorders>
              <w:top w:val="single" w:sz="8" w:color="auto"/>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option shares excluded</w:t>
            </w: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r>
      <w:tr>
        <w:trPr>
          <w:trHeight w:val="229"/>
        </w:trPr>
        <w:tc>
          <w:tcPr>
            <w:tcW w:w="20" w:type="dxa"/>
            <w:vAlign w:val="bottom"/>
          </w:tcPr>
          <w:p>
            <w:pPr>
              <w:spacing w:after="0"/>
              <w:rPr>
                <w:sz w:val="19"/>
                <w:szCs w:val="19"/>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Range of exercise prices</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345.74</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80" w:type="dxa"/>
            <w:vAlign w:val="bottom"/>
            <w:gridSpan w:val="2"/>
          </w:tcPr>
          <w:p>
            <w:pPr>
              <w:ind w:left="100"/>
              <w:spacing w:after="0"/>
              <w:rPr>
                <w:sz w:val="20"/>
                <w:szCs w:val="20"/>
                <w:color w:val="auto"/>
              </w:rPr>
            </w:pPr>
            <w:r>
              <w:rPr>
                <w:rFonts w:ascii="Arial" w:cs="Arial" w:eastAsia="Arial" w:hAnsi="Arial"/>
                <w:sz w:val="18"/>
                <w:szCs w:val="18"/>
                <w:color w:val="auto"/>
                <w:w w:val="97"/>
              </w:rPr>
              <w:t>$254.77 – $304.54</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345.74</w:t>
            </w:r>
          </w:p>
        </w:tc>
        <w:tc>
          <w:tcPr>
            <w:tcW w:w="10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304.54</w:t>
            </w:r>
          </w:p>
        </w:tc>
      </w:tr>
      <w:tr>
        <w:trPr>
          <w:trHeight w:val="230"/>
        </w:trPr>
        <w:tc>
          <w:tcPr>
            <w:tcW w:w="20" w:type="dxa"/>
            <w:vAlign w:val="bottom"/>
            <w:shd w:val="clear" w:color="auto" w:fill="CCEEFF"/>
          </w:tcPr>
          <w:p>
            <w:pPr>
              <w:spacing w:after="0"/>
              <w:rPr>
                <w:sz w:val="19"/>
                <w:szCs w:val="19"/>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stock units excluded</w:t>
            </w: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Share-Based Compensation Plans</w:t>
      </w:r>
    </w:p>
    <w:p>
      <w:pPr>
        <w:spacing w:after="0" w:line="175" w:lineRule="exact"/>
        <w:rPr>
          <w:sz w:val="20"/>
          <w:szCs w:val="20"/>
          <w:color w:val="auto"/>
        </w:rPr>
      </w:pPr>
    </w:p>
    <w:p>
      <w:pPr>
        <w:jc w:val="both"/>
        <w:ind w:right="320"/>
        <w:spacing w:after="0" w:line="220" w:lineRule="exact"/>
        <w:rPr>
          <w:sz w:val="20"/>
          <w:szCs w:val="20"/>
          <w:color w:val="auto"/>
        </w:rPr>
      </w:pPr>
      <w:r>
        <w:rPr>
          <w:rFonts w:ascii="Arial" w:cs="Arial" w:eastAsia="Arial" w:hAnsi="Arial"/>
          <w:sz w:val="18"/>
          <w:szCs w:val="18"/>
          <w:color w:val="auto"/>
        </w:rPr>
        <w:t>The Company has several share-based compensation plans that are described in the Company’s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fiscal year ended October 31, 2020. The compensation expense and related income tax benefit recognized in our Consolidated Statements of Income and Comprehensive Income for share-based awards were as follows: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600" w:type="dxa"/>
            <w:vAlign w:val="bottom"/>
            <w:gridSpan w:val="2"/>
          </w:tcPr>
          <w:p>
            <w:pPr>
              <w:spacing w:after="0"/>
              <w:rPr>
                <w:sz w:val="20"/>
                <w:szCs w:val="20"/>
                <w:color w:val="auto"/>
              </w:rPr>
            </w:pPr>
            <w:r>
              <w:rPr>
                <w:rFonts w:ascii="Arial" w:cs="Arial" w:eastAsia="Arial" w:hAnsi="Arial"/>
                <w:sz w:val="14"/>
                <w:szCs w:val="14"/>
                <w:b w:val="1"/>
                <w:bCs w:val="1"/>
                <w:color w:val="auto"/>
              </w:rPr>
              <w:t>Periods Ended July 31,</w:t>
            </w:r>
          </w:p>
        </w:tc>
        <w:tc>
          <w:tcPr>
            <w:tcW w:w="10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635"/>
              <w:spacing w:after="0"/>
              <w:rPr>
                <w:sz w:val="20"/>
                <w:szCs w:val="20"/>
                <w:color w:val="auto"/>
              </w:rPr>
            </w:pPr>
            <w:r>
              <w:rPr>
                <w:rFonts w:ascii="Arial" w:cs="Arial" w:eastAsia="Arial" w:hAnsi="Arial"/>
                <w:sz w:val="14"/>
                <w:szCs w:val="14"/>
                <w:b w:val="1"/>
                <w:bCs w:val="1"/>
                <w:color w:val="auto"/>
              </w:rPr>
              <w:t>Three Months</w:t>
            </w:r>
          </w:p>
        </w:tc>
        <w:tc>
          <w:tcPr>
            <w:tcW w:w="4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Nine Months</w:t>
            </w:r>
          </w:p>
        </w:tc>
        <w:tc>
          <w:tcPr>
            <w:tcW w:w="1080" w:type="dxa"/>
            <w:vAlign w:val="bottom"/>
            <w:tcBorders>
              <w:bottom w:val="single" w:sz="8" w:color="auto"/>
            </w:tcBorders>
          </w:tcPr>
          <w:p>
            <w:pPr>
              <w:spacing w:after="0"/>
              <w:rPr>
                <w:sz w:val="16"/>
                <w:szCs w:val="16"/>
                <w:color w:val="auto"/>
              </w:rPr>
            </w:pPr>
          </w:p>
        </w:tc>
      </w:tr>
      <w:tr>
        <w:trPr>
          <w:trHeight w:val="149"/>
        </w:trPr>
        <w:tc>
          <w:tcPr>
            <w:tcW w:w="20" w:type="dxa"/>
            <w:vAlign w:val="bottom"/>
          </w:tcPr>
          <w:p>
            <w:pPr>
              <w:spacing w:after="0"/>
              <w:rPr>
                <w:sz w:val="12"/>
                <w:szCs w:val="12"/>
                <w:color w:val="auto"/>
              </w:rPr>
            </w:pPr>
          </w:p>
        </w:tc>
        <w:tc>
          <w:tcPr>
            <w:tcW w:w="4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 millions)</w:t>
            </w:r>
          </w:p>
        </w:tc>
        <w:tc>
          <w:tcPr>
            <w:tcW w:w="1040" w:type="dxa"/>
            <w:vAlign w:val="bottom"/>
          </w:tcPr>
          <w:p>
            <w:pPr>
              <w:jc w:val="right"/>
              <w:ind w:right="35"/>
              <w:spacing w:after="0" w:line="149" w:lineRule="exact"/>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right"/>
              <w:ind w:right="75"/>
              <w:spacing w:after="0" w:line="149" w:lineRule="exact"/>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ind w:right="55"/>
              <w:spacing w:after="0" w:line="149" w:lineRule="exact"/>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tcPr>
          <w:p>
            <w:pPr>
              <w:jc w:val="right"/>
              <w:ind w:right="553"/>
              <w:spacing w:after="0" w:line="149" w:lineRule="exact"/>
              <w:rPr>
                <w:sz w:val="20"/>
                <w:szCs w:val="20"/>
                <w:color w:val="auto"/>
              </w:rPr>
            </w:pPr>
            <w:r>
              <w:rPr>
                <w:rFonts w:ascii="Arial" w:cs="Arial" w:eastAsia="Arial" w:hAnsi="Arial"/>
                <w:sz w:val="14"/>
                <w:szCs w:val="14"/>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w:t>
            </w:r>
          </w:p>
        </w:tc>
        <w:tc>
          <w:tcPr>
            <w:tcW w:w="1040" w:type="dxa"/>
            <w:vAlign w:val="bottom"/>
            <w:shd w:val="clear" w:color="auto" w:fill="CCEEFF"/>
          </w:tcPr>
          <w:p>
            <w:pPr>
              <w:jc w:val="right"/>
              <w:ind w:right="855"/>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5"/>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5"/>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30"/>
        </w:trPr>
        <w:tc>
          <w:tcPr>
            <w:tcW w:w="2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0.9</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20" w:type="dxa"/>
            <w:vAlign w:val="bottom"/>
            <w:shd w:val="clear" w:color="auto" w:fill="CCEEFF"/>
          </w:tcPr>
          <w:p>
            <w:pPr>
              <w:spacing w:after="0"/>
              <w:rPr>
                <w:sz w:val="19"/>
                <w:szCs w:val="19"/>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10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2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Total share-based compensation expense</w:t>
            </w:r>
          </w:p>
        </w:tc>
        <w:tc>
          <w:tcPr>
            <w:tcW w:w="1040" w:type="dxa"/>
            <w:vAlign w:val="bottom"/>
            <w:tcBorders>
              <w:bottom w:val="single" w:sz="8" w:color="auto"/>
            </w:tcBorders>
          </w:tcPr>
          <w:p>
            <w:pPr>
              <w:jc w:val="right"/>
              <w:ind w:right="855"/>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ind w:right="895"/>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40" w:type="dxa"/>
            <w:vAlign w:val="bottom"/>
          </w:tcPr>
          <w:p>
            <w:pPr>
              <w:spacing w:after="0"/>
              <w:rPr>
                <w:sz w:val="19"/>
                <w:szCs w:val="19"/>
                <w:color w:val="auto"/>
              </w:rPr>
            </w:pPr>
          </w:p>
        </w:tc>
        <w:tc>
          <w:tcPr>
            <w:tcW w:w="1060" w:type="dxa"/>
            <w:vAlign w:val="bottom"/>
            <w:tcBorders>
              <w:bottom w:val="single" w:sz="8" w:color="auto"/>
            </w:tcBorders>
          </w:tcPr>
          <w:p>
            <w:pPr>
              <w:jc w:val="right"/>
              <w:ind w:right="875"/>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Related income tax benefit</w:t>
            </w:r>
          </w:p>
        </w:tc>
        <w:tc>
          <w:tcPr>
            <w:tcW w:w="1040" w:type="dxa"/>
            <w:vAlign w:val="bottom"/>
            <w:tcBorders>
              <w:bottom w:val="single" w:sz="8" w:color="auto"/>
            </w:tcBorders>
            <w:shd w:val="clear" w:color="auto" w:fill="CCEEFF"/>
          </w:tcPr>
          <w:p>
            <w:pPr>
              <w:jc w:val="right"/>
              <w:ind w:right="855"/>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895"/>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75"/>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Stockholders’ Equity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Changes in Accumulated Other Comprehensive (Loss) Income:</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4"/>
                <w:szCs w:val="14"/>
                <w:color w:val="auto"/>
              </w:rPr>
            </w:pPr>
          </w:p>
        </w:tc>
        <w:tc>
          <w:tcPr>
            <w:tcW w:w="1480" w:type="dxa"/>
            <w:vAlign w:val="bottom"/>
            <w:gridSpan w:val="2"/>
          </w:tcPr>
          <w:p>
            <w:pPr>
              <w:ind w:left="60"/>
              <w:spacing w:after="0"/>
              <w:rPr>
                <w:sz w:val="20"/>
                <w:szCs w:val="20"/>
                <w:color w:val="auto"/>
              </w:rPr>
            </w:pPr>
            <w:r>
              <w:rPr>
                <w:rFonts w:ascii="Arial" w:cs="Arial" w:eastAsia="Arial" w:hAnsi="Arial"/>
                <w:sz w:val="14"/>
                <w:szCs w:val="14"/>
                <w:b w:val="1"/>
                <w:bCs w:val="1"/>
                <w:color w:val="auto"/>
              </w:rPr>
              <w:t>Foreign Currency</w:t>
            </w:r>
          </w:p>
        </w:tc>
        <w:tc>
          <w:tcPr>
            <w:tcW w:w="160" w:type="dxa"/>
            <w:vAlign w:val="bottom"/>
          </w:tcPr>
          <w:p>
            <w:pPr>
              <w:spacing w:after="0"/>
              <w:rPr>
                <w:sz w:val="14"/>
                <w:szCs w:val="14"/>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Minimum Pension</w:t>
            </w:r>
          </w:p>
        </w:tc>
        <w:tc>
          <w:tcPr>
            <w:tcW w:w="16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Derivative Instruments</w:t>
            </w:r>
          </w:p>
        </w:tc>
        <w:tc>
          <w:tcPr>
            <w:tcW w:w="360" w:type="dxa"/>
            <w:vAlign w:val="bottom"/>
          </w:tcPr>
          <w:p>
            <w:pPr>
              <w:spacing w:after="0"/>
              <w:rPr>
                <w:sz w:val="14"/>
                <w:szCs w:val="14"/>
                <w:color w:val="auto"/>
              </w:rPr>
            </w:pPr>
          </w:p>
        </w:tc>
        <w:tc>
          <w:tcPr>
            <w:tcW w:w="118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60" w:type="dxa"/>
            <w:vAlign w:val="bottom"/>
            <w:gridSpan w:val="2"/>
            <w:vMerge w:val="continue"/>
          </w:tcPr>
          <w:p>
            <w:pPr>
              <w:spacing w:after="0"/>
              <w:rPr>
                <w:sz w:val="12"/>
                <w:szCs w:val="12"/>
                <w:color w:val="auto"/>
              </w:rPr>
            </w:pPr>
          </w:p>
        </w:tc>
        <w:tc>
          <w:tcPr>
            <w:tcW w:w="16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Translation Adjustment</w:t>
            </w:r>
          </w:p>
        </w:tc>
        <w:tc>
          <w:tcPr>
            <w:tcW w:w="160" w:type="dxa"/>
            <w:vAlign w:val="bottom"/>
          </w:tcPr>
          <w:p>
            <w:pPr>
              <w:spacing w:after="0"/>
              <w:rPr>
                <w:sz w:val="12"/>
                <w:szCs w:val="12"/>
                <w:color w:val="auto"/>
              </w:rPr>
            </w:pPr>
          </w:p>
        </w:tc>
        <w:tc>
          <w:tcPr>
            <w:tcW w:w="14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Liability</w:t>
            </w:r>
          </w:p>
        </w:tc>
        <w:tc>
          <w:tcPr>
            <w:tcW w:w="164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0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October 31, 2019</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5"/>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Gross change in value</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effect</w:t>
            </w: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Balance at October 31, 2020</w:t>
            </w: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(402.3)</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(56.7)</w:t>
            </w:r>
          </w:p>
        </w:tc>
        <w:tc>
          <w:tcPr>
            <w:tcW w:w="120" w:type="dxa"/>
            <w:vAlign w:val="bottom"/>
          </w:tcPr>
          <w:p>
            <w:pPr>
              <w:spacing w:after="0"/>
              <w:rPr>
                <w:sz w:val="19"/>
                <w:szCs w:val="19"/>
                <w:color w:val="auto"/>
              </w:rPr>
            </w:pPr>
          </w:p>
        </w:tc>
        <w:tc>
          <w:tcPr>
            <w:tcW w:w="580" w:type="dxa"/>
            <w:vAlign w:val="bottom"/>
            <w:tcBorders>
              <w:top w:val="single" w:sz="8" w:color="auto"/>
            </w:tcBorders>
          </w:tcPr>
          <w:p>
            <w:pPr>
              <w:jc w:val="right"/>
              <w:ind w:right="395"/>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(472.0)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change in value</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Tax effect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7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July 31, 2021</w:t>
            </w: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395"/>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17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In December 2011, the Company's Board of Directors authorized the 2012 Share Repurchase Program and through subsequent amendments, the most recent in March 2017, the total repurchase authorization was increased from $500.0 million to $1.0 billion of the Company's common stock. This program has no expiration date and may be discontinued at any time. Purchases under the 2012 Share Repurchase Program are subject to a review of the circumstances in place at the time and may be made from time to time as permitted by securities laws and other legal requirements.</w:t>
      </w:r>
    </w:p>
    <w:p>
      <w:pPr>
        <w:spacing w:after="0" w:line="117"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During the three months ended July 31, 2021, there were no share repurchases under the program. During the nine months ended July 31, 2021, the Company repurchased 69.6 thousand shares of its common stock for $24.8 million, at an average purchase price of $356.61 per share.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At July 31, 2021, $334.8 million remained authorized for repurchase under the program.</w:t>
      </w:r>
    </w:p>
    <w:p>
      <w:pPr>
        <w:spacing w:after="0" w:line="17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During the nine months ended July 31, 2020, the Company repurchased 160.8 thousand shares of its common stock for $47.8 million, at an average purchase price of $296.88 per share.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Company paid a semiannual dividend of approximately $1.5 million or 3 cents per share, on February 9, 2021, to stockholders of record on January 22, 2021; $1.5 million or 3 cents per share on August 11, 2021, to stockholders of record on July 27, 2021; $1.5 million or 3 cents per share, on February 10, 2020, to stockholders of record on January 23, 2020; $1.5 million or 3 cents per share on August 7, 2020, to stockholders of record on July 23, 2020.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Fair Value Measurements</w:t>
      </w:r>
    </w:p>
    <w:p>
      <w:pPr>
        <w:spacing w:after="0" w:line="17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Accounting standards define fair value as the price that would be received to sell an asset or paid to transfer a liability in an orderly transaction between market participants at the measurement date. The fair value hierarchy prioritizes the inputs to valuation techniques used to measure fair value. An asset’s or liability’s level is based on the lowest level of input that is significant to the fair value measurement. Assets and liabilities carried at fair value are valued and disclosed in one of the following three levels of the valuation hierarchy: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Level 2: Observable market-based inputs or unobservable inputs that are corroborated by market data.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Level 3: Unobservable inputs reflecting the reporting entity’s own assumptions.</w:t>
      </w:r>
    </w:p>
    <w:p>
      <w:pPr>
        <w:spacing w:after="0" w:line="17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At July 31, 2021 and October 31, 2020, the carrying value of cash and cash equivalents, accounts receivable, prepaid expense and other current assets, lines of credit, accounts payable and other current liabilities approximates fair value due to the short-term nature of such instruments and the ability to obtain financing on similar terms.</w:t>
      </w:r>
    </w:p>
    <w:p>
      <w:pPr>
        <w:spacing w:after="0" w:line="197" w:lineRule="exact"/>
        <w:rPr>
          <w:sz w:val="20"/>
          <w:szCs w:val="20"/>
          <w:color w:val="auto"/>
        </w:rPr>
      </w:pPr>
    </w:p>
    <w:p>
      <w:pPr>
        <w:ind w:right="340"/>
        <w:spacing w:after="0" w:line="235" w:lineRule="auto"/>
        <w:rPr>
          <w:sz w:val="20"/>
          <w:szCs w:val="20"/>
          <w:color w:val="auto"/>
        </w:rPr>
      </w:pPr>
      <w:r>
        <w:rPr>
          <w:rFonts w:ascii="Arial" w:cs="Arial" w:eastAsia="Arial" w:hAnsi="Arial"/>
          <w:sz w:val="18"/>
          <w:szCs w:val="18"/>
          <w:color w:val="auto"/>
        </w:rPr>
        <w:t>The carrying value of our revolving credit facility and term loans approximates fair value based on current market rates (Level 2). On April 6, 2020 the Company entered into six interest rate swap contracts which are used to hedge the Company’s exposure to changes in cash flows associated with its variable rate debt and are designated as derivatives in a</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0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cash flow hedge. The payment streams are based on a total notional amount of $1.5 billion at the inception of the contracts. The interest rate swap contracts had maturities of seven years or less. As of July 31, 2021, two of the six interest rate swap contracts have matured and the outstanding contracts have a total notional amount of $1.1 billion.</w:t>
      </w:r>
    </w:p>
    <w:p>
      <w:pPr>
        <w:spacing w:after="0" w:line="21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gain or loss on the derivatives is recorded as a component of accumulated other comprehensive income and subsequently reclassified into interest expense in the same period during which the hedged transaction affects earnings.</w:t>
      </w:r>
    </w:p>
    <w:p>
      <w:pPr>
        <w:spacing w:after="0" w:line="197"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 fair value of the interest rate swap contracts is measured on a recurring basis by netting the discounted future fixed cash payments and the discounted expected variable cash receipts. The variable cash receipts are based on the expectation of future interest rates (forward curves) derived from observable market interest rate curves. The interest rate swap contracts were categorized as Level 2 in the fair value hierarchy, as the inputs to the derivative pricing model are generally observable and do not contain a high level of subjectivity. Refer to Note 14. Financial Derivatives and Hedging for further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have any cross currency swaps or foreign currency forward contracts as of July 31, 2021 and October 31, 2020.</w:t>
      </w:r>
    </w:p>
    <w:p>
      <w:pPr>
        <w:spacing w:after="0" w:line="239"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The fair value of the Company's contingent consideration for which a liability is recorded is measured on a recurring basis as a Level 3 measurement, and the change in fair value is recognized in selling, general and administrative expense in the Consolidated Statements of Income and Comprehensive Income. Refer to Note 2. Acquisitions and Assets Held for Sale for further information.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Nonrecurring fair value measurements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Company uses fair value measures when determining assets and liabilities acquired in an acquisition and assets held for sale as described in Note 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Acquisitions and Assets Held for Sale, which are considered a Level 3 measurement.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11. Employee Benefits</w:t>
      </w:r>
    </w:p>
    <w:p>
      <w:pPr>
        <w:spacing w:after="0" w:line="17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Company's Retirement Income Plan (the Plan), a defined benefit plan, covers substantially all full-time United States employees. The Company's contributions are designed to fund normal cost on a current basis and to fund the estimated prior service cost of benefit improvements. The unit credit actuarial cost method is used to determine the annual cost. The Company pays the entire cost of the Plan and funds such costs as they accrue. Virtually all of the assets of the Plan are comprised of equities and participation in equity and fixed income funds.</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Company's results of operations for the three and nine months ended July 31, 2021 and 2020, reflect the following components of net periodic defined benefit costs: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400" w:type="dxa"/>
            <w:vAlign w:val="bottom"/>
            <w:gridSpan w:val="2"/>
          </w:tcPr>
          <w:p>
            <w:pPr>
              <w:spacing w:after="0"/>
              <w:rPr>
                <w:sz w:val="20"/>
                <w:szCs w:val="20"/>
                <w:color w:val="auto"/>
              </w:rPr>
            </w:pPr>
            <w:r>
              <w:rPr>
                <w:rFonts w:ascii="Arial" w:cs="Arial" w:eastAsia="Arial" w:hAnsi="Arial"/>
                <w:sz w:val="14"/>
                <w:szCs w:val="14"/>
                <w:b w:val="1"/>
                <w:bCs w:val="1"/>
                <w:color w:val="auto"/>
              </w:rPr>
              <w:t>Periods Ended July 31,</w:t>
            </w:r>
          </w:p>
        </w:tc>
        <w:tc>
          <w:tcPr>
            <w:tcW w:w="4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Three Months</w:t>
            </w:r>
          </w:p>
        </w:tc>
        <w:tc>
          <w:tcPr>
            <w:tcW w:w="12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Nine Months</w:t>
            </w:r>
          </w:p>
        </w:tc>
        <w:tc>
          <w:tcPr>
            <w:tcW w:w="980" w:type="dxa"/>
            <w:vAlign w:val="bottom"/>
            <w:tcBorders>
              <w:bottom w:val="single" w:sz="8" w:color="auto"/>
            </w:tcBorders>
          </w:tcPr>
          <w:p>
            <w:pPr>
              <w:spacing w:after="0"/>
              <w:rPr>
                <w:sz w:val="16"/>
                <w:szCs w:val="16"/>
                <w:color w:val="auto"/>
              </w:rPr>
            </w:pPr>
          </w:p>
        </w:tc>
      </w:tr>
      <w:tr>
        <w:trPr>
          <w:trHeight w:val="148"/>
        </w:trPr>
        <w:tc>
          <w:tcPr>
            <w:tcW w:w="20" w:type="dxa"/>
            <w:vAlign w:val="bottom"/>
          </w:tcPr>
          <w:p>
            <w:pPr>
              <w:spacing w:after="0"/>
              <w:rPr>
                <w:sz w:val="12"/>
                <w:szCs w:val="12"/>
                <w:color w:val="auto"/>
              </w:rPr>
            </w:pPr>
          </w:p>
        </w:tc>
        <w:tc>
          <w:tcPr>
            <w:tcW w:w="44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12"/>
                <w:szCs w:val="12"/>
                <w:color w:val="auto"/>
              </w:rPr>
            </w:pPr>
          </w:p>
        </w:tc>
        <w:tc>
          <w:tcPr>
            <w:tcW w:w="1360" w:type="dxa"/>
            <w:vAlign w:val="bottom"/>
          </w:tcPr>
          <w:p>
            <w:pPr>
              <w:jc w:val="right"/>
              <w:ind w:right="675"/>
              <w:spacing w:after="0" w:line="149"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20" w:type="dxa"/>
            <w:vAlign w:val="bottom"/>
          </w:tcPr>
          <w:p>
            <w:pPr>
              <w:jc w:val="right"/>
              <w:ind w:right="673"/>
              <w:spacing w:after="0" w:line="149"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ind w:right="475"/>
              <w:spacing w:after="0" w:line="149"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tcPr>
          <w:p>
            <w:pPr>
              <w:jc w:val="right"/>
              <w:ind w:right="493"/>
              <w:spacing w:after="0" w:line="149" w:lineRule="exact"/>
              <w:rPr>
                <w:sz w:val="20"/>
                <w:szCs w:val="20"/>
                <w:color w:val="auto"/>
              </w:rPr>
            </w:pPr>
            <w:r>
              <w:rPr>
                <w:rFonts w:ascii="Arial" w:cs="Arial" w:eastAsia="Arial" w:hAnsi="Arial"/>
                <w:sz w:val="14"/>
                <w:szCs w:val="14"/>
                <w:b w:val="1"/>
                <w:bCs w:val="1"/>
                <w:color w:val="auto"/>
              </w:rPr>
              <w:t>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cost</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center"/>
              <w:ind w:left="895"/>
              <w:spacing w:after="0"/>
              <w:rPr>
                <w:sz w:val="20"/>
                <w:szCs w:val="20"/>
                <w:color w:val="auto"/>
              </w:rPr>
            </w:pPr>
            <w:r>
              <w:rPr>
                <w:rFonts w:ascii="Arial" w:cs="Arial" w:eastAsia="Arial" w:hAnsi="Arial"/>
                <w:sz w:val="18"/>
                <w:szCs w:val="18"/>
                <w:color w:val="auto"/>
                <w:w w:val="87"/>
              </w:rPr>
              <w:t>4.3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center"/>
              <w:ind w:left="753"/>
              <w:spacing w:after="0"/>
              <w:rPr>
                <w:sz w:val="20"/>
                <w:szCs w:val="20"/>
                <w:color w:val="auto"/>
              </w:rPr>
            </w:pPr>
            <w:r>
              <w:rPr>
                <w:rFonts w:ascii="Arial" w:cs="Arial" w:eastAsia="Arial" w:hAnsi="Arial"/>
                <w:sz w:val="18"/>
                <w:szCs w:val="18"/>
                <w:color w:val="auto"/>
                <w:w w:val="87"/>
              </w:rPr>
              <w:t>5.2</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29"/>
        </w:trPr>
        <w:tc>
          <w:tcPr>
            <w:tcW w:w="20" w:type="dxa"/>
            <w:vAlign w:val="bottom"/>
          </w:tcPr>
          <w:p>
            <w:pPr>
              <w:spacing w:after="0"/>
              <w:rPr>
                <w:sz w:val="19"/>
                <w:szCs w:val="19"/>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440" w:type="dxa"/>
            <w:vAlign w:val="bottom"/>
          </w:tcPr>
          <w:p>
            <w:pPr>
              <w:spacing w:after="0"/>
              <w:rPr>
                <w:sz w:val="19"/>
                <w:szCs w:val="19"/>
                <w:color w:val="auto"/>
              </w:rPr>
            </w:pPr>
          </w:p>
        </w:tc>
        <w:tc>
          <w:tcPr>
            <w:tcW w:w="1360" w:type="dxa"/>
            <w:vAlign w:val="bottom"/>
          </w:tcPr>
          <w:p>
            <w:pPr>
              <w:jc w:val="center"/>
              <w:ind w:left="895"/>
              <w:spacing w:after="0"/>
              <w:rPr>
                <w:sz w:val="20"/>
                <w:szCs w:val="20"/>
                <w:color w:val="auto"/>
              </w:rPr>
            </w:pPr>
            <w:r>
              <w:rPr>
                <w:rFonts w:ascii="Arial" w:cs="Arial" w:eastAsia="Arial" w:hAnsi="Arial"/>
                <w:sz w:val="18"/>
                <w:szCs w:val="18"/>
                <w:color w:val="auto"/>
                <w:w w:val="87"/>
              </w:rPr>
              <w:t>1.1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20" w:type="dxa"/>
            <w:vAlign w:val="bottom"/>
          </w:tcPr>
          <w:p>
            <w:pPr>
              <w:jc w:val="center"/>
              <w:ind w:left="753"/>
              <w:spacing w:after="0"/>
              <w:rPr>
                <w:sz w:val="20"/>
                <w:szCs w:val="20"/>
                <w:color w:val="auto"/>
              </w:rPr>
            </w:pPr>
            <w:r>
              <w:rPr>
                <w:rFonts w:ascii="Arial" w:cs="Arial" w:eastAsia="Arial" w:hAnsi="Arial"/>
                <w:sz w:val="18"/>
                <w:szCs w:val="18"/>
                <w:color w:val="auto"/>
                <w:w w:val="87"/>
              </w:rPr>
              <w:t>0.9</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20" w:type="dxa"/>
            <w:vAlign w:val="bottom"/>
            <w:shd w:val="clear" w:color="auto" w:fill="CCEEFF"/>
          </w:tcPr>
          <w:p>
            <w:pPr>
              <w:spacing w:after="0"/>
              <w:rPr>
                <w:sz w:val="19"/>
                <w:szCs w:val="19"/>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center"/>
              <w:ind w:left="875"/>
              <w:spacing w:after="0"/>
              <w:rPr>
                <w:sz w:val="20"/>
                <w:szCs w:val="20"/>
                <w:color w:val="auto"/>
              </w:rPr>
            </w:pPr>
            <w:r>
              <w:rPr>
                <w:rFonts w:ascii="Arial" w:cs="Arial" w:eastAsia="Arial" w:hAnsi="Arial"/>
                <w:sz w:val="18"/>
                <w:szCs w:val="18"/>
                <w:color w:val="auto"/>
                <w:w w:val="97"/>
              </w:rPr>
              <w:t>(3.1)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left="733"/>
              <w:spacing w:after="0"/>
              <w:rPr>
                <w:sz w:val="20"/>
                <w:szCs w:val="20"/>
                <w:color w:val="auto"/>
              </w:rPr>
            </w:pPr>
            <w:r>
              <w:rPr>
                <w:rFonts w:ascii="Arial" w:cs="Arial" w:eastAsia="Arial" w:hAnsi="Arial"/>
                <w:sz w:val="18"/>
                <w:szCs w:val="18"/>
                <w:color w:val="auto"/>
                <w:w w:val="97"/>
              </w:rPr>
              <w:t>(3.6)</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30"/>
        </w:trPr>
        <w:tc>
          <w:tcPr>
            <w:tcW w:w="20" w:type="dxa"/>
            <w:vAlign w:val="bottom"/>
            <w:tcBorders>
              <w:bottom w:val="single" w:sz="8" w:color="CCEEFF"/>
            </w:tcBorders>
          </w:tcPr>
          <w:p>
            <w:pPr>
              <w:spacing w:after="0"/>
              <w:rPr>
                <w:sz w:val="19"/>
                <w:szCs w:val="19"/>
                <w:color w:val="auto"/>
              </w:rPr>
            </w:pPr>
          </w:p>
        </w:tc>
        <w:tc>
          <w:tcPr>
            <w:tcW w:w="44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Recognized net actuarial loss</w:t>
            </w: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left="895"/>
              <w:spacing w:after="0"/>
              <w:rPr>
                <w:sz w:val="20"/>
                <w:szCs w:val="20"/>
                <w:color w:val="auto"/>
              </w:rPr>
            </w:pPr>
            <w:r>
              <w:rPr>
                <w:rFonts w:ascii="Arial" w:cs="Arial" w:eastAsia="Arial" w:hAnsi="Arial"/>
                <w:sz w:val="18"/>
                <w:szCs w:val="18"/>
                <w:color w:val="auto"/>
                <w:w w:val="87"/>
              </w:rPr>
              <w:t>1.3</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left="753"/>
              <w:spacing w:after="0"/>
              <w:rPr>
                <w:sz w:val="20"/>
                <w:szCs w:val="20"/>
                <w:color w:val="auto"/>
              </w:rPr>
            </w:pPr>
            <w:r>
              <w:rPr>
                <w:rFonts w:ascii="Arial" w:cs="Arial" w:eastAsia="Arial" w:hAnsi="Arial"/>
                <w:sz w:val="18"/>
                <w:szCs w:val="18"/>
                <w:color w:val="auto"/>
                <w:w w:val="87"/>
              </w:rPr>
              <w:t>1.8</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periodic defined benefit plan cost</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center"/>
              <w:ind w:left="895"/>
              <w:spacing w:after="0"/>
              <w:rPr>
                <w:sz w:val="20"/>
                <w:szCs w:val="20"/>
                <w:color w:val="auto"/>
              </w:rPr>
            </w:pPr>
            <w:r>
              <w:rPr>
                <w:rFonts w:ascii="Arial" w:cs="Arial" w:eastAsia="Arial" w:hAnsi="Arial"/>
                <w:sz w:val="18"/>
                <w:szCs w:val="18"/>
                <w:color w:val="auto"/>
                <w:w w:val="87"/>
              </w:rPr>
              <w:t>3.6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center"/>
              <w:ind w:left="753"/>
              <w:spacing w:after="0"/>
              <w:rPr>
                <w:sz w:val="20"/>
                <w:szCs w:val="20"/>
                <w:color w:val="auto"/>
              </w:rPr>
            </w:pPr>
            <w:r>
              <w:rPr>
                <w:rFonts w:ascii="Arial" w:cs="Arial" w:eastAsia="Arial" w:hAnsi="Arial"/>
                <w:sz w:val="18"/>
                <w:szCs w:val="18"/>
                <w:color w:val="auto"/>
                <w:w w:val="87"/>
              </w:rPr>
              <w:t>4.3</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Company did not contribute to the Plan during the first nine months of fiscal 2021 and due to COVID-19 the Company is uncertain of the amount the Company will contribute during the remainder of the year. The Company did not contribute to the Plan during the first nine months of fiscal 2020. The expected rate of return on Plan assets for determining net periodic benefit plan cost is 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12. Contingencies</w:t>
      </w:r>
    </w:p>
    <w:p>
      <w:pPr>
        <w:spacing w:after="0" w:line="25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is involved in various lawsuits, claims and other legal matters from time to time that arise in the ordinary course of conducting business, including matters involving our products, intellectual property, supplier relationships, distributors, competitor relationships, employees and other matters. The Company does not believe that the ultimate resolution of these proceedings or claims pending against it could have a material adverse effect on its financial condition or</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1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 xml:space="preserve">results of operations. At each reporting period, the Company evaluates whether or not a potential loss amount or a potential range of loss is probable and reasonably estimable under ASC 450, </w:t>
      </w:r>
      <w:r>
        <w:rPr>
          <w:rFonts w:ascii="Arial" w:cs="Arial" w:eastAsia="Arial" w:hAnsi="Arial"/>
          <w:sz w:val="18"/>
          <w:szCs w:val="18"/>
          <w:i w:val="1"/>
          <w:iCs w:val="1"/>
          <w:color w:val="auto"/>
        </w:rPr>
        <w:t>Contingencies</w:t>
      </w:r>
      <w:r>
        <w:rPr>
          <w:rFonts w:ascii="Arial" w:cs="Arial" w:eastAsia="Arial" w:hAnsi="Arial"/>
          <w:sz w:val="18"/>
          <w:szCs w:val="18"/>
          <w:color w:val="auto"/>
        </w:rPr>
        <w:t>. Legal fees are expensed as incurred.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13. Business Segment Information</w:t>
      </w:r>
    </w:p>
    <w:p>
      <w:pPr>
        <w:spacing w:after="0" w:line="175"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The Company discloses information about its operating segments, which were established based on the way that management organizes segments within the Company for making operating decisions and assessing financial performance. The Company's two operating segments are described below.</w:t>
      </w:r>
    </w:p>
    <w:p>
      <w:pPr>
        <w:spacing w:after="0" w:line="70" w:lineRule="exact"/>
        <w:rPr>
          <w:sz w:val="20"/>
          <w:szCs w:val="20"/>
          <w:color w:val="auto"/>
        </w:rPr>
      </w:pPr>
    </w:p>
    <w:p>
      <w:pPr>
        <w:ind w:left="660" w:right="100" w:hanging="328"/>
        <w:spacing w:after="0" w:line="286" w:lineRule="auto"/>
        <w:tabs>
          <w:tab w:leader="none" w:pos="655"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CooperVision. </w:t>
      </w:r>
      <w:r>
        <w:rPr>
          <w:rFonts w:ascii="Arial" w:cs="Arial" w:eastAsia="Arial" w:hAnsi="Arial"/>
          <w:sz w:val="17"/>
          <w:szCs w:val="17"/>
          <w:color w:val="auto"/>
        </w:rPr>
        <w:t>Competes in the worldwide contact lens market by developing, manufacturing and marketing a broad range of products for contact</w:t>
      </w:r>
      <w:r>
        <w:rPr>
          <w:rFonts w:ascii="Arial" w:cs="Arial" w:eastAsia="Arial" w:hAnsi="Arial"/>
          <w:sz w:val="17"/>
          <w:szCs w:val="17"/>
          <w:i w:val="1"/>
          <w:iCs w:val="1"/>
          <w:color w:val="auto"/>
        </w:rPr>
        <w:t xml:space="preserve"> </w:t>
      </w:r>
      <w:r>
        <w:rPr>
          <w:rFonts w:ascii="Arial" w:cs="Arial" w:eastAsia="Arial" w:hAnsi="Arial"/>
          <w:sz w:val="17"/>
          <w:szCs w:val="17"/>
          <w:color w:val="auto"/>
        </w:rPr>
        <w:t>lens wearers, featuring advanced materials and optics. CooperVision designs its products to solve vision challenges such as astigmatism, presbyopia, myopia, ocular dryness and eye fatigues, with a broad collection of spherical, toric and multifocal contact lenses.</w:t>
      </w:r>
    </w:p>
    <w:p>
      <w:pPr>
        <w:spacing w:after="0" w:line="111" w:lineRule="exact"/>
        <w:rPr>
          <w:rFonts w:ascii="Arial" w:cs="Arial" w:eastAsia="Arial" w:hAnsi="Arial"/>
          <w:sz w:val="17"/>
          <w:szCs w:val="17"/>
          <w:i w:val="1"/>
          <w:iCs w:val="1"/>
          <w:color w:val="auto"/>
        </w:rPr>
      </w:pPr>
    </w:p>
    <w:p>
      <w:pPr>
        <w:ind w:left="660" w:right="580" w:hanging="328"/>
        <w:spacing w:after="0" w:line="277" w:lineRule="auto"/>
        <w:tabs>
          <w:tab w:leader="none" w:pos="65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CooperSurgical. </w:t>
      </w:r>
      <w:r>
        <w:rPr>
          <w:rFonts w:ascii="Arial" w:cs="Arial" w:eastAsia="Arial" w:hAnsi="Arial"/>
          <w:sz w:val="18"/>
          <w:szCs w:val="18"/>
          <w:color w:val="auto"/>
        </w:rPr>
        <w:t>Competes in the general health care market with a focus on advancing the health of women, babies and families through a</w:t>
      </w:r>
      <w:r>
        <w:rPr>
          <w:rFonts w:ascii="Arial" w:cs="Arial" w:eastAsia="Arial" w:hAnsi="Arial"/>
          <w:sz w:val="18"/>
          <w:szCs w:val="18"/>
          <w:i w:val="1"/>
          <w:iCs w:val="1"/>
          <w:color w:val="auto"/>
        </w:rPr>
        <w:t xml:space="preserve"> </w:t>
      </w:r>
      <w:r>
        <w:rPr>
          <w:rFonts w:ascii="Arial" w:cs="Arial" w:eastAsia="Arial" w:hAnsi="Arial"/>
          <w:sz w:val="18"/>
          <w:szCs w:val="18"/>
          <w:color w:val="auto"/>
        </w:rPr>
        <w:t>diversified portfolio of products and services focusing on women's health and fertility.</w:t>
      </w:r>
    </w:p>
    <w:p>
      <w:pPr>
        <w:spacing w:after="0" w:line="116"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The Company uses operating income, as presented in our financial reports, as the primary measure of segment profitability. The Company does not allocate costs from corporate functions to segment operating income. Items below operating income are not considered when measuring the profitability of a segment. The Company uses the same accounting policies to generate segment results as the Company does for our consolidated results.</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color w:val="auto"/>
        </w:rPr>
        <w:t>Total identifiable assets are those used in continuing operations except cash and cash equivalents, which the Company includes as corporate assets.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Segment information:</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460" w:type="dxa"/>
            <w:vAlign w:val="bottom"/>
            <w:gridSpan w:val="2"/>
          </w:tcPr>
          <w:p>
            <w:pPr>
              <w:spacing w:after="0"/>
              <w:rPr>
                <w:sz w:val="20"/>
                <w:szCs w:val="20"/>
                <w:color w:val="auto"/>
              </w:rPr>
            </w:pPr>
            <w:r>
              <w:rPr>
                <w:rFonts w:ascii="Arial" w:cs="Arial" w:eastAsia="Arial" w:hAnsi="Arial"/>
                <w:sz w:val="14"/>
                <w:szCs w:val="14"/>
                <w:b w:val="1"/>
                <w:bCs w:val="1"/>
                <w:color w:val="auto"/>
              </w:rPr>
              <w:t>Periods Ended July 31,</w:t>
            </w:r>
          </w:p>
        </w:tc>
        <w:tc>
          <w:tcPr>
            <w:tcW w:w="4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Three Months</w:t>
            </w:r>
          </w:p>
        </w:tc>
        <w:tc>
          <w:tcPr>
            <w:tcW w:w="12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Nine Months</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12"/>
                <w:szCs w:val="12"/>
                <w:color w:val="auto"/>
              </w:rPr>
            </w:pPr>
          </w:p>
        </w:tc>
        <w:tc>
          <w:tcPr>
            <w:tcW w:w="1360" w:type="dxa"/>
            <w:vAlign w:val="bottom"/>
          </w:tcPr>
          <w:p>
            <w:pPr>
              <w:jc w:val="right"/>
              <w:ind w:right="652"/>
              <w:spacing w:after="0" w:line="149"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20" w:type="dxa"/>
            <w:vAlign w:val="bottom"/>
          </w:tcPr>
          <w:p>
            <w:pPr>
              <w:jc w:val="right"/>
              <w:ind w:right="671"/>
              <w:spacing w:after="0" w:line="149"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jc w:val="right"/>
              <w:ind w:right="472"/>
              <w:spacing w:after="0" w:line="149"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60" w:type="dxa"/>
            <w:vAlign w:val="bottom"/>
          </w:tcPr>
          <w:p>
            <w:pPr>
              <w:jc w:val="right"/>
              <w:ind w:right="471"/>
              <w:spacing w:after="0" w:line="149"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7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CooperVision net sales by category:</w:t>
            </w: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gridSpan w:val="2"/>
          </w:tcPr>
          <w:p>
            <w:pPr>
              <w:ind w:left="660"/>
              <w:spacing w:after="0"/>
              <w:rPr>
                <w:sz w:val="20"/>
                <w:szCs w:val="20"/>
                <w:color w:val="auto"/>
              </w:rPr>
            </w:pPr>
            <w:r>
              <w:rPr>
                <w:rFonts w:ascii="Arial" w:cs="Arial" w:eastAsia="Arial" w:hAnsi="Arial"/>
                <w:sz w:val="18"/>
                <w:szCs w:val="18"/>
                <w:color w:val="auto"/>
              </w:rPr>
              <w:t>Toric lens</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181.0</w:t>
            </w:r>
          </w:p>
        </w:tc>
        <w:tc>
          <w:tcPr>
            <w:tcW w:w="10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147.6</w:t>
            </w:r>
          </w:p>
        </w:tc>
        <w:tc>
          <w:tcPr>
            <w:tcW w:w="16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516.1</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436.3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Multifocal lens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60" w:type="dxa"/>
            <w:vAlign w:val="bottom"/>
            <w:gridSpan w:val="2"/>
          </w:tcPr>
          <w:p>
            <w:pPr>
              <w:ind w:left="660"/>
              <w:spacing w:after="0"/>
              <w:rPr>
                <w:sz w:val="20"/>
                <w:szCs w:val="20"/>
                <w:color w:val="auto"/>
              </w:rPr>
            </w:pPr>
            <w:r>
              <w:rPr>
                <w:rFonts w:ascii="Arial" w:cs="Arial" w:eastAsia="Arial" w:hAnsi="Arial"/>
                <w:sz w:val="18"/>
                <w:szCs w:val="18"/>
                <w:color w:val="auto"/>
              </w:rPr>
              <w:t>Single-use sphere lens</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159.3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126.5</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449.8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380.7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Non single-use sphere, other</w:t>
            </w: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155.6</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375.9</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37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CooperVision net sales</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557.5</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449.3</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1,587.1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1,336.7</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CooperSurgical net sales by category:</w:t>
            </w: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gridSpan w:val="2"/>
          </w:tcPr>
          <w:p>
            <w:pPr>
              <w:ind w:left="660"/>
              <w:spacing w:after="0"/>
              <w:rPr>
                <w:sz w:val="20"/>
                <w:szCs w:val="20"/>
                <w:color w:val="auto"/>
              </w:rPr>
            </w:pPr>
            <w:r>
              <w:rPr>
                <w:rFonts w:ascii="Arial" w:cs="Arial" w:eastAsia="Arial" w:hAnsi="Arial"/>
                <w:sz w:val="18"/>
                <w:szCs w:val="18"/>
                <w:color w:val="auto"/>
              </w:rPr>
              <w:t>Office and surgical products</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122.5</w:t>
            </w:r>
          </w:p>
        </w:tc>
        <w:tc>
          <w:tcPr>
            <w:tcW w:w="10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81.7</w:t>
            </w:r>
          </w:p>
        </w:tc>
        <w:tc>
          <w:tcPr>
            <w:tcW w:w="16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338.6</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249.7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Fertility</w:t>
            </w: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37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CooperSurgical net sales</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205.9</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128.9</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412.6</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4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net sales</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578.2</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2,163.4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4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46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CooperVision</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gridSpan w:val="2"/>
          </w:tcPr>
          <w:p>
            <w:pPr>
              <w:ind w:left="340"/>
              <w:spacing w:after="0"/>
              <w:rPr>
                <w:sz w:val="20"/>
                <w:szCs w:val="20"/>
                <w:color w:val="auto"/>
              </w:rPr>
            </w:pPr>
            <w:r>
              <w:rPr>
                <w:rFonts w:ascii="Arial" w:cs="Arial" w:eastAsia="Arial" w:hAnsi="Arial"/>
                <w:sz w:val="18"/>
                <w:szCs w:val="18"/>
                <w:color w:val="auto"/>
              </w:rPr>
              <w:t>CooperSurgical</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(9.3)</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Corporate</w:t>
            </w: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Total operating income</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100.6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72.0</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377.3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211.7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46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Other expense (income), net</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7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jc w:val="right"/>
              <w:ind w:right="452"/>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7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gridSpan w:val="4"/>
          </w:tcPr>
          <w:p>
            <w:pPr>
              <w:jc w:val="right"/>
              <w:ind w:right="412"/>
              <w:spacing w:after="0"/>
              <w:rPr>
                <w:sz w:val="20"/>
                <w:szCs w:val="20"/>
                <w:color w:val="auto"/>
              </w:rPr>
            </w:pPr>
            <w:r>
              <w:rPr>
                <w:rFonts w:ascii="Arial" w:cs="Arial" w:eastAsia="Arial" w:hAnsi="Arial"/>
                <w:sz w:val="14"/>
                <w:szCs w:val="14"/>
                <w:b w:val="1"/>
                <w:bCs w:val="1"/>
                <w:color w:val="auto"/>
              </w:rPr>
              <w:t>July 31, 2021</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gridSpan w:val="3"/>
          </w:tcPr>
          <w:p>
            <w:pPr>
              <w:jc w:val="right"/>
              <w:ind w:right="291"/>
              <w:spacing w:after="0"/>
              <w:rPr>
                <w:sz w:val="20"/>
                <w:szCs w:val="20"/>
                <w:color w:val="auto"/>
              </w:rPr>
            </w:pPr>
            <w:r>
              <w:rPr>
                <w:rFonts w:ascii="Arial" w:cs="Arial" w:eastAsia="Arial" w:hAnsi="Arial"/>
                <w:sz w:val="14"/>
                <w:szCs w:val="14"/>
                <w:b w:val="1"/>
                <w:bCs w:val="1"/>
                <w:color w:val="auto"/>
                <w:w w:val="92"/>
              </w:rPr>
              <w:t>October 31, 2020</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7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identifiable assets:</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00" w:type="dxa"/>
            <w:vAlign w:val="bottom"/>
            <w:gridSpan w:val="2"/>
          </w:tcPr>
          <w:p>
            <w:pPr>
              <w:ind w:left="340"/>
              <w:spacing w:after="0"/>
              <w:rPr>
                <w:sz w:val="20"/>
                <w:szCs w:val="20"/>
                <w:color w:val="auto"/>
              </w:rPr>
            </w:pPr>
            <w:r>
              <w:rPr>
                <w:rFonts w:ascii="Arial" w:cs="Arial" w:eastAsia="Arial" w:hAnsi="Arial"/>
                <w:sz w:val="18"/>
                <w:szCs w:val="18"/>
                <w:color w:val="auto"/>
              </w:rPr>
              <w:t>CooperVision</w:t>
            </w: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6"/>
              </w:rPr>
              <w:t>6,955.5</w:t>
            </w: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4,236.3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CooperSurgical</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2,435.3</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2,293.8</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50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Corporate</w:t>
            </w:r>
          </w:p>
        </w:tc>
        <w:tc>
          <w:tcPr>
            <w:tcW w:w="82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219.8</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207.4</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50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8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9,610.6</w:t>
            </w: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6,737.5</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Geographic information:</w:t>
            </w:r>
          </w:p>
        </w:tc>
        <w:tc>
          <w:tcPr>
            <w:tcW w:w="8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5520" w:type="dxa"/>
            <w:vAlign w:val="bottom"/>
            <w:gridSpan w:val="3"/>
            <w:vMerge w:val="continue"/>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Arial" w:cs="Arial" w:eastAsia="Arial" w:hAnsi="Arial"/>
                <w:sz w:val="14"/>
                <w:szCs w:val="14"/>
                <w:b w:val="1"/>
                <w:bCs w:val="1"/>
                <w:color w:val="auto"/>
              </w:rPr>
              <w:t>Periods Ended July 31,</w:t>
            </w:r>
          </w:p>
        </w:tc>
        <w:tc>
          <w:tcPr>
            <w:tcW w:w="8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Three Months</w:t>
            </w:r>
          </w:p>
        </w:tc>
        <w:tc>
          <w:tcPr>
            <w:tcW w:w="5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Nine Months</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 millions)</w:t>
            </w:r>
          </w:p>
        </w:tc>
        <w:tc>
          <w:tcPr>
            <w:tcW w:w="8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ind w:left="520"/>
              <w:spacing w:after="0" w:line="149" w:lineRule="exact"/>
              <w:rPr>
                <w:sz w:val="20"/>
                <w:szCs w:val="20"/>
                <w:color w:val="auto"/>
              </w:rPr>
            </w:pPr>
            <w:r>
              <w:rPr>
                <w:rFonts w:ascii="Arial" w:cs="Arial" w:eastAsia="Arial" w:hAnsi="Arial"/>
                <w:sz w:val="14"/>
                <w:szCs w:val="14"/>
                <w:b w:val="1"/>
                <w:bCs w:val="1"/>
                <w:color w:val="auto"/>
                <w:w w:val="96"/>
              </w:rPr>
              <w:t>2020</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jc w:val="right"/>
              <w:ind w:right="431"/>
              <w:spacing w:after="0" w:line="149"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7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 to unaffiliated customers by country of domicile:</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00" w:type="dxa"/>
            <w:vAlign w:val="bottom"/>
            <w:gridSpan w:val="2"/>
          </w:tcPr>
          <w:p>
            <w:pPr>
              <w:ind w:left="660"/>
              <w:spacing w:after="0"/>
              <w:rPr>
                <w:sz w:val="20"/>
                <w:szCs w:val="20"/>
                <w:color w:val="auto"/>
              </w:rPr>
            </w:pPr>
            <w:r>
              <w:rPr>
                <w:rFonts w:ascii="Arial" w:cs="Arial" w:eastAsia="Arial" w:hAnsi="Arial"/>
                <w:sz w:val="18"/>
                <w:szCs w:val="18"/>
                <w:color w:val="auto"/>
              </w:rPr>
              <w:t>United States</w:t>
            </w:r>
          </w:p>
        </w:tc>
        <w:tc>
          <w:tcPr>
            <w:tcW w:w="820" w:type="dxa"/>
            <w:vAlign w:val="bottom"/>
          </w:tcPr>
          <w:p>
            <w:pPr>
              <w:jc w:val="right"/>
              <w:ind w:right="636"/>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8"/>
              </w:rPr>
              <w:t>343.7</w:t>
            </w:r>
          </w:p>
        </w:tc>
        <w:tc>
          <w:tcPr>
            <w:tcW w:w="140" w:type="dxa"/>
            <w:vAlign w:val="bottom"/>
          </w:tcPr>
          <w:p>
            <w:pPr>
              <w:spacing w:after="0"/>
              <w:rPr>
                <w:sz w:val="19"/>
                <w:szCs w:val="19"/>
                <w:color w:val="auto"/>
              </w:rPr>
            </w:pPr>
          </w:p>
        </w:tc>
        <w:tc>
          <w:tcPr>
            <w:tcW w:w="500" w:type="dxa"/>
            <w:vAlign w:val="bottom"/>
          </w:tcPr>
          <w:p>
            <w:pPr>
              <w:jc w:val="right"/>
              <w:ind w:right="294"/>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263.7</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3"/>
              </w:rPr>
              <w:t>992.9</w:t>
            </w:r>
          </w:p>
        </w:tc>
        <w:tc>
          <w:tcPr>
            <w:tcW w:w="5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779.6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Europe</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258.7</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185.2</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709.5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577.3</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500" w:type="dxa"/>
            <w:vAlign w:val="bottom"/>
            <w:tcBorders>
              <w:bottom w:val="single" w:sz="8" w:color="CCEEFF"/>
            </w:tcBorders>
            <w:gridSpan w:val="2"/>
          </w:tcPr>
          <w:p>
            <w:pPr>
              <w:ind w:left="660"/>
              <w:spacing w:after="0"/>
              <w:rPr>
                <w:sz w:val="20"/>
                <w:szCs w:val="20"/>
                <w:color w:val="auto"/>
              </w:rPr>
            </w:pPr>
            <w:r>
              <w:rPr>
                <w:rFonts w:ascii="Arial" w:cs="Arial" w:eastAsia="Arial" w:hAnsi="Arial"/>
                <w:sz w:val="18"/>
                <w:szCs w:val="18"/>
                <w:color w:val="auto"/>
              </w:rPr>
              <w:t>Rest of world</w:t>
            </w:r>
          </w:p>
        </w:tc>
        <w:tc>
          <w:tcPr>
            <w:tcW w:w="8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161.0</w:t>
            </w:r>
          </w:p>
        </w:tc>
        <w:tc>
          <w:tcPr>
            <w:tcW w:w="1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129.3</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461.0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392.4</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5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82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763.4</w:t>
            </w:r>
          </w:p>
        </w:tc>
        <w:tc>
          <w:tcPr>
            <w:tcW w:w="1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4"/>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578.2</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2,163.4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500" w:type="dxa"/>
            <w:vAlign w:val="bottom"/>
            <w:tcBorders>
              <w:top w:val="single" w:sz="8" w:color="CCEEFF"/>
            </w:tcBorders>
            <w:gridSpan w:val="2"/>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gridSpan w:val="2"/>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2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gridSpan w:val="4"/>
          </w:tcPr>
          <w:p>
            <w:pPr>
              <w:jc w:val="right"/>
              <w:ind w:right="412"/>
              <w:spacing w:after="0"/>
              <w:rPr>
                <w:sz w:val="20"/>
                <w:szCs w:val="20"/>
                <w:color w:val="auto"/>
              </w:rPr>
            </w:pPr>
            <w:r>
              <w:rPr>
                <w:rFonts w:ascii="Arial" w:cs="Arial" w:eastAsia="Arial" w:hAnsi="Arial"/>
                <w:sz w:val="14"/>
                <w:szCs w:val="14"/>
                <w:b w:val="1"/>
                <w:bCs w:val="1"/>
                <w:color w:val="auto"/>
              </w:rPr>
              <w:t>July 31, 2021</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gridSpan w:val="3"/>
          </w:tcPr>
          <w:p>
            <w:pPr>
              <w:jc w:val="right"/>
              <w:ind w:right="291"/>
              <w:spacing w:after="0"/>
              <w:rPr>
                <w:sz w:val="20"/>
                <w:szCs w:val="20"/>
                <w:color w:val="auto"/>
              </w:rPr>
            </w:pPr>
            <w:r>
              <w:rPr>
                <w:rFonts w:ascii="Arial" w:cs="Arial" w:eastAsia="Arial" w:hAnsi="Arial"/>
                <w:sz w:val="14"/>
                <w:szCs w:val="14"/>
                <w:b w:val="1"/>
                <w:bCs w:val="1"/>
                <w:color w:val="auto"/>
                <w:w w:val="92"/>
              </w:rPr>
              <w:t>October 31, 2020</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7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property, plant and equipment by country of domicile:</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gridSpan w:val="2"/>
          </w:tcPr>
          <w:p>
            <w:pPr>
              <w:ind w:left="660"/>
              <w:spacing w:after="0"/>
              <w:rPr>
                <w:sz w:val="20"/>
                <w:szCs w:val="20"/>
                <w:color w:val="auto"/>
              </w:rPr>
            </w:pPr>
            <w:r>
              <w:rPr>
                <w:rFonts w:ascii="Arial" w:cs="Arial" w:eastAsia="Arial" w:hAnsi="Arial"/>
                <w:sz w:val="18"/>
                <w:szCs w:val="18"/>
                <w:color w:val="auto"/>
              </w:rPr>
              <w:t>United States</w:t>
            </w: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725.1</w:t>
            </w: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721.3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Europe</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376.4</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500" w:type="dxa"/>
            <w:vAlign w:val="bottom"/>
            <w:tcBorders>
              <w:bottom w:val="single" w:sz="8" w:color="CCEEFF"/>
            </w:tcBorders>
            <w:gridSpan w:val="2"/>
          </w:tcPr>
          <w:p>
            <w:pPr>
              <w:ind w:left="660"/>
              <w:spacing w:after="0"/>
              <w:rPr>
                <w:sz w:val="20"/>
                <w:szCs w:val="20"/>
                <w:color w:val="auto"/>
              </w:rPr>
            </w:pPr>
            <w:r>
              <w:rPr>
                <w:rFonts w:ascii="Arial" w:cs="Arial" w:eastAsia="Arial" w:hAnsi="Arial"/>
                <w:sz w:val="18"/>
                <w:szCs w:val="18"/>
                <w:color w:val="auto"/>
              </w:rPr>
              <w:t>Rest of world</w:t>
            </w:r>
          </w:p>
        </w:tc>
        <w:tc>
          <w:tcPr>
            <w:tcW w:w="82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212.8</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5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8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1,314.3</w:t>
            </w: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7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14. Financial Derivatives and Hedging</w:t>
      </w:r>
    </w:p>
    <w:p>
      <w:pPr>
        <w:spacing w:after="0" w:line="25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As part of the Company’s overall risk management practices the Company enters into financial derivatives, interest rate swaps designated as cash flow hedges, to hedge the Company’s exposure to changes in cash flows associated with its variable rate debt.</w:t>
      </w:r>
    </w:p>
    <w:p>
      <w:pPr>
        <w:spacing w:after="0" w:line="19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Company records all derivatives on its Consolidated Condensed Balance Sheets at fair value. The accounting for changes in the fair value of derivatives depends on the intended use of the derivative, whether the Company has elected to designate a derivative in a hedging relationship and apply hedge accounting, and whether the hedging relationship has satisfied the criteria necessary to apply hedge accounting. All of the Company's derivatives have satisfied the criteria necessary to apply hedge accounting.</w:t>
      </w:r>
    </w:p>
    <w:p>
      <w:pPr>
        <w:spacing w:after="0" w:line="200"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The gain or loss on derivative instruments designated and qualifying for cash flow hedge accounting is deferred in other comprehensive income. The changes in fair value for all trades that are not designated for hedge accounting are recognized in current period earnings. Deferred gains or losses from designated cash flow hedges are reclassified into earnings in the period that the hedged interest expense affects earnings. The effectiveness of cash flow hedges is assessed at inception and quarterly thereafter. The Company does not offset fair value amounts recognized for derivative instruments in its Consolidated Condensed Balance Sheets for presentation purposes.</w:t>
      </w:r>
    </w:p>
    <w:p>
      <w:pPr>
        <w:spacing w:after="0" w:line="201"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Credit risk related to derivative transactions reflects the risk that a party to the transaction could fail to meet its obligation under the derivative contracts. Therefore, the Company’s exposure to the counterparty’s credit risk is generally limited to the amounts, if any, by which the counterparty’s obligations to the Company exceed the Company’s obligations to the counterparty. The Company’s policy is to enter into contracts only with financial institutions which meet certain minimum credit ratings to help mitigate counterparty credit risk.</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color w:val="auto"/>
        </w:rPr>
        <w:t>As of October 31, 2020, the Company had five outstanding derivatives designated as hedging instruments. One of the contracts matured on April 1, 2021.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of July 31, 2021, the Company had the following outstanding derivatives designated as hedging instruments: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(In millions, except for number of instruments)</w:t>
            </w:r>
          </w:p>
        </w:tc>
        <w:tc>
          <w:tcPr>
            <w:tcW w:w="1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Number of Instruments</w:t>
            </w:r>
          </w:p>
        </w:tc>
        <w:tc>
          <w:tcPr>
            <w:tcW w:w="240" w:type="dxa"/>
            <w:vAlign w:val="bottom"/>
          </w:tcPr>
          <w:p>
            <w:pPr>
              <w:spacing w:after="0"/>
              <w:rPr>
                <w:sz w:val="16"/>
                <w:szCs w:val="16"/>
                <w:color w:val="auto"/>
              </w:rPr>
            </w:pPr>
          </w:p>
        </w:tc>
        <w:tc>
          <w:tcPr>
            <w:tcW w:w="1380" w:type="dxa"/>
            <w:vAlign w:val="bottom"/>
          </w:tcPr>
          <w:p>
            <w:pPr>
              <w:jc w:val="right"/>
              <w:ind w:right="279"/>
              <w:spacing w:after="0"/>
              <w:rPr>
                <w:sz w:val="20"/>
                <w:szCs w:val="20"/>
                <w:color w:val="auto"/>
              </w:rPr>
            </w:pPr>
            <w:r>
              <w:rPr>
                <w:rFonts w:ascii="Arial" w:cs="Arial" w:eastAsia="Arial" w:hAnsi="Arial"/>
                <w:sz w:val="14"/>
                <w:szCs w:val="14"/>
                <w:b w:val="1"/>
                <w:bCs w:val="1"/>
                <w:color w:val="auto"/>
              </w:rPr>
              <w:t>Notional Value</w:t>
            </w:r>
          </w:p>
        </w:tc>
      </w:tr>
      <w:tr>
        <w:trPr>
          <w:trHeight w:val="229"/>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Swap Contracts</w:t>
            </w:r>
          </w:p>
        </w:tc>
        <w:tc>
          <w:tcPr>
            <w:tcW w:w="1620" w:type="dxa"/>
            <w:vAlign w:val="bottom"/>
            <w:tcBorders>
              <w:top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rPr>
              <w:t>4</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r>
      <w:tr>
        <w:trPr>
          <w:trHeight w:val="432"/>
        </w:trPr>
        <w:tc>
          <w:tcPr>
            <w:tcW w:w="7860" w:type="dxa"/>
            <w:vAlign w:val="bottom"/>
          </w:tcPr>
          <w:p>
            <w:pPr>
              <w:spacing w:after="0"/>
              <w:rPr>
                <w:sz w:val="20"/>
                <w:szCs w:val="20"/>
                <w:color w:val="auto"/>
              </w:rPr>
            </w:pPr>
            <w:r>
              <w:rPr>
                <w:rFonts w:ascii="Arial" w:cs="Arial" w:eastAsia="Arial" w:hAnsi="Arial"/>
                <w:sz w:val="18"/>
                <w:szCs w:val="18"/>
                <w:color w:val="auto"/>
              </w:rPr>
              <w:t>These contracts have remaining maturities of six years or less.</w:t>
            </w:r>
          </w:p>
        </w:tc>
        <w:tc>
          <w:tcPr>
            <w:tcW w:w="1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pre-tax impact of loss on derivatives designated for hedge accounting recognized in other comprehensive income was $2.9 million ($2.2 million, net of tax) as of July 31, 2021.</w:t>
      </w:r>
    </w:p>
    <w:p>
      <w:pPr>
        <w:spacing w:after="0" w:line="18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summarizes the fair values of derivative instruments as of the periods indicated and the line items in the accompanying Consolidated Condensed Balance Sheets where the instruments are recorded: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4"/>
                <w:szCs w:val="14"/>
                <w:b w:val="1"/>
                <w:bCs w:val="1"/>
                <w:color w:val="auto"/>
              </w:rPr>
              <w:t>Derivative Liabilities</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188"/>
        </w:trPr>
        <w:tc>
          <w:tcPr>
            <w:tcW w:w="20" w:type="dxa"/>
            <w:vAlign w:val="bottom"/>
            <w:tcBorders>
              <w:bottom w:val="single" w:sz="8" w:color="CCEEFF"/>
            </w:tcBorders>
          </w:tcPr>
          <w:p>
            <w:pPr>
              <w:spacing w:after="0"/>
              <w:rPr>
                <w:sz w:val="16"/>
                <w:szCs w:val="16"/>
                <w:color w:val="auto"/>
              </w:rPr>
            </w:pPr>
          </w:p>
        </w:tc>
        <w:tc>
          <w:tcPr>
            <w:tcW w:w="45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color w:val="auto"/>
              </w:rPr>
              <w:t>(In millions)</w:t>
            </w:r>
          </w:p>
        </w:tc>
        <w:tc>
          <w:tcPr>
            <w:tcW w:w="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July 31, 2021</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8"/>
              </w:rPr>
              <w:t>October 31, 2020</w:t>
            </w:r>
          </w:p>
        </w:tc>
      </w:tr>
      <w:tr>
        <w:trPr>
          <w:trHeight w:val="143"/>
        </w:trPr>
        <w:tc>
          <w:tcPr>
            <w:tcW w:w="20" w:type="dxa"/>
            <w:vAlign w:val="bottom"/>
            <w:shd w:val="clear" w:color="auto" w:fill="CCEEFF"/>
          </w:tcPr>
          <w:p>
            <w:pPr>
              <w:spacing w:after="0"/>
              <w:rPr>
                <w:sz w:val="12"/>
                <w:szCs w:val="12"/>
                <w:color w:val="auto"/>
              </w:rPr>
            </w:pPr>
          </w:p>
        </w:tc>
        <w:tc>
          <w:tcPr>
            <w:tcW w:w="262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w w:val="88"/>
              </w:rPr>
              <w:t>Derivatives designated as cash flow hedges</w:t>
            </w:r>
          </w:p>
        </w:tc>
        <w:tc>
          <w:tcPr>
            <w:tcW w:w="19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34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Balance sheet location</w:t>
            </w: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auto"/>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auto"/>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Interest rate swap contracts</w:t>
            </w:r>
          </w:p>
        </w:tc>
        <w:tc>
          <w:tcPr>
            <w:tcW w:w="1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Other current liabilities</w:t>
            </w:r>
          </w:p>
        </w:tc>
        <w:tc>
          <w:tcPr>
            <w:tcW w:w="2300" w:type="dxa"/>
            <w:vAlign w:val="bottom"/>
            <w:gridSpan w:val="3"/>
          </w:tcPr>
          <w:p>
            <w:pPr>
              <w:jc w:val="right"/>
              <w:ind w:right="1019"/>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5"/>
              </w:rPr>
              <w:t>0.1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30"/>
        </w:trPr>
        <w:tc>
          <w:tcPr>
            <w:tcW w:w="20" w:type="dxa"/>
            <w:vAlign w:val="bottom"/>
            <w:shd w:val="clear" w:color="auto" w:fill="CCEEFF"/>
          </w:tcPr>
          <w:p>
            <w:pPr>
              <w:spacing w:after="0"/>
              <w:rPr>
                <w:sz w:val="19"/>
                <w:szCs w:val="19"/>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 swap contracts</w:t>
            </w:r>
          </w:p>
        </w:tc>
        <w:tc>
          <w:tcPr>
            <w:tcW w:w="23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23"/>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Borders>
              <w:bottom w:val="single" w:sz="8" w:color="auto"/>
            </w:tcBorders>
          </w:tcPr>
          <w:p>
            <w:pPr>
              <w:jc w:val="right"/>
              <w:ind w:right="1019"/>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r>
      <w:tr>
        <w:trPr>
          <w:trHeight w:val="21"/>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amounts recognized with respect to our derivative instruments within the accompanying Consolidated Statements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Income and Comprehensive Income: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620" w:type="dxa"/>
            <w:vAlign w:val="bottom"/>
          </w:tcPr>
          <w:p>
            <w:pPr>
              <w:spacing w:after="0"/>
              <w:rPr>
                <w:sz w:val="20"/>
                <w:szCs w:val="20"/>
                <w:color w:val="auto"/>
              </w:rPr>
            </w:pPr>
            <w:r>
              <w:rPr>
                <w:rFonts w:ascii="Arial" w:cs="Arial" w:eastAsia="Arial" w:hAnsi="Arial"/>
                <w:sz w:val="14"/>
                <w:szCs w:val="14"/>
                <w:b w:val="1"/>
                <w:bCs w:val="1"/>
                <w:color w:val="auto"/>
              </w:rPr>
              <w:t>Periods Ended July 31,</w:t>
            </w:r>
          </w:p>
        </w:tc>
        <w:tc>
          <w:tcPr>
            <w:tcW w:w="12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Three Months</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Nine Months</w:t>
            </w:r>
          </w:p>
        </w:tc>
        <w:tc>
          <w:tcPr>
            <w:tcW w:w="700" w:type="dxa"/>
            <w:vAlign w:val="bottom"/>
            <w:tcBorders>
              <w:bottom w:val="single" w:sz="8" w:color="auto"/>
            </w:tcBorders>
          </w:tcPr>
          <w:p>
            <w:pPr>
              <w:spacing w:after="0"/>
              <w:rPr>
                <w:sz w:val="16"/>
                <w:szCs w:val="16"/>
                <w:color w:val="auto"/>
              </w:rPr>
            </w:pPr>
          </w:p>
        </w:tc>
      </w:tr>
      <w:tr>
        <w:trPr>
          <w:trHeight w:val="188"/>
        </w:trPr>
        <w:tc>
          <w:tcPr>
            <w:tcW w:w="20" w:type="dxa"/>
            <w:vAlign w:val="bottom"/>
            <w:tcBorders>
              <w:bottom w:val="single" w:sz="8" w:color="CCEEFF"/>
            </w:tcBorders>
          </w:tcPr>
          <w:p>
            <w:pPr>
              <w:spacing w:after="0"/>
              <w:rPr>
                <w:sz w:val="16"/>
                <w:szCs w:val="16"/>
                <w:color w:val="auto"/>
              </w:rPr>
            </w:pPr>
          </w:p>
        </w:tc>
        <w:tc>
          <w:tcPr>
            <w:tcW w:w="26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millions)</w:t>
            </w:r>
          </w:p>
        </w:tc>
        <w:tc>
          <w:tcPr>
            <w:tcW w:w="1220" w:type="dxa"/>
            <w:vAlign w:val="bottom"/>
            <w:tcBorders>
              <w:bottom w:val="single" w:sz="8" w:color="CCEEFF"/>
            </w:tcBorders>
          </w:tcPr>
          <w:p>
            <w:pPr>
              <w:spacing w:after="0"/>
              <w:rPr>
                <w:sz w:val="16"/>
                <w:szCs w:val="16"/>
                <w:color w:val="auto"/>
              </w:rPr>
            </w:pPr>
          </w:p>
        </w:tc>
        <w:tc>
          <w:tcPr>
            <w:tcW w:w="26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w w:val="83"/>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w w:val="96"/>
              </w:rPr>
              <w:t>2020</w:t>
            </w:r>
          </w:p>
        </w:tc>
      </w:tr>
      <w:tr>
        <w:trPr>
          <w:trHeight w:val="130"/>
        </w:trPr>
        <w:tc>
          <w:tcPr>
            <w:tcW w:w="20" w:type="dxa"/>
            <w:vAlign w:val="bottom"/>
            <w:shd w:val="clear" w:color="auto" w:fill="CCEEFF"/>
          </w:tcPr>
          <w:p>
            <w:pPr>
              <w:spacing w:after="0"/>
              <w:rPr>
                <w:sz w:val="11"/>
                <w:szCs w:val="11"/>
                <w:color w:val="auto"/>
              </w:rPr>
            </w:pPr>
          </w:p>
        </w:tc>
        <w:tc>
          <w:tcPr>
            <w:tcW w:w="2620" w:type="dxa"/>
            <w:vAlign w:val="bottom"/>
            <w:shd w:val="clear" w:color="auto" w:fill="CCEEFF"/>
          </w:tcPr>
          <w:p>
            <w:pPr>
              <w:spacing w:after="0" w:line="130" w:lineRule="exact"/>
              <w:rPr>
                <w:sz w:val="20"/>
                <w:szCs w:val="20"/>
                <w:color w:val="auto"/>
              </w:rPr>
            </w:pPr>
            <w:r>
              <w:rPr>
                <w:rFonts w:ascii="Arial" w:cs="Arial" w:eastAsia="Arial" w:hAnsi="Arial"/>
                <w:sz w:val="14"/>
                <w:szCs w:val="14"/>
                <w:b w:val="1"/>
                <w:bCs w:val="1"/>
                <w:color w:val="auto"/>
                <w:w w:val="88"/>
              </w:rPr>
              <w:t>Derivatives designated as cash flow hedges</w:t>
            </w:r>
          </w:p>
        </w:tc>
        <w:tc>
          <w:tcPr>
            <w:tcW w:w="1220" w:type="dxa"/>
            <w:vAlign w:val="bottom"/>
            <w:shd w:val="clear" w:color="auto" w:fill="CCEEFF"/>
          </w:tcPr>
          <w:p>
            <w:pPr>
              <w:spacing w:after="0"/>
              <w:rPr>
                <w:sz w:val="11"/>
                <w:szCs w:val="11"/>
                <w:color w:val="auto"/>
              </w:rPr>
            </w:pPr>
          </w:p>
        </w:tc>
        <w:tc>
          <w:tcPr>
            <w:tcW w:w="2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b w:val="1"/>
                <w:bCs w:val="1"/>
                <w:color w:val="auto"/>
                <w:w w:val="94"/>
              </w:rPr>
              <w:t>Location of Loss Recognized on Derivatives</w:t>
            </w:r>
          </w:p>
        </w:tc>
        <w:tc>
          <w:tcPr>
            <w:tcW w:w="6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auto"/>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6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Interest rate swap contracts</w:t>
            </w:r>
          </w:p>
        </w:tc>
        <w:tc>
          <w:tcPr>
            <w:tcW w:w="4020" w:type="dxa"/>
            <w:vAlign w:val="bottom"/>
            <w:gridSpan w:val="3"/>
          </w:tcPr>
          <w:p>
            <w:pPr>
              <w:ind w:left="1120"/>
              <w:spacing w:after="0"/>
              <w:rPr>
                <w:sz w:val="20"/>
                <w:szCs w:val="20"/>
                <w:color w:val="auto"/>
              </w:rPr>
            </w:pPr>
            <w:r>
              <w:rPr>
                <w:rFonts w:ascii="Arial" w:cs="Arial" w:eastAsia="Arial" w:hAnsi="Arial"/>
                <w:sz w:val="18"/>
                <w:szCs w:val="18"/>
                <w:color w:val="auto"/>
              </w:rPr>
              <w:t>Interest expense</w:t>
            </w:r>
          </w:p>
        </w:tc>
        <w:tc>
          <w:tcPr>
            <w:tcW w:w="680" w:type="dxa"/>
            <w:vAlign w:val="bottom"/>
          </w:tcPr>
          <w:p>
            <w:pPr>
              <w:jc w:val="right"/>
              <w:ind w:right="479"/>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w:t>
            </w:r>
          </w:p>
        </w:tc>
      </w:tr>
    </w:tbl>
    <w:p>
      <w:pPr>
        <w:spacing w:after="0" w:line="295"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The Company expects that $6.7 million recorded as a component of accumulated other comprehensive income (loss) will be realized in the Consolidated Statements of Income and Comprehensive Income over the next twelve months and the amount will vary depending on prevailing interest rates.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changes in accumulated other comprehensive income: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Amount</w:t>
            </w:r>
          </w:p>
        </w:tc>
      </w:tr>
      <w:tr>
        <w:trPr>
          <w:trHeight w:val="229"/>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 loss as of October 31, 2020</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30"/>
        </w:trPr>
        <w:tc>
          <w:tcPr>
            <w:tcW w:w="9780" w:type="dxa"/>
            <w:vAlign w:val="bottom"/>
          </w:tcPr>
          <w:p>
            <w:pPr>
              <w:ind w:left="20"/>
              <w:spacing w:after="0"/>
              <w:rPr>
                <w:sz w:val="20"/>
                <w:szCs w:val="20"/>
                <w:color w:val="auto"/>
              </w:rPr>
            </w:pPr>
            <w:r>
              <w:rPr>
                <w:rFonts w:ascii="Arial" w:cs="Arial" w:eastAsia="Arial" w:hAnsi="Arial"/>
                <w:sz w:val="18"/>
                <w:szCs w:val="18"/>
                <w:color w:val="auto"/>
              </w:rPr>
              <w:t>Amount recognized in other comprehensive income on interest rate swap contracts, gross ($6.2 million, net of tax)</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30"/>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 reclassified from other comprehensive income into earnings, gross ($4.6 million, net of tax)</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23"/>
        </w:trPr>
        <w:tc>
          <w:tcPr>
            <w:tcW w:w="9780" w:type="dxa"/>
            <w:vAlign w:val="bottom"/>
          </w:tcPr>
          <w:p>
            <w:pPr>
              <w:ind w:left="20"/>
              <w:spacing w:after="0"/>
              <w:rPr>
                <w:sz w:val="20"/>
                <w:szCs w:val="20"/>
                <w:color w:val="auto"/>
              </w:rPr>
            </w:pPr>
            <w:r>
              <w:rPr>
                <w:rFonts w:ascii="Arial" w:cs="Arial" w:eastAsia="Arial" w:hAnsi="Arial"/>
                <w:sz w:val="18"/>
                <w:szCs w:val="18"/>
                <w:color w:val="auto"/>
              </w:rPr>
              <w:t>Ending balance loss as of July 31, 2021</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9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and Results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Note numbers refer to “Notes to Consolidated Condensed Financial Statements” in Item 1. Unaudited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This Quarterly Report on Form 10-Q contains “forward-looking statements” within the meaning of Section 27A of the Securities Act of 1933, Section 21E of the Securities Exchange Act of 1934 and the Private Securities Litigation Reform Act of 1995. These include statements relating to plans, prospects, goals, strategies, future actions, events or performance and other statements which are other than statements of historical fact, including all statements regarding the expected impact of the ongoing Coronavirus disease 2019 (COVID-19) pandemic on our business; and statements regarding acquisitions including the acquired companies' financial position, market position, product development and business strategy, expected cost synergies, expected timing and benefits of the transaction, difficulties in integrating entities or operations, as well as estimates of our and the acquired entities' future expenses, sales and earnings per share are forward-looking. In addition, all statements regarding anticipated growth in our net sales, anticipated effects of any product recalls, anticipated market conditions, planned product launches and expected results of operations and integration of any acquisition are forward-looking. To identify these statements, look for words like “believes,” “outlook,” “probable,” “expects,” “may,” “will,” “should,” “could,” “seeks,” “intends,” “plans,” “estimates” or “anticipates” and similar words or phrases. Forward-looking statements necessarily depend on assumptions, data or methods that may be incorrect or imprecise and are subject to risks and uncertainties. Among the factors that could cause our actual results and future actions to differ materially from those described in forward-looking statements are:</w:t>
      </w:r>
    </w:p>
    <w:p>
      <w:pPr>
        <w:spacing w:after="0" w:line="125" w:lineRule="exact"/>
        <w:rPr>
          <w:sz w:val="20"/>
          <w:szCs w:val="20"/>
          <w:color w:val="auto"/>
        </w:rPr>
      </w:pPr>
    </w:p>
    <w:p>
      <w:pPr>
        <w:ind w:left="660" w:right="220" w:hanging="652"/>
        <w:spacing w:after="0" w:line="342"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effects of the ongoing COVID-19 pandemic and related economic disruptions and new governmental regulations on our business, results of operations, cash flow and financial condition, including but not limited to the potential impact on our sales, operations and supply chain.</w:t>
      </w:r>
    </w:p>
    <w:p>
      <w:pPr>
        <w:spacing w:after="0" w:line="69" w:lineRule="exact"/>
        <w:rPr>
          <w:rFonts w:ascii="Arial" w:cs="Arial" w:eastAsia="Arial" w:hAnsi="Arial"/>
          <w:sz w:val="16"/>
          <w:szCs w:val="16"/>
          <w:color w:val="auto"/>
        </w:rPr>
      </w:pPr>
    </w:p>
    <w:p>
      <w:pPr>
        <w:ind w:left="660" w:right="100" w:hanging="652"/>
        <w:spacing w:after="0" w:line="259"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changes in the global or regional general business, political and economic conditions, including the impact of continuing uncertainty and instability of certain countries, that could adversely affect our global markets, and the potential adverse economic impact and related uncertainty caused by these items, including but not limited to, the ongoing COVID-19 pandemic, and escalating global trade barriers, including additional tariffs, by countries such as China.</w:t>
      </w:r>
    </w:p>
    <w:p>
      <w:pPr>
        <w:spacing w:after="0" w:line="132" w:lineRule="exact"/>
        <w:rPr>
          <w:rFonts w:ascii="Arial" w:cs="Arial" w:eastAsia="Arial" w:hAnsi="Arial"/>
          <w:sz w:val="18"/>
          <w:szCs w:val="18"/>
          <w:color w:val="auto"/>
        </w:rPr>
      </w:pPr>
    </w:p>
    <w:p>
      <w:pPr>
        <w:ind w:left="660" w:hanging="652"/>
        <w:spacing w:after="0" w:line="26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tax laws or their interpretation, changes in statutory tax rates, and adverse outcomes in tax disputes including but not limited to, the United States, the United Kingdom and other countries may affect our taxation of earnings recognized in foreign jurisdictions, result in unexpected tax liabilities, and/or negatively impact our effective tax rate.</w:t>
      </w:r>
    </w:p>
    <w:p>
      <w:pPr>
        <w:spacing w:after="0" w:line="129" w:lineRule="exact"/>
        <w:rPr>
          <w:rFonts w:ascii="Arial" w:cs="Arial" w:eastAsia="Arial" w:hAnsi="Arial"/>
          <w:sz w:val="18"/>
          <w:szCs w:val="18"/>
          <w:color w:val="auto"/>
        </w:rPr>
      </w:pPr>
    </w:p>
    <w:p>
      <w:pPr>
        <w:ind w:left="660" w:right="260" w:hanging="652"/>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Foreign currency exchange rate and interest rate fluctuations including the risk of fluctuations in the value of foreign currencies or interest rates that would decrease our net sales and earnings.</w:t>
      </w:r>
    </w:p>
    <w:p>
      <w:pPr>
        <w:spacing w:after="0" w:line="116" w:lineRule="exact"/>
        <w:rPr>
          <w:rFonts w:ascii="Arial" w:cs="Arial" w:eastAsia="Arial" w:hAnsi="Arial"/>
          <w:sz w:val="18"/>
          <w:szCs w:val="18"/>
          <w:color w:val="auto"/>
        </w:rPr>
      </w:pPr>
    </w:p>
    <w:p>
      <w:pPr>
        <w:ind w:left="660" w:right="160" w:hanging="652"/>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existing and future variable rate indebtedness and associated interest expense is impacted by rate increases, which could adversely affect our financial health or limit our ability to borrow additional funds.</w:t>
      </w:r>
    </w:p>
    <w:p>
      <w:pPr>
        <w:spacing w:after="0" w:line="116" w:lineRule="exact"/>
        <w:rPr>
          <w:rFonts w:ascii="Arial" w:cs="Arial" w:eastAsia="Arial" w:hAnsi="Arial"/>
          <w:sz w:val="18"/>
          <w:szCs w:val="18"/>
          <w:color w:val="auto"/>
        </w:rPr>
      </w:pPr>
    </w:p>
    <w:p>
      <w:pPr>
        <w:ind w:left="660" w:right="80" w:hanging="652"/>
        <w:spacing w:after="0" w:line="255"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Acquisition-related adverse effects including the failure to successfully achieve the anticipated net sales, margins and earnings benefits of acquisitions, integration delays or costs and the requirement to record significant adjustments to the preliminary fair value of assets acquired and liabilities assumed within the measurement period, required regulatory approvals for an acquisition not being obtained or being delayed or subject to conditions that are not anticipated, adverse impacts of changes to accounting controls and reporting procedures, contingent liabilities or indemnification obligations, increased leverage and lack of access to available financing (including financing for the acquisition or refinancing of debt owed by us on a timely basis and on reasonable terms).</w:t>
      </w:r>
    </w:p>
    <w:p>
      <w:pPr>
        <w:spacing w:after="0" w:line="138" w:lineRule="exact"/>
        <w:rPr>
          <w:rFonts w:ascii="Arial" w:cs="Arial" w:eastAsia="Arial" w:hAnsi="Arial"/>
          <w:sz w:val="18"/>
          <w:szCs w:val="18"/>
          <w:color w:val="auto"/>
        </w:rPr>
      </w:pPr>
    </w:p>
    <w:p>
      <w:pPr>
        <w:jc w:val="both"/>
        <w:ind w:left="660" w:right="520" w:hanging="652"/>
        <w:spacing w:after="0" w:line="26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changes in global political and economic conditions, and related uncertainty caused by the United Kingdom’s withdrawal from the European Union (EU) and its potential impact on, among other things, the movement of goods and materials in our supply chain, additional regulatory approvals and requirements, and increased tariffs and duties.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362" w:lineRule="exact"/>
        <w:rPr>
          <w:sz w:val="20"/>
          <w:szCs w:val="20"/>
          <w:color w:val="auto"/>
        </w:rPr>
      </w:pPr>
    </w:p>
    <w:p>
      <w:pPr>
        <w:ind w:left="660" w:right="80" w:hanging="652"/>
        <w:spacing w:after="0" w:line="286" w:lineRule="auto"/>
        <w:tabs>
          <w:tab w:leader="none" w:pos="655" w:val="left"/>
        </w:tabs>
        <w:numPr>
          <w:ilvl w:val="0"/>
          <w:numId w:val="5"/>
        </w:numPr>
        <w:rPr>
          <w:rFonts w:ascii="Arial" w:cs="Arial" w:eastAsia="Arial" w:hAnsi="Arial"/>
          <w:sz w:val="17"/>
          <w:szCs w:val="17"/>
          <w:color w:val="auto"/>
        </w:rPr>
      </w:pPr>
      <w:r>
        <w:rPr>
          <w:rFonts w:ascii="Arial" w:cs="Arial" w:eastAsia="Arial" w:hAnsi="Arial"/>
          <w:sz w:val="17"/>
          <w:szCs w:val="17"/>
          <w:color w:val="auto"/>
        </w:rPr>
        <w:t>Compliance costs and potential liability in connection with U.S. and foreign laws and health care regulations pertaining to privacy and security of personal information, such as HIPAA and the California Consumer Privacy Act (CCPA) in the United States and the General Data Protection Regulation requirements in Europe, including but not limited to those resulting from data security breaches.</w:t>
      </w:r>
    </w:p>
    <w:p>
      <w:pPr>
        <w:spacing w:after="0" w:line="111" w:lineRule="exact"/>
        <w:rPr>
          <w:rFonts w:ascii="Arial" w:cs="Arial" w:eastAsia="Arial" w:hAnsi="Arial"/>
          <w:sz w:val="17"/>
          <w:szCs w:val="17"/>
          <w:color w:val="auto"/>
        </w:rPr>
      </w:pPr>
    </w:p>
    <w:p>
      <w:pPr>
        <w:ind w:left="660" w:right="80" w:hanging="652"/>
        <w:spacing w:after="0" w:line="263"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 major disruption in the operations of our manufacturing, accounting and financial reporting, research and development, distribution facilities or raw material supply chain due to the ongoing COVID-19 pandemic, integration of acquisitions, man-made or natural disasters, cybersecurity incidents or other causes.</w:t>
      </w:r>
    </w:p>
    <w:p>
      <w:pPr>
        <w:spacing w:after="0" w:line="129" w:lineRule="exact"/>
        <w:rPr>
          <w:rFonts w:ascii="Arial" w:cs="Arial" w:eastAsia="Arial" w:hAnsi="Arial"/>
          <w:sz w:val="18"/>
          <w:szCs w:val="18"/>
          <w:color w:val="auto"/>
        </w:rPr>
      </w:pPr>
    </w:p>
    <w:p>
      <w:pPr>
        <w:ind w:left="660" w:right="120" w:hanging="652"/>
        <w:spacing w:after="0" w:line="263"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 major disruption in the operations of our manufacturing, accounting and financial reporting, research and development or distribution facilities due to technological problems, including any related to our information systems maintenance, enhancements or new system deployments, integrations or upgrades.</w:t>
      </w:r>
    </w:p>
    <w:p>
      <w:pPr>
        <w:spacing w:after="0" w:line="129" w:lineRule="exact"/>
        <w:rPr>
          <w:rFonts w:ascii="Arial" w:cs="Arial" w:eastAsia="Arial" w:hAnsi="Arial"/>
          <w:sz w:val="18"/>
          <w:szCs w:val="18"/>
          <w:color w:val="auto"/>
        </w:rPr>
      </w:pPr>
    </w:p>
    <w:p>
      <w:pPr>
        <w:ind w:left="660" w:right="100" w:hanging="652"/>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Market consolidation of large customers globally through mergers or acquisitions resulting in a larger proportion or concentration of our business being derived from fewer customers.</w:t>
      </w:r>
    </w:p>
    <w:p>
      <w:pPr>
        <w:spacing w:after="0" w:line="116"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Disruptions in supplies of raw materials, particularly components used to manufacture our silicone hydrogel lenses.</w:t>
      </w:r>
    </w:p>
    <w:p>
      <w:pPr>
        <w:spacing w:after="0" w:line="171" w:lineRule="exact"/>
        <w:rPr>
          <w:rFonts w:ascii="Arial" w:cs="Arial" w:eastAsia="Arial" w:hAnsi="Arial"/>
          <w:sz w:val="18"/>
          <w:szCs w:val="18"/>
          <w:color w:val="auto"/>
        </w:rPr>
      </w:pPr>
    </w:p>
    <w:p>
      <w:pPr>
        <w:ind w:left="660" w:hanging="652"/>
        <w:spacing w:after="0" w:line="259"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 U.S. and foreign government laws and regulations, and changes in existing laws, regulations and enforcement guidance, which affect areas of our operations including, but not limited to, those affecting the health care industry, including the contact lens industry specifically and the medical device or pharmaceutical industries generally, including but not limited to the EU Medical Devices Regulation, and the EU In Vitro Diagnostic Medical Devices Regulation.</w:t>
      </w:r>
    </w:p>
    <w:p>
      <w:pPr>
        <w:spacing w:after="0" w:line="132" w:lineRule="exact"/>
        <w:rPr>
          <w:rFonts w:ascii="Arial" w:cs="Arial" w:eastAsia="Arial" w:hAnsi="Arial"/>
          <w:sz w:val="18"/>
          <w:szCs w:val="18"/>
          <w:color w:val="auto"/>
        </w:rPr>
      </w:pPr>
    </w:p>
    <w:p>
      <w:pPr>
        <w:ind w:left="660" w:right="560" w:hanging="652"/>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Legal costs, insurance expenses, settlement costs and the risk of an adverse decision, prohibitive injunction or settlement related to product liability, patent infringement or other litigation.</w:t>
      </w:r>
    </w:p>
    <w:p>
      <w:pPr>
        <w:spacing w:after="0" w:line="116"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Limitations on sales following product introductions due to poor market acceptance.</w:t>
      </w:r>
    </w:p>
    <w:p>
      <w:pPr>
        <w:spacing w:after="0" w:line="171" w:lineRule="exact"/>
        <w:rPr>
          <w:rFonts w:ascii="Arial" w:cs="Arial" w:eastAsia="Arial" w:hAnsi="Arial"/>
          <w:sz w:val="18"/>
          <w:szCs w:val="18"/>
          <w:color w:val="auto"/>
        </w:rPr>
      </w:pPr>
    </w:p>
    <w:p>
      <w:pPr>
        <w:ind w:left="660" w:right="360" w:hanging="652"/>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 competitors, product innovations or technologies, including but not limited to, technological advances by competitors, new products and patents attained by competitors, and competitors' expansion through acquisitions.</w:t>
      </w:r>
    </w:p>
    <w:p>
      <w:pPr>
        <w:spacing w:after="0" w:line="116"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Reduced sales, loss of customers and costs and expenses related to product recalls and warning letters.</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receive, or delays in receiving, regulatory approvals for products.</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Failure of our customers and end users to obtain adequate coverage and reimbursement from third-party payors for our products and services.</w:t>
      </w:r>
    </w:p>
    <w:p>
      <w:pPr>
        <w:spacing w:after="0" w:line="194" w:lineRule="exact"/>
        <w:rPr>
          <w:rFonts w:ascii="Arial" w:cs="Arial" w:eastAsia="Arial" w:hAnsi="Arial"/>
          <w:sz w:val="16"/>
          <w:szCs w:val="16"/>
          <w:color w:val="auto"/>
        </w:rPr>
      </w:pPr>
    </w:p>
    <w:p>
      <w:pPr>
        <w:ind w:left="660" w:right="320" w:hanging="652"/>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requirement to provide for a significant liability or to write off, or accelerate depreciation on, a significant asset, including goodwill, other intangible assets and idle manufacturing facilities and equipment.</w:t>
      </w:r>
    </w:p>
    <w:p>
      <w:pPr>
        <w:spacing w:after="0" w:line="116"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success of our research and development activities and other start-up projects.</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Dilution to earnings per share from acquisitions or issuing stock.</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Impact and costs incurred from changes in accounting standards and policies.</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Environmental risks, including increasing environmental legislation and the broader impacts of climate change.</w:t>
      </w:r>
    </w:p>
    <w:p>
      <w:pPr>
        <w:spacing w:after="0" w:line="171" w:lineRule="exact"/>
        <w:rPr>
          <w:rFonts w:ascii="Arial" w:cs="Arial" w:eastAsia="Arial" w:hAnsi="Arial"/>
          <w:sz w:val="18"/>
          <w:szCs w:val="18"/>
          <w:color w:val="auto"/>
        </w:rPr>
      </w:pPr>
    </w:p>
    <w:p>
      <w:pPr>
        <w:ind w:left="660" w:right="40" w:hanging="652"/>
        <w:spacing w:after="0" w:line="263"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events described in our Securities and Exchange Commission filings, including the “Business” and “Risk Factors” sections in our Annual Report on Form 10-K for the fiscal year ended October 31, 2020, as such Risk Factors may be updated in quarterly filings including updates made in this filing.</w:t>
      </w:r>
    </w:p>
    <w:p>
      <w:pPr>
        <w:spacing w:after="0" w:line="13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We caution investors that forward-looking statements reflect our analysis only on their stated date. We disclaim any intent to update them except as required by law.</w:t>
      </w:r>
    </w:p>
    <w:p>
      <w:pPr>
        <w:sectPr>
          <w:pgSz w:w="11900" w:h="16838" w:orient="portrait"/>
          <w:cols w:equalWidth="0" w:num="1">
            <w:col w:w="11220"/>
          </w:cols>
          <w:pgMar w:left="320" w:top="36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type w:val="continuous"/>
        </w:sectPr>
      </w:pPr>
    </w:p>
    <w:bookmarkStart w:id="24" w:name="page25"/>
    <w:bookmarkEnd w:id="24"/>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and Results of Operations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this section, we discuss the results of our operations for the third quarter of fiscal 2021 ended July 31, 2021 and the nine months then ended and compare them with the same periods of fiscal 2020. We discuss our cash flows and current financial condition under “Capital Resources and Liquidity.” Within the tables presented, percentages are calculated based on the underlying whole-dollar amounts and, therefore, may not recalculate exactly from the rounded numbers used for disclosure purposes.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56"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The succeeding sections of Management’s Discussion and Analysis (MD&amp;A) may include certain financial measures that are not defined by accounting principles generally accepted in the United States (GAAP). These measures, which are referred to as non-GAAP measures, are listed below:</w:t>
      </w:r>
    </w:p>
    <w:p>
      <w:pPr>
        <w:spacing w:after="0" w:line="70"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Free Cash Flow </w:t>
      </w:r>
      <w:r>
        <w:rPr>
          <w:rFonts w:ascii="Arial" w:cs="Arial" w:eastAsia="Arial" w:hAnsi="Arial"/>
          <w:sz w:val="18"/>
          <w:szCs w:val="18"/>
          <w:color w:val="auto"/>
        </w:rPr>
        <w:t>- Free cash flow is calculated as net cash provided by operating activities less capital expenditures.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Constant currency </w:t>
      </w:r>
      <w:r>
        <w:rPr>
          <w:rFonts w:ascii="Arial" w:cs="Arial" w:eastAsia="Arial" w:hAnsi="Arial"/>
          <w:sz w:val="18"/>
          <w:szCs w:val="18"/>
          <w:color w:val="auto"/>
        </w:rPr>
        <w:t>- Constant currency is defined as excluding the effect of foreign currency fluctuations.</w:t>
      </w:r>
    </w:p>
    <w:p>
      <w:pPr>
        <w:spacing w:after="0" w:line="171"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For a discussion of these measures and the reasons management believes they are useful to investors, refer to “Summary of Non-GAAP Financial Measures” below. To the extent applicable, this MD&amp;A includes reconciliations of these non-GAAP measures to the most directly comparable financial measures calculated and presented in accordance with GAAP.</w:t>
      </w:r>
    </w:p>
    <w:p>
      <w:pPr>
        <w:spacing w:after="0" w:line="211" w:lineRule="exact"/>
        <w:rPr>
          <w:sz w:val="20"/>
          <w:szCs w:val="20"/>
          <w:color w:val="auto"/>
        </w:rPr>
      </w:pPr>
    </w:p>
    <w:p>
      <w:pPr>
        <w:jc w:val="both"/>
        <w:ind w:right="620"/>
        <w:spacing w:after="0" w:line="263" w:lineRule="auto"/>
        <w:rPr>
          <w:sz w:val="20"/>
          <w:szCs w:val="20"/>
          <w:color w:val="auto"/>
        </w:rPr>
      </w:pPr>
      <w:r>
        <w:rPr>
          <w:rFonts w:ascii="Arial" w:cs="Arial" w:eastAsia="Arial" w:hAnsi="Arial"/>
          <w:sz w:val="18"/>
          <w:szCs w:val="18"/>
          <w:color w:val="auto"/>
        </w:rPr>
        <w:t>The presentation of these non-GAAP financial measures is not intended to be a substitute for, or superior to, the financial information prepared and presented in accordance with GAAP and may be different from non-GAAP financial measures used by other companies, and therefore, may not be comparable among companies.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Considerations</w:t>
      </w:r>
    </w:p>
    <w:p>
      <w:pPr>
        <w:spacing w:after="0" w:line="256"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The World Health Organization categorized COVID-19 as a pandemic. The COVID-19 pandemic has caused a severe global health crisis, along with economic and societal disruptions and uncertainties, which have negatively impacted business and healthcare activity globally. As a result of healthcare systems responding to the demands of managing the pandemic, governments around the world imposing measures designed to reduce the transmission of the COVID-19 virus, and individuals responding to the concerns of contracting the COVID-19 virus, many optical practitioners and retailers, hospitals, medical offices and fertility clinics closed their facilities, restricted access, or delayed or canceled patient visits, exams and elective medical procedures, and many customers that have reopened are experiencing reduced patient visits. These factors have had, and in the future may have, an adverse effect on our sales, operating results and cash flows.</w:t>
      </w:r>
    </w:p>
    <w:p>
      <w:pPr>
        <w:spacing w:after="0" w:line="20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have taken an active role in addressing the ongoing pandemic’s impact on our employees, suppliers, distribution channels, operations and customers, including taking precautionary measures, such as implementing contingency plans, and making operational adjustments as necessary. We have taken measures to help ensure the safety of our personnel in all our facilities, and we have endeavored and continue to follow recommended actions of government and health authorities to protect our employees worldwide.</w:t>
      </w:r>
    </w:p>
    <w:p>
      <w:pPr>
        <w:spacing w:after="0" w:line="21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of the date of this filing, we have not experienced any significant disruption at our manufacturing facilities. We have had no significant disruption in our access to necessary raw materials and other supplies or with our distribution network; however, we have experienced higher unabsorbed fixed overhead costs, labor inefficiencies, higher cost of production and higher freight charges as a result of the COVID-19 pandemic. As a result, we instituted an inventory control project to reduce buildup of excess inventory. Our manufacturing and distribution operations have responded to the impacts related to the COVID-19 pandemic, and we have been able to continue to supply our products around the world without interruption. In the future, we may decide or need to implement additional precautionary measures or operational adjustments as we deem prudent to meet consumer demand or to help further ensure employee safety. We believe that the actions we are taking have enabled us to keep our employees safe and our supply chain intact and will help us emerge from this global pandemic operationally sound and well positioned for long-term growth.</w:t>
      </w:r>
    </w:p>
    <w:p>
      <w:pPr>
        <w:spacing w:after="0" w:line="192"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The extent to which the global COVID-19 pandemic and related economic disruptions impact our business, results of operations, cash flow and financial condition will depend on future developments. At this time, future developments are highly uncertain, difficult to predict and largely outside of our control. These include, but are not limited to, the spread,</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and Results of Operations</w:t>
      </w:r>
    </w:p>
    <w:p>
      <w:pPr>
        <w:spacing w:after="0" w:line="386" w:lineRule="exact"/>
        <w:rPr>
          <w:sz w:val="20"/>
          <w:szCs w:val="20"/>
          <w:color w:val="auto"/>
        </w:rPr>
      </w:pPr>
    </w:p>
    <w:p>
      <w:pPr>
        <w:ind w:right="60"/>
        <w:spacing w:after="0" w:line="228" w:lineRule="auto"/>
        <w:rPr>
          <w:sz w:val="20"/>
          <w:szCs w:val="20"/>
          <w:color w:val="auto"/>
        </w:rPr>
      </w:pPr>
      <w:r>
        <w:rPr>
          <w:rFonts w:ascii="Arial" w:cs="Arial" w:eastAsia="Arial" w:hAnsi="Arial"/>
          <w:sz w:val="18"/>
          <w:szCs w:val="18"/>
          <w:color w:val="auto"/>
        </w:rPr>
        <w:t>duration and severity of the pandemic outbreak and any subsequent waves of additional outbreaks, including the emergence and spread of variants of the COVID-19 virus, actions taken by governments to contain the pandemic, address its impact or respond to the reduction in global and local economic activity, and how quickly and to what extent normal economic and operating conditions can resume. We will continue to closely monitor the developments relating to the COVID-19 pandemic and the responses from governments and private sector participants and their respective impact on our Company and on our customers, suppliers, vendors and business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147955</wp:posOffset>
            </wp:positionV>
            <wp:extent cx="5709285" cy="24174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09285"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Highlights</w:t>
      </w:r>
    </w:p>
    <w:p>
      <w:pPr>
        <w:spacing w:after="0" w:line="175"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Gross profit of $516.1 million, up 43% from $360.8 million in the prior year period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Operating income of $100.6 million, up 40% from $72.0 million in the prior year period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Diluted earnings per share of $12.37, up 1008% from $1.12 per share in the prior year period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Cash provided by operations of $223.8 million, compared to $112.8 million in the prior year period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Highlights</w:t>
      </w:r>
    </w:p>
    <w:p>
      <w:pPr>
        <w:spacing w:after="0" w:line="175"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Gross profit $1,453.9 million, up 31% from $1,110.8 million in the prior year period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Operating income $377.3 million, up 78% from $211.7 million in the prior year period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Diluted earnings per share of $57.01, up 1699% from $3.17 per share in the prior year period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Cash provided by operations $564.1 million, compared to $268.3 million in the prior year period.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43"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Overall, we remain optimistic about the long-term prospects for the worldwide contact lens and general health care markets. However, the impact, risks and uncertainty relating to the global COVID-19 pandemic and related economic disruptions, as further described in the “COVID-19 Considerations” section above and in Item 1A. Risk Factors in our Annual Report on Form 10-K for the fiscal year ended October 31, 2020, have adversely affected our sales, cash flow and current performance and are likely to further adversely affect our future sales, cash flow and performance. Additionally, other events affecting the economy as a whole, including but not limited to the uncertainty and instability of global markets driven by foreign currency volatility, changes in tax legislation, debt concerns, the uncertainty following the United Kingdom's withdrawal from the EU, changes to existing regulations and new regulations, global trade barriers including additional tariffs and the trend of consolidations within the health care industry could impact our current performance and continue to represent a risk to our future performance.</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26" w:name="page27"/>
    <w:bookmarkEnd w:id="26"/>
    <w:p>
      <w:pPr>
        <w:jc w:val="center"/>
        <w:ind w:right="-3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362" w:lineRule="exact"/>
        <w:rPr>
          <w:sz w:val="20"/>
          <w:szCs w:val="20"/>
          <w:color w:val="auto"/>
        </w:rPr>
      </w:pPr>
    </w:p>
    <w:p>
      <w:pPr>
        <w:spacing w:after="0" w:line="252" w:lineRule="auto"/>
        <w:rPr>
          <w:sz w:val="20"/>
          <w:szCs w:val="20"/>
          <w:color w:val="auto"/>
        </w:rPr>
      </w:pPr>
      <w:r>
        <w:rPr>
          <w:rFonts w:ascii="Arial" w:cs="Arial" w:eastAsia="Arial" w:hAnsi="Arial"/>
          <w:sz w:val="17"/>
          <w:szCs w:val="17"/>
          <w:i w:val="1"/>
          <w:iCs w:val="1"/>
          <w:color w:val="auto"/>
        </w:rPr>
        <w:t xml:space="preserve">CooperVision </w:t>
      </w:r>
      <w:r>
        <w:rPr>
          <w:rFonts w:ascii="Arial" w:cs="Arial" w:eastAsia="Arial" w:hAnsi="Arial"/>
          <w:sz w:val="17"/>
          <w:szCs w:val="17"/>
          <w:color w:val="auto"/>
        </w:rPr>
        <w:t>- We compete in the worldwide contact lens market with our spherical, toric, multifocal, toric multifocal and myopia management contact</w:t>
      </w:r>
      <w:r>
        <w:rPr>
          <w:rFonts w:ascii="Arial" w:cs="Arial" w:eastAsia="Arial" w:hAnsi="Arial"/>
          <w:sz w:val="17"/>
          <w:szCs w:val="17"/>
          <w:i w:val="1"/>
          <w:iCs w:val="1"/>
          <w:color w:val="auto"/>
        </w:rPr>
        <w:t xml:space="preserve"> </w:t>
      </w:r>
      <w:r>
        <w:rPr>
          <w:rFonts w:ascii="Arial" w:cs="Arial" w:eastAsia="Arial" w:hAnsi="Arial"/>
          <w:sz w:val="17"/>
          <w:szCs w:val="17"/>
          <w:color w:val="auto"/>
        </w:rPr>
        <w:t>lenses offered in a variety of materials including using silicone hydrogel Aquaform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technology, PC Technology™ and ActivControl</w:t>
      </w:r>
      <w:r>
        <w:rPr>
          <w:rFonts w:ascii="Arial" w:cs="Arial" w:eastAsia="Arial" w:hAnsi="Arial"/>
          <w:sz w:val="22"/>
          <w:szCs w:val="22"/>
          <w:color w:val="auto"/>
          <w:vertAlign w:val="superscript"/>
        </w:rPr>
        <w:t>®</w:t>
      </w:r>
      <w:r>
        <w:rPr>
          <w:rFonts w:ascii="Arial" w:cs="Arial" w:eastAsia="Arial" w:hAnsi="Arial"/>
          <w:sz w:val="17"/>
          <w:szCs w:val="17"/>
          <w:color w:val="auto"/>
        </w:rPr>
        <w:t xml:space="preserve"> technology. We believe that there will be lower contact lens wearer dropout rates as technology improves and enhances the wearing experience through a combination of improved designs and materials and the growth of preferred modalities such as single-use and monthly wearing options. CooperVision also competes in the myopia management and specialty eye care markets with products such as ortho-k and scleral lenses. In November 2019, CooperVision received United States Food and Drug Administration (FDA) approval for its MiSight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1 day lens, which is the first and only FDA-approved product indicated to slow the progression of myopia in children with treatment initiated between the ages of 8-12 and became available in the United States during fiscal 2020. CooperVision is focused on greater worldwide market penetration using recently introduced products, and we continue to expand our presence in existing and emerging markets, including through acquisitions.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CooperVision acquired the following entities during the nine months ended July 31, 2021:</w:t>
      </w:r>
    </w:p>
    <w:p>
      <w:pPr>
        <w:spacing w:after="0" w:line="171" w:lineRule="exact"/>
        <w:rPr>
          <w:sz w:val="20"/>
          <w:szCs w:val="20"/>
          <w:color w:val="auto"/>
        </w:rPr>
      </w:pPr>
    </w:p>
    <w:p>
      <w:pPr>
        <w:ind w:left="560" w:hanging="228"/>
        <w:spacing w:after="0"/>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privately-held U.K. contact lens manufacturer on April 26, 2021</w:t>
      </w:r>
    </w:p>
    <w:p>
      <w:pPr>
        <w:spacing w:after="0" w:line="171" w:lineRule="exact"/>
        <w:rPr>
          <w:rFonts w:ascii="Arial" w:cs="Arial" w:eastAsia="Arial" w:hAnsi="Arial"/>
          <w:sz w:val="18"/>
          <w:szCs w:val="18"/>
          <w:color w:val="auto"/>
        </w:rPr>
      </w:pPr>
    </w:p>
    <w:p>
      <w:pPr>
        <w:ind w:left="560" w:hanging="228"/>
        <w:spacing w:after="0"/>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privately-held medical device company on January 19, 2021</w:t>
      </w:r>
    </w:p>
    <w:p>
      <w:pPr>
        <w:spacing w:after="0" w:line="252"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Our ability to compete successfully with a full range of silicone hydrogel products is an important factor to achieving our desired future levels of sales growth and profitability. CooperVision manufactures and markets a wide variety of silicone hydrogel contact lenses. Our single-use silicone hydrogel product franchises, clariti</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MyDay</w:t>
      </w:r>
      <w:r>
        <w:rPr>
          <w:rFonts w:ascii="Arial" w:cs="Arial" w:eastAsia="Arial" w:hAnsi="Arial"/>
          <w:sz w:val="22"/>
          <w:szCs w:val="22"/>
          <w:color w:val="auto"/>
          <w:vertAlign w:val="superscript"/>
        </w:rPr>
        <w:t>®</w:t>
      </w:r>
      <w:r>
        <w:rPr>
          <w:rFonts w:ascii="Arial" w:cs="Arial" w:eastAsia="Arial" w:hAnsi="Arial"/>
          <w:sz w:val="17"/>
          <w:szCs w:val="17"/>
          <w:color w:val="auto"/>
        </w:rPr>
        <w:t>, remain a focus as we expect increasing demand for these products as well as future single-use products as the global contact lens market continues to shift to this modality. Outside of single-use, the Biofinity</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Avaira Vitality</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product families comprise our focus in the FRP, or frequent replacement product, market which encompasses the 2-week and monthly modalities. Included in this segment are unique products such as Biofinity Energys</w:t>
      </w:r>
      <w:r>
        <w:rPr>
          <w:rFonts w:ascii="Arial" w:cs="Arial" w:eastAsia="Arial" w:hAnsi="Arial"/>
          <w:sz w:val="22"/>
          <w:szCs w:val="22"/>
          <w:color w:val="auto"/>
          <w:vertAlign w:val="superscript"/>
        </w:rPr>
        <w:t>®</w:t>
      </w:r>
      <w:r>
        <w:rPr>
          <w:rFonts w:ascii="Arial" w:cs="Arial" w:eastAsia="Arial" w:hAnsi="Arial"/>
          <w:sz w:val="17"/>
          <w:szCs w:val="17"/>
          <w:color w:val="auto"/>
        </w:rPr>
        <w:t>, which helps individuals with digital eye fatigue.</w:t>
      </w:r>
    </w:p>
    <w:p>
      <w:pPr>
        <w:spacing w:after="0" w:line="73"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i w:val="1"/>
          <w:iCs w:val="1"/>
          <w:color w:val="auto"/>
        </w:rPr>
        <w:t xml:space="preserve">CooperSurgical - </w:t>
      </w:r>
      <w:r>
        <w:rPr>
          <w:rFonts w:ascii="Arial" w:cs="Arial" w:eastAsia="Arial" w:hAnsi="Arial"/>
          <w:sz w:val="16"/>
          <w:szCs w:val="16"/>
          <w:color w:val="auto"/>
        </w:rPr>
        <w:t>Our CooperSurgical business competes in the general health care market with a commitment to advancing the health of women, babies</w:t>
      </w:r>
      <w:r>
        <w:rPr>
          <w:rFonts w:ascii="Arial" w:cs="Arial" w:eastAsia="Arial" w:hAnsi="Arial"/>
          <w:sz w:val="16"/>
          <w:szCs w:val="16"/>
          <w:i w:val="1"/>
          <w:iCs w:val="1"/>
          <w:color w:val="auto"/>
        </w:rPr>
        <w:t xml:space="preserve"> </w:t>
      </w:r>
      <w:r>
        <w:rPr>
          <w:rFonts w:ascii="Arial" w:cs="Arial" w:eastAsia="Arial" w:hAnsi="Arial"/>
          <w:sz w:val="16"/>
          <w:szCs w:val="16"/>
          <w:color w:val="auto"/>
        </w:rPr>
        <w:t>and families through its diversified portfolio of products and services focusing on women's health and fertility. CooperSurgical has established its market presence and distribution system by developing products and acquiring companies, products and services that complement its business model.</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CooperSurgical acquired the following entities during the nine months ended July 31, 2021:</w:t>
      </w:r>
    </w:p>
    <w:p>
      <w:pPr>
        <w:spacing w:after="0" w:line="171" w:lineRule="exact"/>
        <w:rPr>
          <w:sz w:val="20"/>
          <w:szCs w:val="20"/>
          <w:color w:val="auto"/>
        </w:rPr>
      </w:pPr>
    </w:p>
    <w:p>
      <w:pPr>
        <w:ind w:left="580" w:hanging="248"/>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privately-held medical device company that develops single-use illuminating medical devices on May 3, 2021</w:t>
      </w:r>
    </w:p>
    <w:p>
      <w:pPr>
        <w:spacing w:after="0" w:line="171" w:lineRule="exact"/>
        <w:rPr>
          <w:rFonts w:ascii="Arial" w:cs="Arial" w:eastAsia="Arial" w:hAnsi="Arial"/>
          <w:sz w:val="18"/>
          <w:szCs w:val="18"/>
          <w:color w:val="auto"/>
        </w:rPr>
      </w:pPr>
    </w:p>
    <w:p>
      <w:pPr>
        <w:ind w:left="560" w:hanging="228"/>
        <w:spacing w:after="0"/>
        <w:tabs>
          <w:tab w:leader="none" w:pos="5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privately-held medical device company on March 1, 2021</w:t>
      </w:r>
    </w:p>
    <w:p>
      <w:pPr>
        <w:spacing w:after="0" w:line="171" w:lineRule="exact"/>
        <w:rPr>
          <w:rFonts w:ascii="Arial" w:cs="Arial" w:eastAsia="Arial" w:hAnsi="Arial"/>
          <w:sz w:val="18"/>
          <w:szCs w:val="18"/>
          <w:color w:val="auto"/>
        </w:rPr>
      </w:pPr>
    </w:p>
    <w:p>
      <w:pPr>
        <w:ind w:left="560" w:hanging="228"/>
        <w:spacing w:after="0"/>
        <w:tabs>
          <w:tab w:leader="none" w:pos="5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privately-held medical device company on February 1, 2021</w:t>
      </w:r>
    </w:p>
    <w:p>
      <w:pPr>
        <w:spacing w:after="0" w:line="171" w:lineRule="exact"/>
        <w:rPr>
          <w:rFonts w:ascii="Arial" w:cs="Arial" w:eastAsia="Arial" w:hAnsi="Arial"/>
          <w:sz w:val="18"/>
          <w:szCs w:val="18"/>
          <w:color w:val="auto"/>
        </w:rPr>
      </w:pPr>
    </w:p>
    <w:p>
      <w:pPr>
        <w:ind w:right="2860" w:firstLine="332"/>
        <w:spacing w:after="0" w:line="438" w:lineRule="auto"/>
        <w:tabs>
          <w:tab w:leader="none" w:pos="557"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privately-held in vitro fertilization (IVF) cryo-storage software solutions company on December 31, 2020 CooperSurgical acquired the following entity during the nine months ended July 31, 2020:</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privately-held distributor of IVF medical devices and systems on December 13, 2019</w:t>
      </w:r>
    </w:p>
    <w:p>
      <w:pPr>
        <w:spacing w:after="0" w:line="252"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i w:val="1"/>
          <w:iCs w:val="1"/>
          <w:color w:val="auto"/>
        </w:rPr>
        <w:t xml:space="preserve">Capital Resources - </w:t>
      </w:r>
      <w:r>
        <w:rPr>
          <w:rFonts w:ascii="Arial" w:cs="Arial" w:eastAsia="Arial" w:hAnsi="Arial"/>
          <w:sz w:val="18"/>
          <w:szCs w:val="18"/>
          <w:color w:val="auto"/>
        </w:rPr>
        <w:t>At July 31, 2021, we had $112.2 million in unrestricted cash, primarily held outside the United States, and $958.6 million available</w:t>
      </w:r>
      <w:r>
        <w:rPr>
          <w:rFonts w:ascii="Arial" w:cs="Arial" w:eastAsia="Arial" w:hAnsi="Arial"/>
          <w:sz w:val="18"/>
          <w:szCs w:val="18"/>
          <w:i w:val="1"/>
          <w:iCs w:val="1"/>
          <w:color w:val="auto"/>
        </w:rPr>
        <w:t xml:space="preserve"> </w:t>
      </w:r>
      <w:r>
        <w:rPr>
          <w:rFonts w:ascii="Arial" w:cs="Arial" w:eastAsia="Arial" w:hAnsi="Arial"/>
          <w:sz w:val="18"/>
          <w:szCs w:val="18"/>
          <w:color w:val="auto"/>
        </w:rPr>
        <w:t>under our 2020 Credit Agreement. The $850.0 million term loan entered into on April 1, 2020, and the $350.0 million term loan entered into on October 16, 2020, remain outstanding as of July 31,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See Note 5. Debt of the Consolidated Condensed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Held for Sale</w:t>
      </w:r>
    </w:p>
    <w:p>
      <w:pPr>
        <w:spacing w:after="0" w:line="25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On February 2, 2021, CooperVision entered into a stock purchase agreement to sell 50% of the equity interest in a wholly-owned subsidiary that was acquired by CooperVision on January 19, 2021. The closing of this transaction is subject to certain closing conditions including required regulatory approvals. We intend to operate the previously wholly-owned subsidiary as a joint venture with the purchaser of the 50% interest once the transaction is closed. We concluded the substantive terms of the joint venture during the third quarter of fiscal 2021, and as of July 31, 2021, the assets and liabilities of this disposal group were reclassified as held for sale. We did not record any impairment in the three months ended July 31, 2021, and this disposal did not qualify as a discontinued operation.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See Note 2. Acquisitions and Assets Held for Sale of the Consolidated Condensed Financial Statements for additional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Transition from LIBOR</w:t>
      </w:r>
    </w:p>
    <w:p>
      <w:pPr>
        <w:spacing w:after="0" w:line="256"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 xml:space="preserve">The United Kingdom’s Financial Conduct Authority, which regulates the London Interbank Offered Rate (LIBOR), announced in July 2017 that it will no longer persuade or require banks to submit rates for LIBOR after 2021. Further, in March 2020, the FASB issued ASU 2020-04, </w:t>
      </w:r>
      <w:r>
        <w:rPr>
          <w:rFonts w:ascii="Arial" w:cs="Arial" w:eastAsia="Arial" w:hAnsi="Arial"/>
          <w:sz w:val="17"/>
          <w:szCs w:val="17"/>
          <w:i w:val="1"/>
          <w:iCs w:val="1"/>
          <w:color w:val="auto"/>
        </w:rPr>
        <w:t>Reference Rate Reform</w:t>
      </w:r>
      <w:r>
        <w:rPr>
          <w:rFonts w:ascii="Arial" w:cs="Arial" w:eastAsia="Arial" w:hAnsi="Arial"/>
          <w:sz w:val="17"/>
          <w:szCs w:val="17"/>
          <w:color w:val="auto"/>
        </w:rPr>
        <w:t xml:space="preserve"> (</w:t>
      </w:r>
      <w:r>
        <w:rPr>
          <w:rFonts w:ascii="Arial" w:cs="Arial" w:eastAsia="Arial" w:hAnsi="Arial"/>
          <w:sz w:val="17"/>
          <w:szCs w:val="17"/>
          <w:i w:val="1"/>
          <w:iCs w:val="1"/>
          <w:color w:val="auto"/>
        </w:rPr>
        <w:t>Topic 848</w:t>
      </w:r>
      <w:r>
        <w:rPr>
          <w:rFonts w:ascii="Arial" w:cs="Arial" w:eastAsia="Arial" w:hAnsi="Arial"/>
          <w:sz w:val="17"/>
          <w:szCs w:val="17"/>
          <w:color w:val="auto"/>
        </w:rPr>
        <w:t xml:space="preserve">): </w:t>
      </w:r>
      <w:r>
        <w:rPr>
          <w:rFonts w:ascii="Arial" w:cs="Arial" w:eastAsia="Arial" w:hAnsi="Arial"/>
          <w:sz w:val="17"/>
          <w:szCs w:val="17"/>
          <w:i w:val="1"/>
          <w:iCs w:val="1"/>
          <w:color w:val="auto"/>
        </w:rPr>
        <w:t>Facilitation of the Effects of Reference Rate Reform on Financial Reporting</w:t>
      </w:r>
      <w:r>
        <w:rPr>
          <w:rFonts w:ascii="Arial" w:cs="Arial" w:eastAsia="Arial" w:hAnsi="Arial"/>
          <w:sz w:val="17"/>
          <w:szCs w:val="17"/>
          <w:color w:val="auto"/>
        </w:rPr>
        <w:t>. This guidance provides optional expedients and exceptions for applying GAAP to contracts, hedging relationships, and other transactions affected by reference rate reform if certain criteria are met. We have material contracts that are indexed to LIBOR and are continuing to monitor this activity and evaluate the related risk. We are continuing to evaluate the scope of impacted contracts and the potential impact. We are also monitoring the developments regarding alternative rates and may amend certain contracts to accommodate those rates if the contract does not already specify a replacement rate. While the notional value of agreements potentially indexed to LIBOR is material, we are not yet able to reasonably estimate the expected impact.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Statistical Information – Percentage of Net Sales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Three Months</w:t>
            </w:r>
          </w:p>
        </w:tc>
        <w:tc>
          <w:tcPr>
            <w:tcW w:w="2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5"/>
              </w:rPr>
              <w:t>Nine Months</w:t>
            </w: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0"/>
        </w:trPr>
        <w:tc>
          <w:tcPr>
            <w:tcW w:w="2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20" w:type="dxa"/>
            <w:vAlign w:val="bottom"/>
            <w:gridSpan w:val="7"/>
            <w:vMerge w:val="restart"/>
          </w:tcPr>
          <w:p>
            <w:pPr>
              <w:jc w:val="right"/>
              <w:ind w:right="248"/>
              <w:spacing w:after="0"/>
              <w:rPr>
                <w:sz w:val="20"/>
                <w:szCs w:val="20"/>
                <w:color w:val="auto"/>
              </w:rPr>
            </w:pPr>
            <w:r>
              <w:rPr>
                <w:rFonts w:ascii="Arial" w:cs="Arial" w:eastAsia="Arial" w:hAnsi="Arial"/>
                <w:sz w:val="14"/>
                <w:szCs w:val="14"/>
                <w:b w:val="1"/>
                <w:bCs w:val="1"/>
                <w:color w:val="auto"/>
                <w:w w:val="92"/>
              </w:rPr>
              <w:t>Percentage of Net Sales</w:t>
            </w:r>
          </w:p>
        </w:tc>
        <w:tc>
          <w:tcPr>
            <w:tcW w:w="120" w:type="dxa"/>
            <w:vAlign w:val="bottom"/>
          </w:tcPr>
          <w:p>
            <w:pPr>
              <w:spacing w:after="0"/>
              <w:rPr>
                <w:sz w:val="24"/>
                <w:szCs w:val="24"/>
                <w:color w:val="auto"/>
              </w:rPr>
            </w:pPr>
          </w:p>
        </w:tc>
        <w:tc>
          <w:tcPr>
            <w:tcW w:w="1520" w:type="dxa"/>
            <w:vAlign w:val="bottom"/>
            <w:gridSpan w:val="7"/>
          </w:tcPr>
          <w:p>
            <w:pPr>
              <w:jc w:val="center"/>
              <w:ind w:right="320"/>
              <w:spacing w:after="0"/>
              <w:rPr>
                <w:sz w:val="20"/>
                <w:szCs w:val="20"/>
                <w:color w:val="auto"/>
              </w:rPr>
            </w:pPr>
            <w:r>
              <w:rPr>
                <w:rFonts w:ascii="Arial" w:cs="Arial" w:eastAsia="Arial" w:hAnsi="Arial"/>
                <w:sz w:val="14"/>
                <w:szCs w:val="14"/>
                <w:b w:val="1"/>
                <w:bCs w:val="1"/>
                <w:color w:val="auto"/>
                <w:w w:val="94"/>
              </w:rPr>
              <w:t>2021 vs 2020 %</w:t>
            </w:r>
          </w:p>
        </w:tc>
        <w:tc>
          <w:tcPr>
            <w:tcW w:w="120" w:type="dxa"/>
            <w:vAlign w:val="bottom"/>
          </w:tcPr>
          <w:p>
            <w:pPr>
              <w:spacing w:after="0"/>
              <w:rPr>
                <w:sz w:val="24"/>
                <w:szCs w:val="24"/>
                <w:color w:val="auto"/>
              </w:rPr>
            </w:pPr>
          </w:p>
        </w:tc>
        <w:tc>
          <w:tcPr>
            <w:tcW w:w="1800" w:type="dxa"/>
            <w:vAlign w:val="bottom"/>
            <w:gridSpan w:val="6"/>
            <w:vMerge w:val="restart"/>
          </w:tcPr>
          <w:p>
            <w:pPr>
              <w:jc w:val="right"/>
              <w:ind w:right="253"/>
              <w:spacing w:after="0"/>
              <w:rPr>
                <w:sz w:val="20"/>
                <w:szCs w:val="20"/>
                <w:color w:val="auto"/>
              </w:rPr>
            </w:pPr>
            <w:r>
              <w:rPr>
                <w:rFonts w:ascii="Arial" w:cs="Arial" w:eastAsia="Arial" w:hAnsi="Arial"/>
                <w:sz w:val="14"/>
                <w:szCs w:val="14"/>
                <w:b w:val="1"/>
                <w:bCs w:val="1"/>
                <w:color w:val="auto"/>
                <w:w w:val="90"/>
              </w:rPr>
              <w:t>Percentage of Net Sales</w:t>
            </w:r>
          </w:p>
        </w:tc>
        <w:tc>
          <w:tcPr>
            <w:tcW w:w="100" w:type="dxa"/>
            <w:vAlign w:val="bottom"/>
            <w:gridSpan w:val="2"/>
            <w:vMerge w:val="restart"/>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4"/>
              </w:rPr>
              <w:t>2021 vs 2020 %</w:t>
            </w:r>
          </w:p>
        </w:tc>
        <w:tc>
          <w:tcPr>
            <w:tcW w:w="0" w:type="dxa"/>
            <w:vAlign w:val="bottom"/>
          </w:tcPr>
          <w:p>
            <w:pPr>
              <w:spacing w:after="0"/>
              <w:rPr>
                <w:sz w:val="1"/>
                <w:szCs w:val="1"/>
                <w:color w:val="auto"/>
              </w:rPr>
            </w:pPr>
          </w:p>
        </w:tc>
      </w:tr>
      <w:tr>
        <w:trPr>
          <w:trHeight w:val="101"/>
        </w:trPr>
        <w:tc>
          <w:tcPr>
            <w:tcW w:w="2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820" w:type="dxa"/>
            <w:vAlign w:val="bottom"/>
            <w:tcBorders>
              <w:bottom w:val="single" w:sz="8" w:color="auto"/>
            </w:tcBorders>
            <w:gridSpan w:val="7"/>
            <w:vMerge w:val="continue"/>
          </w:tcPr>
          <w:p>
            <w:pPr>
              <w:spacing w:after="0"/>
              <w:rPr>
                <w:sz w:val="8"/>
                <w:szCs w:val="8"/>
                <w:color w:val="auto"/>
              </w:rPr>
            </w:pPr>
          </w:p>
        </w:tc>
        <w:tc>
          <w:tcPr>
            <w:tcW w:w="120" w:type="dxa"/>
            <w:vAlign w:val="bottom"/>
          </w:tcPr>
          <w:p>
            <w:pPr>
              <w:spacing w:after="0"/>
              <w:rPr>
                <w:sz w:val="8"/>
                <w:szCs w:val="8"/>
                <w:color w:val="auto"/>
              </w:rPr>
            </w:pPr>
          </w:p>
        </w:tc>
        <w:tc>
          <w:tcPr>
            <w:tcW w:w="1320" w:type="dxa"/>
            <w:vAlign w:val="bottom"/>
            <w:gridSpan w:val="5"/>
          </w:tcPr>
          <w:p>
            <w:pPr>
              <w:jc w:val="center"/>
              <w:ind w:right="120"/>
              <w:spacing w:after="0" w:line="102" w:lineRule="exact"/>
              <w:rPr>
                <w:sz w:val="20"/>
                <w:szCs w:val="20"/>
                <w:color w:val="auto"/>
              </w:rPr>
            </w:pPr>
            <w:r>
              <w:rPr>
                <w:rFonts w:ascii="Arial" w:cs="Arial" w:eastAsia="Arial" w:hAnsi="Arial"/>
                <w:sz w:val="11"/>
                <w:szCs w:val="11"/>
                <w:b w:val="1"/>
                <w:bCs w:val="1"/>
                <w:color w:val="auto"/>
              </w:rPr>
              <w:t>Change in</w:t>
            </w: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800" w:type="dxa"/>
            <w:vAlign w:val="bottom"/>
            <w:tcBorders>
              <w:bottom w:val="single" w:sz="8" w:color="auto"/>
            </w:tcBorders>
            <w:gridSpan w:val="6"/>
            <w:vMerge w:val="continue"/>
          </w:tcPr>
          <w:p>
            <w:pPr>
              <w:spacing w:after="0"/>
              <w:rPr>
                <w:sz w:val="8"/>
                <w:szCs w:val="8"/>
                <w:color w:val="auto"/>
              </w:rPr>
            </w:pPr>
          </w:p>
        </w:tc>
        <w:tc>
          <w:tcPr>
            <w:tcW w:w="100" w:type="dxa"/>
            <w:vAlign w:val="bottom"/>
            <w:gridSpan w:val="2"/>
            <w:vMerge w:val="continue"/>
          </w:tcPr>
          <w:p>
            <w:pPr>
              <w:spacing w:after="0"/>
              <w:rPr>
                <w:sz w:val="8"/>
                <w:szCs w:val="8"/>
                <w:color w:val="auto"/>
              </w:rPr>
            </w:pPr>
          </w:p>
        </w:tc>
        <w:tc>
          <w:tcPr>
            <w:tcW w:w="122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rPr>
              <w:t>Change in</w:t>
            </w:r>
          </w:p>
        </w:tc>
        <w:tc>
          <w:tcPr>
            <w:tcW w:w="0" w:type="dxa"/>
            <w:vAlign w:val="bottom"/>
          </w:tcPr>
          <w:p>
            <w:pPr>
              <w:spacing w:after="0"/>
              <w:rPr>
                <w:sz w:val="1"/>
                <w:szCs w:val="1"/>
                <w:color w:val="auto"/>
              </w:rPr>
            </w:pPr>
          </w:p>
        </w:tc>
      </w:tr>
      <w:tr>
        <w:trPr>
          <w:trHeight w:val="201"/>
        </w:trPr>
        <w:tc>
          <w:tcPr>
            <w:tcW w:w="2680" w:type="dxa"/>
            <w:vAlign w:val="bottom"/>
          </w:tcPr>
          <w:p>
            <w:pPr>
              <w:ind w:left="20"/>
              <w:spacing w:after="0"/>
              <w:rPr>
                <w:sz w:val="20"/>
                <w:szCs w:val="20"/>
                <w:color w:val="auto"/>
              </w:rPr>
            </w:pPr>
            <w:r>
              <w:rPr>
                <w:rFonts w:ascii="Arial" w:cs="Arial" w:eastAsia="Arial" w:hAnsi="Arial"/>
                <w:sz w:val="14"/>
                <w:szCs w:val="14"/>
                <w:b w:val="1"/>
                <w:bCs w:val="1"/>
                <w:color w:val="auto"/>
              </w:rPr>
              <w:t>Periods Ended July 31,</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gridSpan w:val="3"/>
          </w:tcPr>
          <w:p>
            <w:pPr>
              <w:jc w:val="right"/>
              <w:ind w:right="27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ind w:left="180"/>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1520" w:type="dxa"/>
            <w:vAlign w:val="bottom"/>
            <w:gridSpan w:val="7"/>
          </w:tcPr>
          <w:p>
            <w:pPr>
              <w:jc w:val="center"/>
              <w:ind w:right="300"/>
              <w:spacing w:after="0"/>
              <w:rPr>
                <w:sz w:val="20"/>
                <w:szCs w:val="20"/>
                <w:color w:val="auto"/>
              </w:rPr>
            </w:pPr>
            <w:r>
              <w:rPr>
                <w:rFonts w:ascii="Arial" w:cs="Arial" w:eastAsia="Arial" w:hAnsi="Arial"/>
                <w:sz w:val="14"/>
                <w:szCs w:val="14"/>
                <w:b w:val="1"/>
                <w:bCs w:val="1"/>
                <w:color w:val="auto"/>
                <w:w w:val="89"/>
              </w:rPr>
              <w:t>Absolute Values</w:t>
            </w:r>
          </w:p>
        </w:tc>
        <w:tc>
          <w:tcPr>
            <w:tcW w:w="120" w:type="dxa"/>
            <w:vAlign w:val="bottom"/>
          </w:tcPr>
          <w:p>
            <w:pPr>
              <w:spacing w:after="0"/>
              <w:rPr>
                <w:sz w:val="17"/>
                <w:szCs w:val="17"/>
                <w:color w:val="auto"/>
              </w:rPr>
            </w:pPr>
          </w:p>
        </w:tc>
        <w:tc>
          <w:tcPr>
            <w:tcW w:w="660" w:type="dxa"/>
            <w:vAlign w:val="bottom"/>
          </w:tcPr>
          <w:p>
            <w:pPr>
              <w:jc w:val="right"/>
              <w:ind w:right="255"/>
              <w:spacing w:after="0"/>
              <w:rPr>
                <w:sz w:val="20"/>
                <w:szCs w:val="20"/>
                <w:color w:val="auto"/>
              </w:rPr>
            </w:pPr>
            <w:r>
              <w:rPr>
                <w:rFonts w:ascii="Arial" w:cs="Arial" w:eastAsia="Arial" w:hAnsi="Arial"/>
                <w:sz w:val="14"/>
                <w:szCs w:val="14"/>
                <w:b w:val="1"/>
                <w:bCs w:val="1"/>
                <w:color w:val="auto"/>
                <w:w w:val="96"/>
              </w:rPr>
              <w:t>2021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27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9"/>
              </w:rPr>
              <w:t>Absolute Values</w:t>
            </w:r>
          </w:p>
        </w:tc>
        <w:tc>
          <w:tcPr>
            <w:tcW w:w="0" w:type="dxa"/>
            <w:vAlign w:val="bottom"/>
          </w:tcPr>
          <w:p>
            <w:pPr>
              <w:spacing w:after="0"/>
              <w:rPr>
                <w:sz w:val="1"/>
                <w:szCs w:val="1"/>
                <w:color w:val="auto"/>
              </w:rPr>
            </w:pPr>
          </w:p>
        </w:tc>
      </w:tr>
      <w:tr>
        <w:trPr>
          <w:trHeight w:val="224"/>
        </w:trPr>
        <w:tc>
          <w:tcPr>
            <w:tcW w:w="2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0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100 %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30"/>
        </w:trPr>
        <w:tc>
          <w:tcPr>
            <w:tcW w:w="2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20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32 %</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38 %</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14 %</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33 %</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37 %</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23"/>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30"/>
        </w:trPr>
        <w:tc>
          <w:tcPr>
            <w:tcW w:w="3660" w:type="dxa"/>
            <w:vAlign w:val="bottom"/>
            <w:gridSpan w:val="4"/>
          </w:tcPr>
          <w:p>
            <w:pPr>
              <w:ind w:left="20"/>
              <w:spacing w:after="0"/>
              <w:rPr>
                <w:sz w:val="20"/>
                <w:szCs w:val="20"/>
                <w:color w:val="auto"/>
              </w:rPr>
            </w:pPr>
            <w:r>
              <w:rPr>
                <w:rFonts w:ascii="Arial" w:cs="Arial" w:eastAsia="Arial" w:hAnsi="Arial"/>
                <w:sz w:val="18"/>
                <w:szCs w:val="18"/>
                <w:color w:val="auto"/>
              </w:rPr>
              <w:t>Selling, general and administrative expense</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46 %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40 %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51 %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42 %</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30"/>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Research and development expense</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2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intangibles</w:t>
            </w:r>
          </w:p>
        </w:tc>
        <w:tc>
          <w:tcPr>
            <w:tcW w:w="20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5 %</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6 %</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5 %</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6 %</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48"/>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78 %</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w w:val="88"/>
              </w:rPr>
              <w:t>Net Sales Growth by Business Unit</w:t>
            </w: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6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7"/>
        </w:trPr>
        <w:tc>
          <w:tcPr>
            <w:tcW w:w="2680" w:type="dxa"/>
            <w:vAlign w:val="bottom"/>
          </w:tcPr>
          <w:p>
            <w:pPr>
              <w:ind w:left="20"/>
              <w:spacing w:after="0"/>
              <w:rPr>
                <w:sz w:val="20"/>
                <w:szCs w:val="20"/>
                <w:color w:val="auto"/>
              </w:rPr>
            </w:pPr>
            <w:r>
              <w:rPr>
                <w:rFonts w:ascii="Arial" w:cs="Arial" w:eastAsia="Arial" w:hAnsi="Arial"/>
                <w:sz w:val="14"/>
                <w:szCs w:val="14"/>
                <w:b w:val="1"/>
                <w:bCs w:val="1"/>
                <w:color w:val="auto"/>
              </w:rPr>
              <w:t>Periods Ended July 31,</w:t>
            </w: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6"/>
          </w:tcPr>
          <w:p>
            <w:pPr>
              <w:jc w:val="right"/>
              <w:ind w:right="360"/>
              <w:spacing w:after="0"/>
              <w:rPr>
                <w:sz w:val="20"/>
                <w:szCs w:val="20"/>
                <w:color w:val="auto"/>
              </w:rPr>
            </w:pPr>
            <w:r>
              <w:rPr>
                <w:rFonts w:ascii="Arial" w:cs="Arial" w:eastAsia="Arial" w:hAnsi="Arial"/>
                <w:sz w:val="14"/>
                <w:szCs w:val="14"/>
                <w:b w:val="1"/>
                <w:bCs w:val="1"/>
                <w:color w:val="auto"/>
                <w:w w:val="95"/>
              </w:rPr>
              <w:t>Three Months</w:t>
            </w: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5"/>
              </w:rPr>
              <w:t>Nine Months</w:t>
            </w: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millions)</w:t>
            </w:r>
          </w:p>
        </w:tc>
        <w:tc>
          <w:tcPr>
            <w:tcW w:w="200" w:type="dxa"/>
            <w:vAlign w:val="bottom"/>
          </w:tcPr>
          <w:p>
            <w:pPr>
              <w:spacing w:after="0"/>
              <w:rPr>
                <w:sz w:val="11"/>
                <w:szCs w:val="11"/>
                <w:color w:val="auto"/>
              </w:rPr>
            </w:pPr>
          </w:p>
        </w:tc>
        <w:tc>
          <w:tcPr>
            <w:tcW w:w="68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Increase</w:t>
            </w:r>
          </w:p>
        </w:tc>
        <w:tc>
          <w:tcPr>
            <w:tcW w:w="80" w:type="dxa"/>
            <w:vAlign w:val="bottom"/>
          </w:tcPr>
          <w:p>
            <w:pPr>
              <w:spacing w:after="0"/>
              <w:rPr>
                <w:sz w:val="11"/>
                <w:szCs w:val="11"/>
                <w:color w:val="auto"/>
              </w:rPr>
            </w:pPr>
          </w:p>
        </w:tc>
        <w:tc>
          <w:tcPr>
            <w:tcW w:w="1200" w:type="dxa"/>
            <w:vAlign w:val="bottom"/>
            <w:gridSpan w:val="3"/>
          </w:tcPr>
          <w:p>
            <w:pPr>
              <w:ind w:left="120"/>
              <w:spacing w:after="0" w:line="135" w:lineRule="exact"/>
              <w:rPr>
                <w:sz w:val="20"/>
                <w:szCs w:val="20"/>
                <w:color w:val="auto"/>
              </w:rPr>
            </w:pPr>
            <w:r>
              <w:rPr>
                <w:rFonts w:ascii="Arial" w:cs="Arial" w:eastAsia="Arial" w:hAnsi="Arial"/>
                <w:sz w:val="14"/>
                <w:szCs w:val="14"/>
                <w:b w:val="1"/>
                <w:bCs w:val="1"/>
                <w:color w:val="auto"/>
              </w:rPr>
              <w:t>2021 vs 2020 %</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1"/>
              </w:rPr>
              <w:t>Increase</w:t>
            </w:r>
          </w:p>
        </w:tc>
        <w:tc>
          <w:tcPr>
            <w:tcW w:w="12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2021 vs 2020 %</w:t>
            </w:r>
          </w:p>
        </w:tc>
        <w:tc>
          <w:tcPr>
            <w:tcW w:w="0" w:type="dxa"/>
            <w:vAlign w:val="bottom"/>
          </w:tcPr>
          <w:p>
            <w:pPr>
              <w:spacing w:after="0"/>
              <w:rPr>
                <w:sz w:val="1"/>
                <w:szCs w:val="1"/>
                <w:color w:val="auto"/>
              </w:rPr>
            </w:pPr>
          </w:p>
        </w:tc>
      </w:tr>
      <w:tr>
        <w:trPr>
          <w:trHeight w:val="188"/>
        </w:trPr>
        <w:tc>
          <w:tcPr>
            <w:tcW w:w="26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4"/>
          </w:tcPr>
          <w:p>
            <w:pPr>
              <w:ind w:left="360"/>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24"/>
        </w:trPr>
        <w:tc>
          <w:tcPr>
            <w:tcW w:w="2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CooperVision</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449.3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1,587.1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1,336.7</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250.4</w:t>
            </w:r>
          </w:p>
        </w:tc>
        <w:tc>
          <w:tcPr>
            <w:tcW w:w="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30"/>
        </w:trPr>
        <w:tc>
          <w:tcPr>
            <w:tcW w:w="2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CooperSurgical</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128.9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77.0</w:t>
            </w: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60 %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576.3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412.6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163.7</w:t>
            </w:r>
          </w:p>
        </w:tc>
        <w:tc>
          <w:tcPr>
            <w:tcW w:w="2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48"/>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578.2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185.2</w:t>
            </w:r>
          </w:p>
        </w:tc>
        <w:tc>
          <w:tcPr>
            <w:tcW w:w="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2,163.4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1,749.3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414.1</w:t>
            </w:r>
          </w:p>
        </w:tc>
        <w:tc>
          <w:tcPr>
            <w:tcW w:w="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CooperVision Net Sales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contact lens market has two major product categories: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362"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Spherical lenses including lenses that correct near- and farsightedness uncomplicated by more complex visual defects; and</w:t>
      </w:r>
    </w:p>
    <w:p>
      <w:pPr>
        <w:spacing w:after="0" w:line="171" w:lineRule="exact"/>
        <w:rPr>
          <w:rFonts w:ascii="Arial" w:cs="Arial" w:eastAsia="Arial" w:hAnsi="Arial"/>
          <w:sz w:val="18"/>
          <w:szCs w:val="18"/>
          <w:color w:val="auto"/>
        </w:rPr>
      </w:pPr>
    </w:p>
    <w:p>
      <w:pPr>
        <w:ind w:left="340" w:right="520" w:hanging="332"/>
        <w:spacing w:after="0" w:line="342" w:lineRule="auto"/>
        <w:tabs>
          <w:tab w:leader="none" w:pos="335"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Toric and multifocal lenses including lenses that, in addition to correcting near- and farsightedness, address more complex visual defects such as astigmatism and presbyopia by adding optical properties of cylinder and axis, which correct for irregularities in the shape of the cornea.</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CooperVision Net Sales by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17145</wp:posOffset>
            </wp:positionV>
            <wp:extent cx="5143500" cy="2451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00"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80" w:type="dxa"/>
            <w:vAlign w:val="bottom"/>
          </w:tcPr>
          <w:p>
            <w:pPr>
              <w:ind w:left="20"/>
              <w:spacing w:after="0"/>
              <w:rPr>
                <w:sz w:val="20"/>
                <w:szCs w:val="20"/>
                <w:color w:val="auto"/>
              </w:rPr>
            </w:pPr>
            <w:r>
              <w:rPr>
                <w:rFonts w:ascii="Arial" w:cs="Arial" w:eastAsia="Arial" w:hAnsi="Arial"/>
                <w:sz w:val="14"/>
                <w:szCs w:val="14"/>
                <w:b w:val="1"/>
                <w:bCs w:val="1"/>
                <w:color w:val="auto"/>
              </w:rPr>
              <w:t>Three Months Ended July 31,</w:t>
            </w:r>
          </w:p>
        </w:tc>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vMerge w:val="restart"/>
          </w:tcPr>
          <w:p>
            <w:pPr>
              <w:jc w:val="right"/>
              <w:ind w:right="482"/>
              <w:spacing w:after="0"/>
              <w:rPr>
                <w:sz w:val="20"/>
                <w:szCs w:val="20"/>
                <w:color w:val="auto"/>
              </w:rPr>
            </w:pPr>
            <w:r>
              <w:rPr>
                <w:rFonts w:ascii="Arial" w:cs="Arial" w:eastAsia="Arial" w:hAnsi="Arial"/>
                <w:sz w:val="14"/>
                <w:szCs w:val="14"/>
                <w:b w:val="1"/>
                <w:bCs w:val="1"/>
                <w:color w:val="auto"/>
              </w:rPr>
              <w:t>2021 vs 2020</w:t>
            </w:r>
          </w:p>
        </w:tc>
        <w:tc>
          <w:tcPr>
            <w:tcW w:w="0" w:type="dxa"/>
            <w:vAlign w:val="bottom"/>
          </w:tcPr>
          <w:p>
            <w:pPr>
              <w:spacing w:after="0"/>
              <w:rPr>
                <w:sz w:val="1"/>
                <w:szCs w:val="1"/>
                <w:color w:val="auto"/>
              </w:rPr>
            </w:pPr>
          </w:p>
        </w:tc>
      </w:tr>
      <w:tr>
        <w:trPr>
          <w:trHeight w:val="39"/>
        </w:trPr>
        <w:tc>
          <w:tcPr>
            <w:tcW w:w="5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millions)</w:t>
            </w:r>
          </w:p>
        </w:tc>
        <w:tc>
          <w:tcPr>
            <w:tcW w:w="440" w:type="dxa"/>
            <w:vAlign w:val="bottom"/>
          </w:tcPr>
          <w:p>
            <w:pPr>
              <w:spacing w:after="0"/>
              <w:rPr>
                <w:sz w:val="3"/>
                <w:szCs w:val="3"/>
                <w:color w:val="auto"/>
              </w:rPr>
            </w:pPr>
          </w:p>
        </w:tc>
        <w:tc>
          <w:tcPr>
            <w:tcW w:w="1340" w:type="dxa"/>
            <w:vAlign w:val="bottom"/>
            <w:vMerge w:val="restart"/>
          </w:tcPr>
          <w:p>
            <w:pPr>
              <w:jc w:val="right"/>
              <w:ind w:right="65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60" w:type="dxa"/>
            <w:vAlign w:val="bottom"/>
            <w:vMerge w:val="restart"/>
          </w:tcPr>
          <w:p>
            <w:pPr>
              <w:jc w:val="right"/>
              <w:ind w:right="67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3"/>
                <w:szCs w:val="3"/>
                <w:color w:val="auto"/>
              </w:rPr>
            </w:pPr>
          </w:p>
        </w:tc>
        <w:tc>
          <w:tcPr>
            <w:tcW w:w="1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8"/>
        </w:trPr>
        <w:tc>
          <w:tcPr>
            <w:tcW w:w="5580" w:type="dxa"/>
            <w:vAlign w:val="bottom"/>
            <w:tcBorders>
              <w:bottom w:val="single" w:sz="8" w:color="CCEEFF"/>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8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24"/>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Toric</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30"/>
        </w:trPr>
        <w:tc>
          <w:tcPr>
            <w:tcW w:w="5580" w:type="dxa"/>
            <w:vAlign w:val="bottom"/>
          </w:tcPr>
          <w:p>
            <w:pPr>
              <w:ind w:left="20"/>
              <w:spacing w:after="0"/>
              <w:rPr>
                <w:sz w:val="20"/>
                <w:szCs w:val="20"/>
                <w:color w:val="auto"/>
              </w:rPr>
            </w:pPr>
            <w:r>
              <w:rPr>
                <w:rFonts w:ascii="Arial" w:cs="Arial" w:eastAsia="Arial" w:hAnsi="Arial"/>
                <w:sz w:val="18"/>
                <w:szCs w:val="18"/>
                <w:color w:val="auto"/>
              </w:rPr>
              <w:t>Multifocal</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61.6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46.9</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Single-use spheres</w:t>
            </w: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30"/>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 single-use sphere, other</w:t>
            </w:r>
          </w:p>
        </w:tc>
        <w:tc>
          <w:tcPr>
            <w:tcW w:w="4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155.6</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w:t>
            </w:r>
          </w:p>
        </w:tc>
        <w:tc>
          <w:tcPr>
            <w:tcW w:w="19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48"/>
        </w:trPr>
        <w:tc>
          <w:tcPr>
            <w:tcW w:w="55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449.3</w:t>
            </w:r>
          </w:p>
        </w:tc>
        <w:tc>
          <w:tcPr>
            <w:tcW w:w="1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59690</wp:posOffset>
            </wp:positionV>
            <wp:extent cx="5143500" cy="2451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00"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20" w:type="dxa"/>
            <w:vAlign w:val="bottom"/>
          </w:tcPr>
          <w:p>
            <w:pPr>
              <w:ind w:left="20"/>
              <w:spacing w:after="0"/>
              <w:rPr>
                <w:sz w:val="20"/>
                <w:szCs w:val="20"/>
                <w:color w:val="auto"/>
              </w:rPr>
            </w:pPr>
            <w:r>
              <w:rPr>
                <w:rFonts w:ascii="Arial" w:cs="Arial" w:eastAsia="Arial" w:hAnsi="Arial"/>
                <w:sz w:val="14"/>
                <w:szCs w:val="14"/>
                <w:b w:val="1"/>
                <w:bCs w:val="1"/>
                <w:color w:val="auto"/>
              </w:rPr>
              <w:t>Nine Months Ended July 31,</w:t>
            </w: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vMerge w:val="restart"/>
          </w:tcPr>
          <w:p>
            <w:pPr>
              <w:jc w:val="right"/>
              <w:ind w:right="662"/>
              <w:spacing w:after="0"/>
              <w:rPr>
                <w:sz w:val="20"/>
                <w:szCs w:val="20"/>
                <w:color w:val="auto"/>
              </w:rPr>
            </w:pPr>
            <w:r>
              <w:rPr>
                <w:rFonts w:ascii="Arial" w:cs="Arial" w:eastAsia="Arial" w:hAnsi="Arial"/>
                <w:sz w:val="14"/>
                <w:szCs w:val="14"/>
                <w:b w:val="1"/>
                <w:bCs w:val="1"/>
                <w:color w:val="auto"/>
              </w:rPr>
              <w:t>2021 vs 2020</w:t>
            </w:r>
          </w:p>
        </w:tc>
        <w:tc>
          <w:tcPr>
            <w:tcW w:w="0" w:type="dxa"/>
            <w:vAlign w:val="bottom"/>
          </w:tcPr>
          <w:p>
            <w:pPr>
              <w:spacing w:after="0"/>
              <w:rPr>
                <w:sz w:val="1"/>
                <w:szCs w:val="1"/>
                <w:color w:val="auto"/>
              </w:rPr>
            </w:pPr>
          </w:p>
        </w:tc>
      </w:tr>
      <w:tr>
        <w:trPr>
          <w:trHeight w:val="39"/>
        </w:trPr>
        <w:tc>
          <w:tcPr>
            <w:tcW w:w="52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millions)</w:t>
            </w:r>
          </w:p>
        </w:tc>
        <w:tc>
          <w:tcPr>
            <w:tcW w:w="420" w:type="dxa"/>
            <w:vAlign w:val="bottom"/>
          </w:tcPr>
          <w:p>
            <w:pPr>
              <w:spacing w:after="0"/>
              <w:rPr>
                <w:sz w:val="3"/>
                <w:szCs w:val="3"/>
                <w:color w:val="auto"/>
              </w:rPr>
            </w:pPr>
          </w:p>
        </w:tc>
        <w:tc>
          <w:tcPr>
            <w:tcW w:w="1360" w:type="dxa"/>
            <w:vAlign w:val="bottom"/>
            <w:vMerge w:val="restart"/>
          </w:tcPr>
          <w:p>
            <w:pPr>
              <w:jc w:val="right"/>
              <w:ind w:right="65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360" w:type="dxa"/>
            <w:vAlign w:val="bottom"/>
            <w:vMerge w:val="restart"/>
          </w:tcPr>
          <w:p>
            <w:pPr>
              <w:jc w:val="right"/>
              <w:ind w:right="67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3"/>
                <w:szCs w:val="3"/>
                <w:color w:val="auto"/>
              </w:rPr>
            </w:pPr>
          </w:p>
        </w:tc>
        <w:tc>
          <w:tcPr>
            <w:tcW w:w="22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8"/>
        </w:trPr>
        <w:tc>
          <w:tcPr>
            <w:tcW w:w="522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40" w:type="dxa"/>
            <w:vAlign w:val="bottom"/>
            <w:tcBorders>
              <w:bottom w:val="single" w:sz="8" w:color="auto"/>
            </w:tcBorders>
          </w:tcPr>
          <w:p>
            <w:pPr>
              <w:jc w:val="right"/>
              <w:ind w:right="72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24"/>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Toric</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436.3</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29"/>
        </w:trPr>
        <w:tc>
          <w:tcPr>
            <w:tcW w:w="5220" w:type="dxa"/>
            <w:vAlign w:val="bottom"/>
          </w:tcPr>
          <w:p>
            <w:pPr>
              <w:ind w:left="20"/>
              <w:spacing w:after="0"/>
              <w:rPr>
                <w:sz w:val="20"/>
                <w:szCs w:val="20"/>
                <w:color w:val="auto"/>
              </w:rPr>
            </w:pPr>
            <w:r>
              <w:rPr>
                <w:rFonts w:ascii="Arial" w:cs="Arial" w:eastAsia="Arial" w:hAnsi="Arial"/>
                <w:sz w:val="18"/>
                <w:szCs w:val="18"/>
                <w:color w:val="auto"/>
              </w:rPr>
              <w:t>Multifocal</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177.3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143.8</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Single-use spheres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380.7</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29"/>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 single-use sphere, other</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375.9</w:t>
            </w:r>
          </w:p>
        </w:tc>
        <w:tc>
          <w:tcPr>
            <w:tcW w:w="2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48"/>
        </w:trPr>
        <w:tc>
          <w:tcPr>
            <w:tcW w:w="5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1,336.7</w:t>
            </w:r>
          </w:p>
        </w:tc>
        <w:tc>
          <w:tcPr>
            <w:tcW w:w="2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In the three and nine months ended July 31, 2021:</w:t>
      </w:r>
    </w:p>
    <w:p>
      <w:pPr>
        <w:spacing w:after="0" w:line="171"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Toric and multifocal lenses grew primarily through the success of Biofinity toric and multifocal and MyDay toric.</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Single-use sphere lenses growth was primarily driven by MyDay and clariti lenses.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Non single-use sphere lenses growth was primarily driven by Biofinity.</w:t>
      </w:r>
    </w:p>
    <w:p>
      <w:pPr>
        <w:spacing w:after="0" w:line="171"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products primarily include lens care which represented approximately 2% of net sales in both the three and nine months ended July 31, 2021 and 2020.</w:t>
      </w:r>
    </w:p>
    <w:p>
      <w:pPr>
        <w:spacing w:after="0" w:line="116" w:lineRule="exact"/>
        <w:rPr>
          <w:rFonts w:ascii="Arial" w:cs="Arial" w:eastAsia="Arial" w:hAnsi="Arial"/>
          <w:sz w:val="18"/>
          <w:szCs w:val="18"/>
          <w:color w:val="auto"/>
        </w:rPr>
      </w:pPr>
    </w:p>
    <w:p>
      <w:pPr>
        <w:ind w:left="660" w:right="48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Total silicone hydrogel products increased by 28% and 24% in the three and nine months ended July 31 2021, representing 76% of net sales, compared to 73% in the three and nine months ended July 31, 2020.</w:t>
      </w:r>
    </w:p>
    <w:p>
      <w:pPr>
        <w:spacing w:after="0" w:line="116" w:lineRule="exact"/>
        <w:rPr>
          <w:rFonts w:ascii="Arial" w:cs="Arial" w:eastAsia="Arial" w:hAnsi="Arial"/>
          <w:sz w:val="18"/>
          <w:szCs w:val="18"/>
          <w:color w:val="auto"/>
        </w:rPr>
      </w:pPr>
    </w:p>
    <w:p>
      <w:pPr>
        <w:ind w:left="660" w:right="140" w:hanging="328"/>
        <w:spacing w:after="0" w:line="263"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Foreign exchange rates positively impacted sales by approximately $20.4 million and $56.7 million in the three and nine months ended July 31, 2021 and had a negative impact of $2.8 million and $12.4 million in the prior year periods. In the three and nine months ended July 31, 2021, net sales increased by 20% and 14% in constant currency over the prior year periods.</w:t>
      </w:r>
    </w:p>
    <w:p>
      <w:pPr>
        <w:spacing w:after="0" w:line="129" w:lineRule="exact"/>
        <w:rPr>
          <w:rFonts w:ascii="Arial" w:cs="Arial" w:eastAsia="Arial" w:hAnsi="Arial"/>
          <w:sz w:val="18"/>
          <w:szCs w:val="18"/>
          <w:color w:val="auto"/>
        </w:rPr>
      </w:pPr>
    </w:p>
    <w:p>
      <w:pPr>
        <w:ind w:left="660" w:right="420" w:hanging="328"/>
        <w:spacing w:after="0" w:line="308" w:lineRule="auto"/>
        <w:tabs>
          <w:tab w:leader="none" w:pos="6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Sales growth was primarily driven by an increase in the volume of lenses sold across our core portfolio due to a recovery in demand from the impact of the COVID-19 pandemic. Average realized prices by product did not materially influence sales growth.</w:t>
      </w:r>
    </w:p>
    <w:p>
      <w:pPr>
        <w:spacing w:after="0" w:line="92" w:lineRule="exact"/>
        <w:rPr>
          <w:rFonts w:ascii="Arial" w:cs="Arial" w:eastAsia="Arial" w:hAnsi="Arial"/>
          <w:sz w:val="17"/>
          <w:szCs w:val="17"/>
          <w:color w:val="auto"/>
        </w:rPr>
      </w:pPr>
    </w:p>
    <w:p>
      <w:pPr>
        <w:ind w:left="660" w:right="34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expect to continue seeing downward pressure and volatility in certain markets related to net sales if the COVID-19 pandemic continues, as optical retailers and healthcare centers continue to restrict access, and social distancing measures continue.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CooperVision Net Sales by Geography</w:t>
      </w:r>
    </w:p>
    <w:p>
      <w:pPr>
        <w:spacing w:after="0" w:line="25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CooperVision competes in the worldwide soft contact lens market and services in three primary regions: the Americas, EMEA (Europe, Middle East and Africa) and Asia Pacific.</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40" w:type="dxa"/>
            <w:vAlign w:val="bottom"/>
          </w:tcPr>
          <w:p>
            <w:pPr>
              <w:ind w:left="20"/>
              <w:spacing w:after="0"/>
              <w:rPr>
                <w:sz w:val="20"/>
                <w:szCs w:val="20"/>
                <w:color w:val="auto"/>
              </w:rPr>
            </w:pPr>
            <w:r>
              <w:rPr>
                <w:rFonts w:ascii="Arial" w:cs="Arial" w:eastAsia="Arial" w:hAnsi="Arial"/>
                <w:sz w:val="14"/>
                <w:szCs w:val="14"/>
                <w:b w:val="1"/>
                <w:bCs w:val="1"/>
                <w:color w:val="auto"/>
              </w:rPr>
              <w:t>Periods Ended July 31,</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Three Months</w:t>
            </w:r>
          </w:p>
        </w:tc>
        <w:tc>
          <w:tcPr>
            <w:tcW w:w="1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Nine Months</w:t>
            </w: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millions)</w:t>
            </w:r>
          </w:p>
        </w:tc>
        <w:tc>
          <w:tcPr>
            <w:tcW w:w="220" w:type="dxa"/>
            <w:vAlign w:val="bottom"/>
          </w:tcPr>
          <w:p>
            <w:pPr>
              <w:spacing w:after="0"/>
              <w:rPr>
                <w:sz w:val="11"/>
                <w:szCs w:val="11"/>
                <w:color w:val="auto"/>
              </w:rPr>
            </w:pPr>
          </w:p>
        </w:tc>
        <w:tc>
          <w:tcPr>
            <w:tcW w:w="76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vMerge w:val="restart"/>
          </w:tcPr>
          <w:p>
            <w:pPr>
              <w:jc w:val="right"/>
              <w:ind w:right="35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1"/>
                <w:szCs w:val="11"/>
                <w:color w:val="auto"/>
              </w:rPr>
            </w:pPr>
          </w:p>
        </w:tc>
        <w:tc>
          <w:tcPr>
            <w:tcW w:w="13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2021 vs 2020</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right"/>
              <w:ind w:right="176"/>
              <w:spacing w:after="0" w:line="135" w:lineRule="exact"/>
              <w:rPr>
                <w:sz w:val="20"/>
                <w:szCs w:val="20"/>
                <w:color w:val="auto"/>
              </w:rPr>
            </w:pPr>
            <w:r>
              <w:rPr>
                <w:rFonts w:ascii="Arial" w:cs="Arial" w:eastAsia="Arial" w:hAnsi="Arial"/>
                <w:sz w:val="14"/>
                <w:szCs w:val="14"/>
                <w:b w:val="1"/>
                <w:bCs w:val="1"/>
                <w:color w:val="auto"/>
              </w:rPr>
              <w:t>2021 vs 2020</w:t>
            </w:r>
          </w:p>
        </w:tc>
        <w:tc>
          <w:tcPr>
            <w:tcW w:w="0" w:type="dxa"/>
            <w:vAlign w:val="bottom"/>
          </w:tcPr>
          <w:p>
            <w:pPr>
              <w:spacing w:after="0"/>
              <w:rPr>
                <w:sz w:val="1"/>
                <w:szCs w:val="1"/>
                <w:color w:val="auto"/>
              </w:rPr>
            </w:pPr>
          </w:p>
        </w:tc>
      </w:tr>
      <w:tr>
        <w:trPr>
          <w:trHeight w:val="188"/>
        </w:trPr>
        <w:tc>
          <w:tcPr>
            <w:tcW w:w="40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 Change</w:t>
            </w: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236"/>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24"/>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176.5</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Arial" w:cs="Arial" w:eastAsia="Arial" w:hAnsi="Arial"/>
                <w:sz w:val="18"/>
                <w:szCs w:val="18"/>
                <w:color w:val="auto"/>
              </w:rPr>
              <w:t>EMEA</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165.7</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506.8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23"/>
        </w:trPr>
        <w:tc>
          <w:tcPr>
            <w:tcW w:w="40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449.3</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1,587.1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1,336.7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CooperVision's growth in net sales across all regions was primarily attributable to market gains of silicone hydrogel contact lenses and favorable foreign currency impacts. Refer to CooperVision Net Sales by Category above for further discussion.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CooperSurgical Net Sales by Category</w:t>
      </w:r>
    </w:p>
    <w:p>
      <w:pPr>
        <w:spacing w:after="0" w:line="17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CooperSurgical supplies the family health care market with a diversified portfolio of products and services. Our office and surgical offerings include products that facilitate surgical and non-surgical procedures that are commonly performed</w:t>
      </w: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30" w:name="page31"/>
    <w:bookmarkEnd w:id="30"/>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362" w:lineRule="exact"/>
        <w:rPr>
          <w:sz w:val="20"/>
          <w:szCs w:val="20"/>
          <w:color w:val="auto"/>
        </w:rPr>
      </w:pPr>
    </w:p>
    <w:p>
      <w:pPr>
        <w:jc w:val="both"/>
        <w:ind w:right="80"/>
        <w:spacing w:after="0" w:line="342" w:lineRule="auto"/>
        <w:rPr>
          <w:sz w:val="20"/>
          <w:szCs w:val="20"/>
          <w:color w:val="auto"/>
        </w:rPr>
      </w:pPr>
      <w:r>
        <w:rPr>
          <w:rFonts w:ascii="Arial" w:cs="Arial" w:eastAsia="Arial" w:hAnsi="Arial"/>
          <w:sz w:val="16"/>
          <w:szCs w:val="16"/>
          <w:color w:val="auto"/>
        </w:rPr>
        <w:t>primarily by obstetricians and gynecologists in hospitals, surgical centers, fertility clinics and medical offices. Fertility offerings include highly specialized products and services that target the IVF process, including diagnostics testing with a goal to make fertility treatment safer, more efficient and convenient.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chart below shows the percentage of net sales of office and surgical products and fertility.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117475</wp:posOffset>
            </wp:positionV>
            <wp:extent cx="5657850" cy="24860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48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22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July 31,</w:t>
            </w: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vMerge w:val="restart"/>
          </w:tcPr>
          <w:p>
            <w:pPr>
              <w:jc w:val="right"/>
              <w:ind w:right="642"/>
              <w:spacing w:after="0"/>
              <w:rPr>
                <w:sz w:val="20"/>
                <w:szCs w:val="20"/>
                <w:color w:val="auto"/>
              </w:rPr>
            </w:pPr>
            <w:r>
              <w:rPr>
                <w:rFonts w:ascii="Arial" w:cs="Arial" w:eastAsia="Arial" w:hAnsi="Arial"/>
                <w:sz w:val="14"/>
                <w:szCs w:val="14"/>
                <w:b w:val="1"/>
                <w:bCs w:val="1"/>
                <w:color w:val="auto"/>
              </w:rPr>
              <w:t>2021 vs 2020</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22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420" w:type="dxa"/>
            <w:vAlign w:val="bottom"/>
          </w:tcPr>
          <w:p>
            <w:pPr>
              <w:spacing w:after="0"/>
              <w:rPr>
                <w:sz w:val="3"/>
                <w:szCs w:val="3"/>
                <w:color w:val="auto"/>
              </w:rPr>
            </w:pPr>
          </w:p>
        </w:tc>
        <w:tc>
          <w:tcPr>
            <w:tcW w:w="1360" w:type="dxa"/>
            <w:vAlign w:val="bottom"/>
            <w:vMerge w:val="restart"/>
          </w:tcPr>
          <w:p>
            <w:pPr>
              <w:jc w:val="right"/>
              <w:ind w:right="6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340" w:type="dxa"/>
            <w:vAlign w:val="bottom"/>
            <w:vMerge w:val="restart"/>
          </w:tcPr>
          <w:p>
            <w:pPr>
              <w:jc w:val="right"/>
              <w:ind w:right="65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3"/>
                <w:szCs w:val="3"/>
                <w:color w:val="auto"/>
              </w:rPr>
            </w:pPr>
          </w:p>
        </w:tc>
        <w:tc>
          <w:tcPr>
            <w:tcW w:w="22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522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20" w:type="dxa"/>
            <w:vAlign w:val="bottom"/>
          </w:tcPr>
          <w:p>
            <w:pPr>
              <w:jc w:val="right"/>
              <w:ind w:right="702"/>
              <w:spacing w:after="0" w:line="149" w:lineRule="exact"/>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Office and surgical products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12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2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Fertility</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w:t>
            </w:r>
          </w:p>
        </w:tc>
        <w:tc>
          <w:tcPr>
            <w:tcW w:w="2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77 %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2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59690</wp:posOffset>
            </wp:positionV>
            <wp:extent cx="5657850" cy="24860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48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220" w:type="dxa"/>
            <w:vAlign w:val="bottom"/>
            <w:gridSpan w:val="2"/>
          </w:tcPr>
          <w:p>
            <w:pPr>
              <w:spacing w:after="0"/>
              <w:rPr>
                <w:sz w:val="20"/>
                <w:szCs w:val="20"/>
                <w:color w:val="auto"/>
              </w:rPr>
            </w:pPr>
            <w:r>
              <w:rPr>
                <w:rFonts w:ascii="Arial" w:cs="Arial" w:eastAsia="Arial" w:hAnsi="Arial"/>
                <w:sz w:val="14"/>
                <w:szCs w:val="14"/>
                <w:b w:val="1"/>
                <w:bCs w:val="1"/>
                <w:color w:val="auto"/>
              </w:rPr>
              <w:t>Nine Months Ended July 31,</w:t>
            </w: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vMerge w:val="restart"/>
          </w:tcPr>
          <w:p>
            <w:pPr>
              <w:jc w:val="right"/>
              <w:ind w:right="642"/>
              <w:spacing w:after="0"/>
              <w:rPr>
                <w:sz w:val="20"/>
                <w:szCs w:val="20"/>
                <w:color w:val="auto"/>
              </w:rPr>
            </w:pPr>
            <w:r>
              <w:rPr>
                <w:rFonts w:ascii="Arial" w:cs="Arial" w:eastAsia="Arial" w:hAnsi="Arial"/>
                <w:sz w:val="14"/>
                <w:szCs w:val="14"/>
                <w:b w:val="1"/>
                <w:bCs w:val="1"/>
                <w:color w:val="auto"/>
              </w:rPr>
              <w:t>2021 vs 2020</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22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420" w:type="dxa"/>
            <w:vAlign w:val="bottom"/>
          </w:tcPr>
          <w:p>
            <w:pPr>
              <w:spacing w:after="0"/>
              <w:rPr>
                <w:sz w:val="3"/>
                <w:szCs w:val="3"/>
                <w:color w:val="auto"/>
              </w:rPr>
            </w:pPr>
          </w:p>
        </w:tc>
        <w:tc>
          <w:tcPr>
            <w:tcW w:w="1360" w:type="dxa"/>
            <w:vAlign w:val="bottom"/>
            <w:vMerge w:val="restart"/>
          </w:tcPr>
          <w:p>
            <w:pPr>
              <w:jc w:val="right"/>
              <w:ind w:right="6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340" w:type="dxa"/>
            <w:vAlign w:val="bottom"/>
            <w:vMerge w:val="restart"/>
          </w:tcPr>
          <w:p>
            <w:pPr>
              <w:jc w:val="right"/>
              <w:ind w:right="65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3"/>
                <w:szCs w:val="3"/>
                <w:color w:val="auto"/>
              </w:rPr>
            </w:pPr>
          </w:p>
        </w:tc>
        <w:tc>
          <w:tcPr>
            <w:tcW w:w="22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20" w:type="dxa"/>
            <w:vAlign w:val="bottom"/>
          </w:tcPr>
          <w:p>
            <w:pPr>
              <w:jc w:val="right"/>
              <w:ind w:right="702"/>
              <w:spacing w:after="0" w:line="149" w:lineRule="exact"/>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Office and surgical products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w:t>
            </w:r>
          </w:p>
        </w:tc>
        <w:tc>
          <w:tcPr>
            <w:tcW w:w="12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2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Fertility</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162.9</w:t>
            </w:r>
          </w:p>
        </w:tc>
        <w:tc>
          <w:tcPr>
            <w:tcW w:w="2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412.6</w:t>
            </w:r>
          </w:p>
        </w:tc>
        <w:tc>
          <w:tcPr>
            <w:tcW w:w="2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31" w:name="page32"/>
    <w:bookmarkEnd w:id="31"/>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In the three and nine months ended July 31, 2021:</w:t>
      </w:r>
    </w:p>
    <w:p>
      <w:pPr>
        <w:spacing w:after="0" w:line="166" w:lineRule="exact"/>
        <w:rPr>
          <w:sz w:val="20"/>
          <w:szCs w:val="20"/>
          <w:color w:val="auto"/>
        </w:rPr>
      </w:pPr>
    </w:p>
    <w:p>
      <w:pPr>
        <w:ind w:left="660" w:right="320" w:hanging="328"/>
        <w:spacing w:after="0" w:line="243" w:lineRule="auto"/>
        <w:tabs>
          <w:tab w:leader="none" w:pos="6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Office and surgical products increased compared to the prior year periods due to an increase in PARAGARD</w:t>
      </w:r>
      <w:r>
        <w:rPr>
          <w:rFonts w:ascii="Arial" w:cs="Arial" w:eastAsia="Arial" w:hAnsi="Arial"/>
          <w:sz w:val="22"/>
          <w:szCs w:val="22"/>
          <w:color w:val="auto"/>
          <w:vertAlign w:val="superscript"/>
        </w:rPr>
        <w:t>®</w:t>
      </w:r>
      <w:r>
        <w:rPr>
          <w:rFonts w:ascii="Arial" w:cs="Arial" w:eastAsia="Arial" w:hAnsi="Arial"/>
          <w:sz w:val="17"/>
          <w:szCs w:val="17"/>
          <w:color w:val="auto"/>
        </w:rPr>
        <w:t xml:space="preserve"> sales compared to the prior year periods. Further, there was an increase from other office and surgical products such as Uterine Manipulators, Retractors, Closure products, Incontinence products, Point-of-Care products and sales from our recent acquisitions, Illuminate and Fetal Pillow</w:t>
      </w:r>
      <w:r>
        <w:rPr>
          <w:rFonts w:ascii="Arial" w:cs="Arial" w:eastAsia="Arial" w:hAnsi="Arial"/>
          <w:sz w:val="22"/>
          <w:szCs w:val="22"/>
          <w:color w:val="auto"/>
          <w:vertAlign w:val="superscript"/>
        </w:rPr>
        <w:t>®</w:t>
      </w:r>
      <w:r>
        <w:rPr>
          <w:rFonts w:ascii="Arial" w:cs="Arial" w:eastAsia="Arial" w:hAnsi="Arial"/>
          <w:sz w:val="17"/>
          <w:szCs w:val="17"/>
          <w:color w:val="auto"/>
        </w:rPr>
        <w:t>.</w:t>
      </w:r>
    </w:p>
    <w:p>
      <w:pPr>
        <w:spacing w:after="0" w:line="64" w:lineRule="exact"/>
        <w:rPr>
          <w:rFonts w:ascii="Arial" w:cs="Arial" w:eastAsia="Arial" w:hAnsi="Arial"/>
          <w:sz w:val="17"/>
          <w:szCs w:val="17"/>
          <w:color w:val="auto"/>
        </w:rPr>
      </w:pPr>
    </w:p>
    <w:p>
      <w:pPr>
        <w:ind w:left="660" w:right="18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Fertility net sales increased compared to the prior year periods mainly due to an increase in revenue from fertility consumables, equipment sales, preimplantation genetic testing and sales from our recent acquisition, Embryo Options.</w:t>
      </w:r>
    </w:p>
    <w:p>
      <w:pPr>
        <w:spacing w:after="0" w:line="116" w:lineRule="exact"/>
        <w:rPr>
          <w:rFonts w:ascii="Arial" w:cs="Arial" w:eastAsia="Arial" w:hAnsi="Arial"/>
          <w:sz w:val="18"/>
          <w:szCs w:val="18"/>
          <w:color w:val="auto"/>
        </w:rPr>
      </w:pPr>
    </w:p>
    <w:p>
      <w:pPr>
        <w:ind w:left="660" w:right="20" w:hanging="328"/>
        <w:spacing w:after="0" w:line="263"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Foreign exchange rates positively impacted sales by approximately $2.5 million and $6.5 million in the three and nine months ended July 31, 2021 and had a negative impact of $0.5 million and $2.6 million in the prior year periods. In the three and nine months ended July 31, 2021, net sales increased by 58% and 38% in constant currency over the prior year periods.</w:t>
      </w:r>
    </w:p>
    <w:p>
      <w:pPr>
        <w:spacing w:after="0" w:line="129"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Sales growth was primarily driven by stronger demand for our products and services as a result of our customers continuing to reopen their health care facilities and medical offices.</w:t>
      </w:r>
    </w:p>
    <w:p>
      <w:pPr>
        <w:spacing w:after="0" w:line="116" w:lineRule="exact"/>
        <w:rPr>
          <w:rFonts w:ascii="Arial" w:cs="Arial" w:eastAsia="Arial" w:hAnsi="Arial"/>
          <w:sz w:val="18"/>
          <w:szCs w:val="18"/>
          <w:color w:val="auto"/>
        </w:rPr>
      </w:pPr>
    </w:p>
    <w:p>
      <w:pPr>
        <w:ind w:left="660" w:right="34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expect to continue seeing downward pressure and volatility in certain markets related to net sales if the COVID-19 pandemic continues, as hospitals and healthcare centers continue to restrict access, and social distancing measures continue.</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256"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Consolidated gross margins were 68% and 67% in the three and nine months ended July 31, 2021, up from 62% and 63% in the prior year periods, primarily driven by favorable product mix.</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gridSpan w:val="4"/>
          </w:tcPr>
          <w:p>
            <w:pPr>
              <w:spacing w:after="0"/>
              <w:rPr>
                <w:sz w:val="20"/>
                <w:szCs w:val="20"/>
                <w:color w:val="auto"/>
              </w:rPr>
            </w:pPr>
            <w:r>
              <w:rPr>
                <w:rFonts w:ascii="Arial" w:cs="Arial" w:eastAsia="Arial" w:hAnsi="Arial"/>
                <w:sz w:val="18"/>
                <w:szCs w:val="18"/>
                <w:b w:val="1"/>
                <w:bCs w:val="1"/>
                <w:color w:val="auto"/>
                <w:w w:val="94"/>
              </w:rPr>
              <w:t>Selling, General and Administrative Expense (SGA)</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9"/>
        </w:trPr>
        <w:tc>
          <w:tcPr>
            <w:tcW w:w="2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July 31,</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2021 vs 2020</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84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00" w:type="dxa"/>
            <w:vAlign w:val="bottom"/>
          </w:tcPr>
          <w:p>
            <w:pPr>
              <w:spacing w:after="0"/>
              <w:rPr>
                <w:sz w:val="3"/>
                <w:szCs w:val="3"/>
                <w:color w:val="auto"/>
              </w:rPr>
            </w:pPr>
          </w:p>
        </w:tc>
        <w:tc>
          <w:tcPr>
            <w:tcW w:w="92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3"/>
                <w:szCs w:val="3"/>
                <w:color w:val="auto"/>
              </w:rPr>
            </w:pPr>
          </w:p>
        </w:tc>
        <w:tc>
          <w:tcPr>
            <w:tcW w:w="12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 Net Sales</w:t>
            </w:r>
          </w:p>
        </w:tc>
        <w:tc>
          <w:tcPr>
            <w:tcW w:w="280" w:type="dxa"/>
            <w:vAlign w:val="bottom"/>
          </w:tcPr>
          <w:p>
            <w:pPr>
              <w:spacing w:after="0"/>
              <w:rPr>
                <w:sz w:val="3"/>
                <w:szCs w:val="3"/>
                <w:color w:val="auto"/>
              </w:rPr>
            </w:pPr>
          </w:p>
        </w:tc>
        <w:tc>
          <w:tcPr>
            <w:tcW w:w="94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3"/>
                <w:szCs w:val="3"/>
                <w:color w:val="auto"/>
              </w:rPr>
            </w:pPr>
          </w:p>
        </w:tc>
        <w:tc>
          <w:tcPr>
            <w:tcW w:w="116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 Net Sales</w:t>
            </w:r>
          </w:p>
        </w:tc>
        <w:tc>
          <w:tcPr>
            <w:tcW w:w="120" w:type="dxa"/>
            <w:vAlign w:val="bottom"/>
          </w:tcPr>
          <w:p>
            <w:pPr>
              <w:spacing w:after="0"/>
              <w:rPr>
                <w:sz w:val="3"/>
                <w:szCs w:val="3"/>
                <w:color w:val="auto"/>
              </w:rPr>
            </w:pPr>
          </w:p>
        </w:tc>
        <w:tc>
          <w:tcPr>
            <w:tcW w:w="21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CooperVision</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258.2</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ind w:left="760"/>
              <w:spacing w:after="0"/>
              <w:rPr>
                <w:sz w:val="20"/>
                <w:szCs w:val="20"/>
                <w:color w:val="auto"/>
              </w:rPr>
            </w:pPr>
            <w:r>
              <w:rPr>
                <w:rFonts w:ascii="Arial" w:cs="Arial" w:eastAsia="Arial" w:hAnsi="Arial"/>
                <w:sz w:val="18"/>
                <w:szCs w:val="18"/>
                <w:color w:val="auto"/>
                <w:w w:val="92"/>
              </w:rPr>
              <w:t>46 %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ind w:left="760"/>
              <w:spacing w:after="0"/>
              <w:rPr>
                <w:sz w:val="20"/>
                <w:szCs w:val="20"/>
                <w:color w:val="auto"/>
              </w:rPr>
            </w:pPr>
            <w:r>
              <w:rPr>
                <w:rFonts w:ascii="Arial" w:cs="Arial" w:eastAsia="Arial" w:hAnsi="Arial"/>
                <w:sz w:val="18"/>
                <w:szCs w:val="18"/>
                <w:color w:val="auto"/>
                <w:w w:val="92"/>
              </w:rPr>
              <w:t>36 %</w:t>
            </w:r>
          </w:p>
        </w:tc>
        <w:tc>
          <w:tcPr>
            <w:tcW w:w="12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CooperSurgical</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80.7</w:t>
            </w: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w w:val="92"/>
              </w:rPr>
              <w:t>39 %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59.7</w:t>
            </w: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w w:val="92"/>
              </w:rPr>
              <w:t>46 %</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352.5</w:t>
            </w: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w w:val="92"/>
              </w:rPr>
              <w:t>46 %</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232.8</w:t>
            </w: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w w:val="92"/>
              </w:rPr>
              <w:t>40 %</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Nine Months Ended July 31,</w:t>
            </w: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2021 vs 2020</w:t>
            </w: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384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84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00" w:type="dxa"/>
            <w:vAlign w:val="bottom"/>
          </w:tcPr>
          <w:p>
            <w:pPr>
              <w:spacing w:after="0"/>
              <w:rPr>
                <w:sz w:val="3"/>
                <w:szCs w:val="3"/>
                <w:color w:val="auto"/>
              </w:rPr>
            </w:pPr>
          </w:p>
        </w:tc>
        <w:tc>
          <w:tcPr>
            <w:tcW w:w="92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3"/>
                <w:szCs w:val="3"/>
                <w:color w:val="auto"/>
              </w:rPr>
            </w:pPr>
          </w:p>
        </w:tc>
        <w:tc>
          <w:tcPr>
            <w:tcW w:w="12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 Net Sales</w:t>
            </w:r>
          </w:p>
        </w:tc>
        <w:tc>
          <w:tcPr>
            <w:tcW w:w="280" w:type="dxa"/>
            <w:vAlign w:val="bottom"/>
          </w:tcPr>
          <w:p>
            <w:pPr>
              <w:spacing w:after="0"/>
              <w:rPr>
                <w:sz w:val="3"/>
                <w:szCs w:val="3"/>
                <w:color w:val="auto"/>
              </w:rPr>
            </w:pPr>
          </w:p>
        </w:tc>
        <w:tc>
          <w:tcPr>
            <w:tcW w:w="94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3"/>
                <w:szCs w:val="3"/>
                <w:color w:val="auto"/>
              </w:rPr>
            </w:pPr>
          </w:p>
        </w:tc>
        <w:tc>
          <w:tcPr>
            <w:tcW w:w="116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 Net Sales</w:t>
            </w:r>
          </w:p>
        </w:tc>
        <w:tc>
          <w:tcPr>
            <w:tcW w:w="120" w:type="dxa"/>
            <w:vAlign w:val="bottom"/>
          </w:tcPr>
          <w:p>
            <w:pPr>
              <w:spacing w:after="0"/>
              <w:rPr>
                <w:sz w:val="3"/>
                <w:szCs w:val="3"/>
                <w:color w:val="auto"/>
              </w:rPr>
            </w:pPr>
          </w:p>
        </w:tc>
        <w:tc>
          <w:tcPr>
            <w:tcW w:w="21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38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CooperVision</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631.8</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ind w:left="760"/>
              <w:spacing w:after="0"/>
              <w:rPr>
                <w:sz w:val="20"/>
                <w:szCs w:val="20"/>
                <w:color w:val="auto"/>
              </w:rPr>
            </w:pPr>
            <w:r>
              <w:rPr>
                <w:rFonts w:ascii="Arial" w:cs="Arial" w:eastAsia="Arial" w:hAnsi="Arial"/>
                <w:sz w:val="18"/>
                <w:szCs w:val="18"/>
                <w:color w:val="auto"/>
                <w:w w:val="92"/>
              </w:rPr>
              <w:t>40 %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493.8</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ind w:left="760"/>
              <w:spacing w:after="0"/>
              <w:rPr>
                <w:sz w:val="20"/>
                <w:szCs w:val="20"/>
                <w:color w:val="auto"/>
              </w:rPr>
            </w:pPr>
            <w:r>
              <w:rPr>
                <w:rFonts w:ascii="Arial" w:cs="Arial" w:eastAsia="Arial" w:hAnsi="Arial"/>
                <w:sz w:val="18"/>
                <w:szCs w:val="18"/>
                <w:color w:val="auto"/>
                <w:w w:val="92"/>
              </w:rPr>
              <w:t>37 %</w:t>
            </w:r>
          </w:p>
        </w:tc>
        <w:tc>
          <w:tcPr>
            <w:tcW w:w="12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CooperSurgical</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231.0</w:t>
            </w: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w w:val="92"/>
              </w:rPr>
              <w:t>40 %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195.1</w:t>
            </w: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w w:val="92"/>
              </w:rPr>
              <w:t>47 %</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899.6</w:t>
            </w: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w w:val="92"/>
              </w:rPr>
              <w:t>42 %</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728.3</w:t>
            </w: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w w:val="92"/>
              </w:rPr>
              <w:t>42 %</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CooperVision's SGA increased in the three and nine months ended July 31, 2021 compared to fiscal 2020 primarily due to increases in distribution costs, general and administrative costs and advertising and marketing activities primarily related to myopia management. CooperVision's SGA in the three and nine months ended July 31, 2021 included $57.9 million and $62.3 million of costs primarily related to the increase in fair value of the contingent consideration of $56.8 million as described in Note 2. Acquisitions and Assets Held for Sale. CooperVision's SGA in the three and nine months ended July 31, 2020 included $1.1 million and $2.6 million of costs primarily related to integration activities.</w:t>
      </w:r>
    </w:p>
    <w:p>
      <w:pPr>
        <w:spacing w:after="0" w:line="122"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CooperSurgical's SGA increased in the three and nine months ended July 31, 2021 compared to fiscal 2020 primarily due to increases in selling expenses and distribution costs. CooperSurgical's SGA in the three and nine months ended July 31, 2021 included $1.2 million and $7.9 million of acquisition and integration expenses and legal settlement. CooperSurgical's SGA</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362"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in the three and nine months ended July 31, 2020 included $3.5 million and $14.0 million of integration expenses and European Medical Devices Regulation costs.</w:t>
      </w:r>
    </w:p>
    <w:p>
      <w:pPr>
        <w:spacing w:after="0" w:line="11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Corporate SGA increased in the three months ended July 31, 2021 compared to fiscal 2020 primarily due to higher share-based compensation expense. Corporate SGA decreased in the nine months ended July 31, 2021 compared to fiscal 2020 primarily due to savings from lower travel expenses due to the COVID-19 pandemic and timing of corporate projects.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gridSpan w:val="3"/>
          </w:tcPr>
          <w:p>
            <w:pPr>
              <w:spacing w:after="0"/>
              <w:rPr>
                <w:sz w:val="20"/>
                <w:szCs w:val="20"/>
                <w:color w:val="auto"/>
              </w:rPr>
            </w:pPr>
            <w:r>
              <w:rPr>
                <w:rFonts w:ascii="Arial" w:cs="Arial" w:eastAsia="Arial" w:hAnsi="Arial"/>
                <w:sz w:val="18"/>
                <w:szCs w:val="18"/>
                <w:b w:val="1"/>
                <w:bCs w:val="1"/>
                <w:color w:val="auto"/>
              </w:rPr>
              <w:t>Research and Development Expense (R&amp;D)</w:t>
            </w: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July 31,</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2021 vs 2020</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84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00" w:type="dxa"/>
            <w:vAlign w:val="bottom"/>
          </w:tcPr>
          <w:p>
            <w:pPr>
              <w:spacing w:after="0"/>
              <w:rPr>
                <w:sz w:val="3"/>
                <w:szCs w:val="3"/>
                <w:color w:val="auto"/>
              </w:rPr>
            </w:pPr>
          </w:p>
        </w:tc>
        <w:tc>
          <w:tcPr>
            <w:tcW w:w="92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3"/>
                <w:szCs w:val="3"/>
                <w:color w:val="auto"/>
              </w:rPr>
            </w:pPr>
          </w:p>
        </w:tc>
        <w:tc>
          <w:tcPr>
            <w:tcW w:w="12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 Net Sales</w:t>
            </w:r>
          </w:p>
        </w:tc>
        <w:tc>
          <w:tcPr>
            <w:tcW w:w="280" w:type="dxa"/>
            <w:vAlign w:val="bottom"/>
          </w:tcPr>
          <w:p>
            <w:pPr>
              <w:spacing w:after="0"/>
              <w:rPr>
                <w:sz w:val="3"/>
                <w:szCs w:val="3"/>
                <w:color w:val="auto"/>
              </w:rPr>
            </w:pPr>
          </w:p>
        </w:tc>
        <w:tc>
          <w:tcPr>
            <w:tcW w:w="94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3"/>
                <w:szCs w:val="3"/>
                <w:color w:val="auto"/>
              </w:rPr>
            </w:pPr>
          </w:p>
        </w:tc>
        <w:tc>
          <w:tcPr>
            <w:tcW w:w="116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 Net Sales</w:t>
            </w:r>
          </w:p>
        </w:tc>
        <w:tc>
          <w:tcPr>
            <w:tcW w:w="120" w:type="dxa"/>
            <w:vAlign w:val="bottom"/>
          </w:tcPr>
          <w:p>
            <w:pPr>
              <w:spacing w:after="0"/>
              <w:rPr>
                <w:sz w:val="3"/>
                <w:szCs w:val="3"/>
                <w:color w:val="auto"/>
              </w:rPr>
            </w:pPr>
          </w:p>
        </w:tc>
        <w:tc>
          <w:tcPr>
            <w:tcW w:w="21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38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CooperVision</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2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8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CooperSurgical</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4 %</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7 %</w:t>
            </w:r>
          </w:p>
        </w:tc>
        <w:tc>
          <w:tcPr>
            <w:tcW w:w="2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2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b w:val="1"/>
                <w:bCs w:val="1"/>
                <w:color w:val="auto"/>
              </w:rPr>
              <w:t>Nine Months Ended July 31,</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bottom w:val="single" w:sz="8" w:color="CCEEFF"/>
            </w:tcBorders>
            <w:vMerge w:val="restart"/>
          </w:tcPr>
          <w:p>
            <w:pPr>
              <w:jc w:val="center"/>
              <w:spacing w:after="0"/>
              <w:rPr>
                <w:sz w:val="20"/>
                <w:szCs w:val="20"/>
                <w:color w:val="auto"/>
              </w:rPr>
            </w:pPr>
            <w:r>
              <w:rPr>
                <w:rFonts w:ascii="Arial" w:cs="Arial" w:eastAsia="Arial" w:hAnsi="Arial"/>
                <w:sz w:val="14"/>
                <w:szCs w:val="14"/>
                <w:b w:val="1"/>
                <w:bCs w:val="1"/>
                <w:color w:val="auto"/>
                <w:w w:val="91"/>
              </w:rPr>
              <w:t>2021 vs 2020</w:t>
            </w:r>
          </w:p>
        </w:tc>
        <w:tc>
          <w:tcPr>
            <w:tcW w:w="0" w:type="dxa"/>
            <w:vAlign w:val="bottom"/>
          </w:tcPr>
          <w:p>
            <w:pPr>
              <w:spacing w:after="0" w:line="20" w:lineRule="exact"/>
              <w:rPr>
                <w:sz w:val="1"/>
                <w:szCs w:val="1"/>
                <w:color w:val="auto"/>
              </w:rPr>
            </w:pPr>
          </w:p>
        </w:tc>
      </w:tr>
      <w:tr>
        <w:trPr>
          <w:trHeight w:val="408"/>
        </w:trPr>
        <w:tc>
          <w:tcPr>
            <w:tcW w:w="20" w:type="dxa"/>
            <w:vAlign w:val="bottom"/>
          </w:tcPr>
          <w:p>
            <w:pPr>
              <w:spacing w:after="0"/>
              <w:rPr>
                <w:sz w:val="24"/>
                <w:szCs w:val="24"/>
                <w:color w:val="auto"/>
              </w:rPr>
            </w:pPr>
          </w:p>
        </w:tc>
        <w:tc>
          <w:tcPr>
            <w:tcW w:w="384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84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00" w:type="dxa"/>
            <w:vAlign w:val="bottom"/>
          </w:tcPr>
          <w:p>
            <w:pPr>
              <w:spacing w:after="0"/>
              <w:rPr>
                <w:sz w:val="3"/>
                <w:szCs w:val="3"/>
                <w:color w:val="auto"/>
              </w:rPr>
            </w:pPr>
          </w:p>
        </w:tc>
        <w:tc>
          <w:tcPr>
            <w:tcW w:w="92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3"/>
                <w:szCs w:val="3"/>
                <w:color w:val="auto"/>
              </w:rPr>
            </w:pPr>
          </w:p>
        </w:tc>
        <w:tc>
          <w:tcPr>
            <w:tcW w:w="12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 Net Sales</w:t>
            </w:r>
          </w:p>
        </w:tc>
        <w:tc>
          <w:tcPr>
            <w:tcW w:w="280" w:type="dxa"/>
            <w:vAlign w:val="bottom"/>
          </w:tcPr>
          <w:p>
            <w:pPr>
              <w:spacing w:after="0"/>
              <w:rPr>
                <w:sz w:val="3"/>
                <w:szCs w:val="3"/>
                <w:color w:val="auto"/>
              </w:rPr>
            </w:pPr>
          </w:p>
        </w:tc>
        <w:tc>
          <w:tcPr>
            <w:tcW w:w="94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3"/>
                <w:szCs w:val="3"/>
                <w:color w:val="auto"/>
              </w:rPr>
            </w:pPr>
          </w:p>
        </w:tc>
        <w:tc>
          <w:tcPr>
            <w:tcW w:w="116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 Net Sales</w:t>
            </w:r>
          </w:p>
        </w:tc>
        <w:tc>
          <w:tcPr>
            <w:tcW w:w="120" w:type="dxa"/>
            <w:vAlign w:val="bottom"/>
          </w:tcPr>
          <w:p>
            <w:pPr>
              <w:spacing w:after="0"/>
              <w:rPr>
                <w:sz w:val="3"/>
                <w:szCs w:val="3"/>
                <w:color w:val="auto"/>
              </w:rPr>
            </w:pPr>
          </w:p>
        </w:tc>
        <w:tc>
          <w:tcPr>
            <w:tcW w:w="21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38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CooperVision</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2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8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CooperSurgical</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4 %</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1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7 %</w:t>
            </w:r>
          </w:p>
        </w:tc>
        <w:tc>
          <w:tcPr>
            <w:tcW w:w="2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2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In the three and nine months ended July 31, 2021:</w:t>
      </w:r>
    </w:p>
    <w:p>
      <w:pPr>
        <w:spacing w:after="0" w:line="171" w:lineRule="exact"/>
        <w:rPr>
          <w:sz w:val="20"/>
          <w:szCs w:val="20"/>
          <w:color w:val="auto"/>
        </w:rPr>
      </w:pPr>
    </w:p>
    <w:p>
      <w:pPr>
        <w:ind w:left="660" w:right="80" w:hanging="328"/>
        <w:spacing w:after="0" w:line="311" w:lineRule="auto"/>
        <w:tabs>
          <w:tab w:leader="none" w:pos="655"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CooperVision's R&amp;D expense increased in the three and nine months ended July 31, 2021 compared to fiscal 2020, mainly due to myopia management programs and timing of R&amp;D projects. As a percentage of sales, CooperVision's R&amp;D expense remained relatively flat. CooperVision's R&amp;D activities are primarily focused on the development of contact lenses, manufacturing technology and process enhancements.</w:t>
      </w:r>
    </w:p>
    <w:p>
      <w:pPr>
        <w:spacing w:after="0" w:line="94" w:lineRule="exact"/>
        <w:rPr>
          <w:rFonts w:ascii="Arial" w:cs="Arial" w:eastAsia="Arial" w:hAnsi="Arial"/>
          <w:sz w:val="16"/>
          <w:szCs w:val="16"/>
          <w:color w:val="auto"/>
        </w:rPr>
      </w:pPr>
    </w:p>
    <w:p>
      <w:pPr>
        <w:ind w:left="660" w:right="120" w:hanging="328"/>
        <w:spacing w:after="0" w:line="296" w:lineRule="auto"/>
        <w:tabs>
          <w:tab w:leader="none" w:pos="655"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CooperSurgical's R&amp;D expense decreased in the three and nine months ended July 31, 2021 compared to fiscal 2020, mainly due to timing of R&amp;D projects and changes in headcount. CooperSurgical has not paused research programs during the COVID-19 pandemic and has maintained its spend on innovations and increased its spend on key regulatory investment areas to support our long-term objectives. As a percentage of sales, CooperSurgical's R&amp;D expense decreased, primarily due to an increase in net sales. CooperSurgical's R&amp;D activities are focused on upgrading existing and developing new products ranging from diagnostics, surgical devices to fertility instruments and solutions.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gridSpan w:val="3"/>
          </w:tcPr>
          <w:p>
            <w:pPr>
              <w:spacing w:after="0"/>
              <w:rPr>
                <w:sz w:val="20"/>
                <w:szCs w:val="20"/>
                <w:color w:val="auto"/>
              </w:rPr>
            </w:pPr>
            <w:r>
              <w:rPr>
                <w:rFonts w:ascii="Arial" w:cs="Arial" w:eastAsia="Arial" w:hAnsi="Arial"/>
                <w:sz w:val="18"/>
                <w:szCs w:val="18"/>
                <w:b w:val="1"/>
                <w:bCs w:val="1"/>
                <w:color w:val="auto"/>
              </w:rPr>
              <w:t>Amortization Expense</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382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July 31,</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2021 vs 2020</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82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00" w:type="dxa"/>
            <w:vAlign w:val="bottom"/>
          </w:tcPr>
          <w:p>
            <w:pPr>
              <w:spacing w:after="0"/>
              <w:rPr>
                <w:sz w:val="3"/>
                <w:szCs w:val="3"/>
                <w:color w:val="auto"/>
              </w:rPr>
            </w:pPr>
          </w:p>
        </w:tc>
        <w:tc>
          <w:tcPr>
            <w:tcW w:w="94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3"/>
                <w:szCs w:val="3"/>
                <w:color w:val="auto"/>
              </w:rPr>
            </w:pPr>
          </w:p>
        </w:tc>
        <w:tc>
          <w:tcPr>
            <w:tcW w:w="12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 Net Sales</w:t>
            </w:r>
          </w:p>
        </w:tc>
        <w:tc>
          <w:tcPr>
            <w:tcW w:w="300" w:type="dxa"/>
            <w:vAlign w:val="bottom"/>
          </w:tcPr>
          <w:p>
            <w:pPr>
              <w:spacing w:after="0"/>
              <w:rPr>
                <w:sz w:val="3"/>
                <w:szCs w:val="3"/>
                <w:color w:val="auto"/>
              </w:rPr>
            </w:pPr>
          </w:p>
        </w:tc>
        <w:tc>
          <w:tcPr>
            <w:tcW w:w="92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3"/>
                <w:szCs w:val="3"/>
                <w:color w:val="auto"/>
              </w:rPr>
            </w:pPr>
          </w:p>
        </w:tc>
        <w:tc>
          <w:tcPr>
            <w:tcW w:w="118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 Net Sales</w:t>
            </w:r>
          </w:p>
        </w:tc>
        <w:tc>
          <w:tcPr>
            <w:tcW w:w="100" w:type="dxa"/>
            <w:vAlign w:val="bottom"/>
          </w:tcPr>
          <w:p>
            <w:pPr>
              <w:spacing w:after="0"/>
              <w:rPr>
                <w:sz w:val="3"/>
                <w:szCs w:val="3"/>
                <w:color w:val="auto"/>
              </w:rPr>
            </w:pPr>
          </w:p>
        </w:tc>
        <w:tc>
          <w:tcPr>
            <w:tcW w:w="21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38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29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CooperVision</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8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CooperSurgical</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1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20 %</w:t>
            </w:r>
          </w:p>
        </w:tc>
        <w:tc>
          <w:tcPr>
            <w:tcW w:w="2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9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2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b w:val="1"/>
                <w:bCs w:val="1"/>
                <w:color w:val="auto"/>
              </w:rPr>
              <w:t>Nine Months Ended July 31,</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bottom w:val="single" w:sz="8" w:color="CCEEFF"/>
            </w:tcBorders>
            <w:vMerge w:val="restart"/>
          </w:tcPr>
          <w:p>
            <w:pPr>
              <w:jc w:val="center"/>
              <w:spacing w:after="0"/>
              <w:rPr>
                <w:sz w:val="20"/>
                <w:szCs w:val="20"/>
                <w:color w:val="auto"/>
              </w:rPr>
            </w:pPr>
            <w:r>
              <w:rPr>
                <w:rFonts w:ascii="Arial" w:cs="Arial" w:eastAsia="Arial" w:hAnsi="Arial"/>
                <w:sz w:val="14"/>
                <w:szCs w:val="14"/>
                <w:b w:val="1"/>
                <w:bCs w:val="1"/>
                <w:color w:val="auto"/>
                <w:w w:val="88"/>
              </w:rPr>
              <w:t>2021 vs 2020</w:t>
            </w:r>
          </w:p>
        </w:tc>
        <w:tc>
          <w:tcPr>
            <w:tcW w:w="0" w:type="dxa"/>
            <w:vAlign w:val="bottom"/>
          </w:tcPr>
          <w:p>
            <w:pPr>
              <w:spacing w:after="0" w:line="20" w:lineRule="exact"/>
              <w:rPr>
                <w:sz w:val="1"/>
                <w:szCs w:val="1"/>
                <w:color w:val="auto"/>
              </w:rPr>
            </w:pPr>
          </w:p>
        </w:tc>
      </w:tr>
      <w:tr>
        <w:trPr>
          <w:trHeight w:val="408"/>
        </w:trPr>
        <w:tc>
          <w:tcPr>
            <w:tcW w:w="20" w:type="dxa"/>
            <w:vAlign w:val="bottom"/>
          </w:tcPr>
          <w:p>
            <w:pPr>
              <w:spacing w:after="0"/>
              <w:rPr>
                <w:sz w:val="24"/>
                <w:szCs w:val="24"/>
                <w:color w:val="auto"/>
              </w:rPr>
            </w:pPr>
          </w:p>
        </w:tc>
        <w:tc>
          <w:tcPr>
            <w:tcW w:w="382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82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00" w:type="dxa"/>
            <w:vAlign w:val="bottom"/>
          </w:tcPr>
          <w:p>
            <w:pPr>
              <w:spacing w:after="0"/>
              <w:rPr>
                <w:sz w:val="3"/>
                <w:szCs w:val="3"/>
                <w:color w:val="auto"/>
              </w:rPr>
            </w:pPr>
          </w:p>
        </w:tc>
        <w:tc>
          <w:tcPr>
            <w:tcW w:w="94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3"/>
                <w:szCs w:val="3"/>
                <w:color w:val="auto"/>
              </w:rPr>
            </w:pPr>
          </w:p>
        </w:tc>
        <w:tc>
          <w:tcPr>
            <w:tcW w:w="12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 Net Sales</w:t>
            </w:r>
          </w:p>
        </w:tc>
        <w:tc>
          <w:tcPr>
            <w:tcW w:w="300" w:type="dxa"/>
            <w:vAlign w:val="bottom"/>
          </w:tcPr>
          <w:p>
            <w:pPr>
              <w:spacing w:after="0"/>
              <w:rPr>
                <w:sz w:val="3"/>
                <w:szCs w:val="3"/>
                <w:color w:val="auto"/>
              </w:rPr>
            </w:pPr>
          </w:p>
        </w:tc>
        <w:tc>
          <w:tcPr>
            <w:tcW w:w="92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3"/>
                <w:szCs w:val="3"/>
                <w:color w:val="auto"/>
              </w:rPr>
            </w:pPr>
          </w:p>
        </w:tc>
        <w:tc>
          <w:tcPr>
            <w:tcW w:w="118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 Net Sales</w:t>
            </w:r>
          </w:p>
        </w:tc>
        <w:tc>
          <w:tcPr>
            <w:tcW w:w="100" w:type="dxa"/>
            <w:vAlign w:val="bottom"/>
          </w:tcPr>
          <w:p>
            <w:pPr>
              <w:spacing w:after="0"/>
              <w:rPr>
                <w:sz w:val="3"/>
                <w:szCs w:val="3"/>
                <w:color w:val="auto"/>
              </w:rPr>
            </w:pPr>
          </w:p>
        </w:tc>
        <w:tc>
          <w:tcPr>
            <w:tcW w:w="21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29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CooperVision</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8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CooperSurgical</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w:t>
            </w:r>
          </w:p>
        </w:tc>
        <w:tc>
          <w:tcPr>
            <w:tcW w:w="1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19 %</w:t>
            </w:r>
          </w:p>
        </w:tc>
        <w:tc>
          <w:tcPr>
            <w:tcW w:w="2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9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2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CooperVision's and CooperSurgical's amortization expense increased in absolute dollars in the three and nine months ended July 31, 2021 compared to fiscal 2020, primarily due to the amortization of intangible assets newly acquired through acquisitions. As a percentage of sales, CooperSurgical's amortization expense decreased, primarily due to an increase in net sales.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gridSpan w:val="3"/>
          </w:tcPr>
          <w:p>
            <w:pPr>
              <w:spacing w:after="0"/>
              <w:rPr>
                <w:sz w:val="20"/>
                <w:szCs w:val="20"/>
                <w:color w:val="auto"/>
              </w:rPr>
            </w:pPr>
            <w:r>
              <w:rPr>
                <w:rFonts w:ascii="Arial" w:cs="Arial" w:eastAsia="Arial" w:hAnsi="Arial"/>
                <w:sz w:val="18"/>
                <w:szCs w:val="18"/>
                <w:b w:val="1"/>
                <w:bCs w:val="1"/>
                <w:color w:val="auto"/>
              </w:rPr>
              <w:t>Operating Income</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July 31,</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2021 vs 2020</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84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280" w:type="dxa"/>
            <w:vAlign w:val="bottom"/>
          </w:tcPr>
          <w:p>
            <w:pPr>
              <w:spacing w:after="0"/>
              <w:rPr>
                <w:sz w:val="3"/>
                <w:szCs w:val="3"/>
                <w:color w:val="auto"/>
              </w:rPr>
            </w:pPr>
          </w:p>
        </w:tc>
        <w:tc>
          <w:tcPr>
            <w:tcW w:w="94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3"/>
                <w:szCs w:val="3"/>
                <w:color w:val="auto"/>
              </w:rPr>
            </w:pPr>
          </w:p>
        </w:tc>
        <w:tc>
          <w:tcPr>
            <w:tcW w:w="12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 Net Sales</w:t>
            </w:r>
          </w:p>
        </w:tc>
        <w:tc>
          <w:tcPr>
            <w:tcW w:w="280" w:type="dxa"/>
            <w:vAlign w:val="bottom"/>
          </w:tcPr>
          <w:p>
            <w:pPr>
              <w:spacing w:after="0"/>
              <w:rPr>
                <w:sz w:val="3"/>
                <w:szCs w:val="3"/>
                <w:color w:val="auto"/>
              </w:rPr>
            </w:pPr>
          </w:p>
        </w:tc>
        <w:tc>
          <w:tcPr>
            <w:tcW w:w="94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3"/>
                <w:szCs w:val="3"/>
                <w:color w:val="auto"/>
              </w:rPr>
            </w:pPr>
          </w:p>
        </w:tc>
        <w:tc>
          <w:tcPr>
            <w:tcW w:w="116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 Net Sales</w:t>
            </w:r>
          </w:p>
        </w:tc>
        <w:tc>
          <w:tcPr>
            <w:tcW w:w="120" w:type="dxa"/>
            <w:vAlign w:val="bottom"/>
          </w:tcPr>
          <w:p>
            <w:pPr>
              <w:spacing w:after="0"/>
              <w:rPr>
                <w:sz w:val="3"/>
                <w:szCs w:val="3"/>
                <w:color w:val="auto"/>
              </w:rPr>
            </w:pPr>
          </w:p>
        </w:tc>
        <w:tc>
          <w:tcPr>
            <w:tcW w:w="21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38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CooperVision</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ind w:left="760"/>
              <w:spacing w:after="0"/>
              <w:rPr>
                <w:sz w:val="20"/>
                <w:szCs w:val="20"/>
                <w:color w:val="auto"/>
              </w:rPr>
            </w:pPr>
            <w:r>
              <w:rPr>
                <w:rFonts w:ascii="Arial" w:cs="Arial" w:eastAsia="Arial" w:hAnsi="Arial"/>
                <w:sz w:val="18"/>
                <w:szCs w:val="18"/>
                <w:color w:val="auto"/>
                <w:w w:val="92"/>
              </w:rPr>
              <w:t>16 %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2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CooperSurgical</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26.2</w:t>
            </w: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w w:val="92"/>
              </w:rPr>
              <w:t>13 %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381 %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w:t>
            </w: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w w:val="92"/>
              </w:rPr>
              <w:t>13 %</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12 %</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Nine Months Ended July 31,</w:t>
            </w: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2021 vs 2020</w:t>
            </w: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384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84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280" w:type="dxa"/>
            <w:vAlign w:val="bottom"/>
          </w:tcPr>
          <w:p>
            <w:pPr>
              <w:spacing w:after="0"/>
              <w:rPr>
                <w:sz w:val="3"/>
                <w:szCs w:val="3"/>
                <w:color w:val="auto"/>
              </w:rPr>
            </w:pPr>
          </w:p>
        </w:tc>
        <w:tc>
          <w:tcPr>
            <w:tcW w:w="94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3"/>
                <w:szCs w:val="3"/>
                <w:color w:val="auto"/>
              </w:rPr>
            </w:pPr>
          </w:p>
        </w:tc>
        <w:tc>
          <w:tcPr>
            <w:tcW w:w="12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 Net Sales</w:t>
            </w:r>
          </w:p>
        </w:tc>
        <w:tc>
          <w:tcPr>
            <w:tcW w:w="280" w:type="dxa"/>
            <w:vAlign w:val="bottom"/>
          </w:tcPr>
          <w:p>
            <w:pPr>
              <w:spacing w:after="0"/>
              <w:rPr>
                <w:sz w:val="3"/>
                <w:szCs w:val="3"/>
                <w:color w:val="auto"/>
              </w:rPr>
            </w:pPr>
          </w:p>
        </w:tc>
        <w:tc>
          <w:tcPr>
            <w:tcW w:w="94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3"/>
                <w:szCs w:val="3"/>
                <w:color w:val="auto"/>
              </w:rPr>
            </w:pPr>
          </w:p>
        </w:tc>
        <w:tc>
          <w:tcPr>
            <w:tcW w:w="116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 Net Sales</w:t>
            </w:r>
          </w:p>
        </w:tc>
        <w:tc>
          <w:tcPr>
            <w:tcW w:w="120" w:type="dxa"/>
            <w:vAlign w:val="bottom"/>
          </w:tcPr>
          <w:p>
            <w:pPr>
              <w:spacing w:after="0"/>
              <w:rPr>
                <w:sz w:val="3"/>
                <w:szCs w:val="3"/>
                <w:color w:val="auto"/>
              </w:rPr>
            </w:pPr>
          </w:p>
        </w:tc>
        <w:tc>
          <w:tcPr>
            <w:tcW w:w="21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CooperVision</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347.2</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ind w:left="760"/>
              <w:spacing w:after="0"/>
              <w:rPr>
                <w:sz w:val="20"/>
                <w:szCs w:val="20"/>
                <w:color w:val="auto"/>
              </w:rPr>
            </w:pPr>
            <w:r>
              <w:rPr>
                <w:rFonts w:ascii="Arial" w:cs="Arial" w:eastAsia="Arial" w:hAnsi="Arial"/>
                <w:sz w:val="18"/>
                <w:szCs w:val="18"/>
                <w:color w:val="auto"/>
                <w:w w:val="92"/>
              </w:rPr>
              <w:t>22 %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284.4</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2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CooperSurgical</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66.9</w:t>
            </w: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w w:val="92"/>
              </w:rPr>
              <w:t>12 %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(33.3)</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301 %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377.3</w:t>
            </w: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w w:val="92"/>
              </w:rPr>
              <w:t>17 %</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211.7</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12 %</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78 %</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CooperVision's operating income decreased as a percentage of net sales and in absolute dollars in the three months ended July 31, 2021 compared to the prior year periods, primarily due to a $56.8 million expense related to the increase in fair value of the contingent consideration as described in Note 2. Acquisitions and Assets Held for Sale. CooperVision's operating income increased as a percentage of net sales and in absolute dollars in the nine months ended July 31, 2021 compared to the prior year periods, primarily due to an increase in net sales.</w:t>
      </w:r>
    </w:p>
    <w:p>
      <w:pPr>
        <w:spacing w:after="0" w:line="198"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CooperSurgical's operating income increased as a percentage of net sales and in absolute dollars in the three and nine months ended July 31, 2021 compared to the prior year periods, primarily due to an increase in net sales and a decrease in R&amp;D expenses.</w:t>
      </w:r>
    </w:p>
    <w:p>
      <w:pPr>
        <w:spacing w:after="0" w:line="197"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Corporate operating loss increased in the three months ended July 31, 2021 compared to the prior year periods primarily due to higher share-based compensation expense. Corporate operating loss decreased in the nine months ended July 31, 2021 compared to the prior year periods, primarily due to lower professional fees and travel expenses as a result of the COVID-19 pandemic.</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a consolidated basis, operating income increased as a percentage of net sales and in absolute dollars compared to the prior year periods, primarily due to the increase in consolidated net sales.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gridSpan w:val="3"/>
          </w:tcPr>
          <w:p>
            <w:pPr>
              <w:spacing w:after="0"/>
              <w:rPr>
                <w:sz w:val="20"/>
                <w:szCs w:val="20"/>
                <w:color w:val="auto"/>
              </w:rPr>
            </w:pPr>
            <w:r>
              <w:rPr>
                <w:rFonts w:ascii="Arial" w:cs="Arial" w:eastAsia="Arial" w:hAnsi="Arial"/>
                <w:sz w:val="18"/>
                <w:szCs w:val="18"/>
                <w:b w:val="1"/>
                <w:bCs w:val="1"/>
                <w:color w:val="auto"/>
              </w:rPr>
              <w:t>Interest Expense</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July 31,</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80" w:type="dxa"/>
            <w:vAlign w:val="bottom"/>
            <w:vMerge w:val="restart"/>
          </w:tcPr>
          <w:p>
            <w:pPr>
              <w:jc w:val="center"/>
              <w:ind w:left="22"/>
              <w:spacing w:after="0"/>
              <w:rPr>
                <w:sz w:val="20"/>
                <w:szCs w:val="20"/>
                <w:color w:val="auto"/>
              </w:rPr>
            </w:pPr>
            <w:r>
              <w:rPr>
                <w:rFonts w:ascii="Arial" w:cs="Arial" w:eastAsia="Arial" w:hAnsi="Arial"/>
                <w:sz w:val="14"/>
                <w:szCs w:val="14"/>
                <w:b w:val="1"/>
                <w:bCs w:val="1"/>
                <w:color w:val="auto"/>
                <w:w w:val="91"/>
              </w:rPr>
              <w:t>2021 vs 2020</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80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00" w:type="dxa"/>
            <w:vAlign w:val="bottom"/>
          </w:tcPr>
          <w:p>
            <w:pPr>
              <w:spacing w:after="0"/>
              <w:rPr>
                <w:sz w:val="3"/>
                <w:szCs w:val="3"/>
                <w:color w:val="auto"/>
              </w:rPr>
            </w:pPr>
          </w:p>
        </w:tc>
        <w:tc>
          <w:tcPr>
            <w:tcW w:w="94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3"/>
                <w:szCs w:val="3"/>
                <w:color w:val="auto"/>
              </w:rPr>
            </w:pPr>
          </w:p>
        </w:tc>
        <w:tc>
          <w:tcPr>
            <w:tcW w:w="12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 Net Sales</w:t>
            </w:r>
          </w:p>
        </w:tc>
        <w:tc>
          <w:tcPr>
            <w:tcW w:w="300" w:type="dxa"/>
            <w:vAlign w:val="bottom"/>
          </w:tcPr>
          <w:p>
            <w:pPr>
              <w:spacing w:after="0"/>
              <w:rPr>
                <w:sz w:val="3"/>
                <w:szCs w:val="3"/>
                <w:color w:val="auto"/>
              </w:rPr>
            </w:pPr>
          </w:p>
        </w:tc>
        <w:tc>
          <w:tcPr>
            <w:tcW w:w="94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3"/>
                <w:szCs w:val="3"/>
                <w:color w:val="auto"/>
              </w:rPr>
            </w:pPr>
          </w:p>
        </w:tc>
        <w:tc>
          <w:tcPr>
            <w:tcW w:w="11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 Net Sales</w:t>
            </w:r>
          </w:p>
        </w:tc>
        <w:tc>
          <w:tcPr>
            <w:tcW w:w="22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2280" w:type="dxa"/>
            <w:vAlign w:val="bottom"/>
          </w:tcPr>
          <w:p>
            <w:pPr>
              <w:jc w:val="center"/>
              <w:ind w:left="22"/>
              <w:spacing w:after="0" w:line="149" w:lineRule="exact"/>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b w:val="1"/>
                <w:bCs w:val="1"/>
                <w:color w:val="auto"/>
              </w:rPr>
              <w:t>Nine Months Ended July 31,</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bottom w:val="single" w:sz="8" w:color="CCEEFF"/>
            </w:tcBorders>
            <w:vMerge w:val="restart"/>
          </w:tcPr>
          <w:p>
            <w:pPr>
              <w:jc w:val="center"/>
              <w:ind w:left="22"/>
              <w:spacing w:after="0"/>
              <w:rPr>
                <w:sz w:val="20"/>
                <w:szCs w:val="20"/>
                <w:color w:val="auto"/>
              </w:rPr>
            </w:pPr>
            <w:r>
              <w:rPr>
                <w:rFonts w:ascii="Arial" w:cs="Arial" w:eastAsia="Arial" w:hAnsi="Arial"/>
                <w:sz w:val="14"/>
                <w:szCs w:val="14"/>
                <w:b w:val="1"/>
                <w:bCs w:val="1"/>
                <w:color w:val="auto"/>
                <w:w w:val="91"/>
              </w:rPr>
              <w:t>2021 vs 2020</w:t>
            </w:r>
          </w:p>
        </w:tc>
        <w:tc>
          <w:tcPr>
            <w:tcW w:w="0" w:type="dxa"/>
            <w:vAlign w:val="bottom"/>
          </w:tcPr>
          <w:p>
            <w:pPr>
              <w:spacing w:after="0" w:line="20" w:lineRule="exact"/>
              <w:rPr>
                <w:sz w:val="1"/>
                <w:szCs w:val="1"/>
                <w:color w:val="auto"/>
              </w:rPr>
            </w:pPr>
          </w:p>
        </w:tc>
      </w:tr>
      <w:tr>
        <w:trPr>
          <w:trHeight w:val="421"/>
        </w:trPr>
        <w:tc>
          <w:tcPr>
            <w:tcW w:w="20" w:type="dxa"/>
            <w:vAlign w:val="bottom"/>
          </w:tcPr>
          <w:p>
            <w:pPr>
              <w:spacing w:after="0"/>
              <w:rPr>
                <w:sz w:val="24"/>
                <w:szCs w:val="24"/>
                <w:color w:val="auto"/>
              </w:rPr>
            </w:pPr>
          </w:p>
        </w:tc>
        <w:tc>
          <w:tcPr>
            <w:tcW w:w="380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80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00" w:type="dxa"/>
            <w:vAlign w:val="bottom"/>
          </w:tcPr>
          <w:p>
            <w:pPr>
              <w:spacing w:after="0"/>
              <w:rPr>
                <w:sz w:val="3"/>
                <w:szCs w:val="3"/>
                <w:color w:val="auto"/>
              </w:rPr>
            </w:pPr>
          </w:p>
        </w:tc>
        <w:tc>
          <w:tcPr>
            <w:tcW w:w="94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3"/>
                <w:szCs w:val="3"/>
                <w:color w:val="auto"/>
              </w:rPr>
            </w:pPr>
          </w:p>
        </w:tc>
        <w:tc>
          <w:tcPr>
            <w:tcW w:w="12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 Net Sales</w:t>
            </w:r>
          </w:p>
        </w:tc>
        <w:tc>
          <w:tcPr>
            <w:tcW w:w="300" w:type="dxa"/>
            <w:vAlign w:val="bottom"/>
          </w:tcPr>
          <w:p>
            <w:pPr>
              <w:spacing w:after="0"/>
              <w:rPr>
                <w:sz w:val="3"/>
                <w:szCs w:val="3"/>
                <w:color w:val="auto"/>
              </w:rPr>
            </w:pPr>
          </w:p>
        </w:tc>
        <w:tc>
          <w:tcPr>
            <w:tcW w:w="94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3"/>
                <w:szCs w:val="3"/>
                <w:color w:val="auto"/>
              </w:rPr>
            </w:pPr>
          </w:p>
        </w:tc>
        <w:tc>
          <w:tcPr>
            <w:tcW w:w="11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 Net Sales</w:t>
            </w:r>
          </w:p>
        </w:tc>
        <w:tc>
          <w:tcPr>
            <w:tcW w:w="22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38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2280" w:type="dxa"/>
            <w:vAlign w:val="bottom"/>
          </w:tcPr>
          <w:p>
            <w:pPr>
              <w:jc w:val="center"/>
              <w:ind w:left="22"/>
              <w:spacing w:after="0" w:line="149" w:lineRule="exact"/>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Interest expense decreased in absolute dollars during the three and nine months ended July 31, 2021 compared to the prior year periods, primarily due to lower average debt balances compared to the prior year periods.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280" w:type="dxa"/>
            <w:vAlign w:val="bottom"/>
            <w:gridSpan w:val="2"/>
          </w:tcPr>
          <w:p>
            <w:pPr>
              <w:spacing w:after="0"/>
              <w:rPr>
                <w:sz w:val="20"/>
                <w:szCs w:val="20"/>
                <w:color w:val="auto"/>
              </w:rPr>
            </w:pPr>
            <w:r>
              <w:rPr>
                <w:rFonts w:ascii="Arial" w:cs="Arial" w:eastAsia="Arial" w:hAnsi="Arial"/>
                <w:sz w:val="14"/>
                <w:szCs w:val="14"/>
                <w:b w:val="1"/>
                <w:bCs w:val="1"/>
                <w:color w:val="auto"/>
              </w:rPr>
              <w:t>Periods Ended July 31,</w:t>
            </w:r>
          </w:p>
        </w:tc>
        <w:tc>
          <w:tcPr>
            <w:tcW w:w="4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Three Months</w:t>
            </w:r>
          </w:p>
        </w:tc>
        <w:tc>
          <w:tcPr>
            <w:tcW w:w="12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Nine Months</w:t>
            </w:r>
          </w:p>
        </w:tc>
        <w:tc>
          <w:tcPr>
            <w:tcW w:w="1020" w:type="dxa"/>
            <w:vAlign w:val="bottom"/>
            <w:tcBorders>
              <w:bottom w:val="single" w:sz="8" w:color="auto"/>
            </w:tcBorders>
          </w:tcPr>
          <w:p>
            <w:pPr>
              <w:spacing w:after="0"/>
              <w:rPr>
                <w:sz w:val="16"/>
                <w:szCs w:val="16"/>
                <w:color w:val="auto"/>
              </w:rPr>
            </w:pPr>
          </w:p>
        </w:tc>
      </w:tr>
      <w:tr>
        <w:trPr>
          <w:trHeight w:val="148"/>
        </w:trPr>
        <w:tc>
          <w:tcPr>
            <w:tcW w:w="20" w:type="dxa"/>
            <w:vAlign w:val="bottom"/>
          </w:tcPr>
          <w:p>
            <w:pPr>
              <w:spacing w:after="0"/>
              <w:rPr>
                <w:sz w:val="12"/>
                <w:szCs w:val="12"/>
                <w:color w:val="auto"/>
              </w:rPr>
            </w:pPr>
          </w:p>
        </w:tc>
        <w:tc>
          <w:tcPr>
            <w:tcW w:w="4280" w:type="dxa"/>
            <w:vAlign w:val="bottom"/>
            <w:gridSpan w:val="2"/>
          </w:tcPr>
          <w:p>
            <w:pPr>
              <w:spacing w:after="0" w:line="149"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440" w:type="dxa"/>
            <w:vAlign w:val="bottom"/>
          </w:tcPr>
          <w:p>
            <w:pPr>
              <w:spacing w:after="0"/>
              <w:rPr>
                <w:sz w:val="12"/>
                <w:szCs w:val="12"/>
                <w:color w:val="auto"/>
              </w:rPr>
            </w:pPr>
          </w:p>
        </w:tc>
        <w:tc>
          <w:tcPr>
            <w:tcW w:w="1360" w:type="dxa"/>
            <w:vAlign w:val="bottom"/>
          </w:tcPr>
          <w:p>
            <w:pPr>
              <w:jc w:val="right"/>
              <w:ind w:right="676"/>
              <w:spacing w:after="0" w:line="149"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20" w:type="dxa"/>
            <w:vAlign w:val="bottom"/>
          </w:tcPr>
          <w:p>
            <w:pPr>
              <w:jc w:val="right"/>
              <w:ind w:right="674"/>
              <w:spacing w:after="0" w:line="149"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jc w:val="right"/>
              <w:ind w:right="516"/>
              <w:spacing w:after="0" w:line="149"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tcPr>
          <w:p>
            <w:pPr>
              <w:jc w:val="right"/>
              <w:ind w:right="514"/>
              <w:spacing w:after="0" w:line="149" w:lineRule="exact"/>
              <w:rPr>
                <w:sz w:val="20"/>
                <w:szCs w:val="20"/>
                <w:color w:val="auto"/>
              </w:rPr>
            </w:pPr>
            <w:r>
              <w:rPr>
                <w:rFonts w:ascii="Arial" w:cs="Arial" w:eastAsia="Arial" w:hAnsi="Arial"/>
                <w:sz w:val="14"/>
                <w:szCs w:val="14"/>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4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gain</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center"/>
              <w:ind w:left="856"/>
              <w:spacing w:after="0"/>
              <w:rPr>
                <w:sz w:val="20"/>
                <w:szCs w:val="20"/>
                <w:color w:val="auto"/>
              </w:rPr>
            </w:pPr>
            <w:r>
              <w:rPr>
                <w:rFonts w:ascii="Arial" w:cs="Arial" w:eastAsia="Arial" w:hAnsi="Arial"/>
                <w:sz w:val="18"/>
                <w:szCs w:val="18"/>
                <w:color w:val="auto"/>
                <w:w w:val="91"/>
              </w:rPr>
              <w:t>(0.1)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Foreign exchange loss (gain)</w:t>
            </w:r>
          </w:p>
        </w:tc>
        <w:tc>
          <w:tcPr>
            <w:tcW w:w="440" w:type="dxa"/>
            <w:vAlign w:val="bottom"/>
          </w:tcPr>
          <w:p>
            <w:pPr>
              <w:spacing w:after="0"/>
              <w:rPr>
                <w:sz w:val="19"/>
                <w:szCs w:val="19"/>
                <w:color w:val="auto"/>
              </w:rPr>
            </w:pPr>
          </w:p>
        </w:tc>
        <w:tc>
          <w:tcPr>
            <w:tcW w:w="1360" w:type="dxa"/>
            <w:vAlign w:val="bottom"/>
          </w:tcPr>
          <w:p>
            <w:pPr>
              <w:jc w:val="center"/>
              <w:ind w:left="896"/>
              <w:spacing w:after="0"/>
              <w:rPr>
                <w:sz w:val="20"/>
                <w:szCs w:val="20"/>
                <w:color w:val="auto"/>
              </w:rPr>
            </w:pPr>
            <w:r>
              <w:rPr>
                <w:rFonts w:ascii="Arial" w:cs="Arial" w:eastAsia="Arial" w:hAnsi="Arial"/>
                <w:sz w:val="18"/>
                <w:szCs w:val="18"/>
                <w:color w:val="auto"/>
                <w:w w:val="87"/>
              </w:rPr>
              <w:t>2.1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20" w:type="dxa"/>
            <w:vAlign w:val="bottom"/>
            <w:shd w:val="clear" w:color="auto" w:fill="CCEEFF"/>
          </w:tcPr>
          <w:p>
            <w:pPr>
              <w:spacing w:after="0"/>
              <w:rPr>
                <w:sz w:val="19"/>
                <w:szCs w:val="19"/>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center"/>
              <w:ind w:left="856"/>
              <w:spacing w:after="0"/>
              <w:rPr>
                <w:sz w:val="20"/>
                <w:szCs w:val="20"/>
                <w:color w:val="auto"/>
              </w:rPr>
            </w:pPr>
            <w:r>
              <w:rPr>
                <w:rFonts w:ascii="Arial" w:cs="Arial" w:eastAsia="Arial" w:hAnsi="Arial"/>
                <w:sz w:val="18"/>
                <w:szCs w:val="18"/>
                <w:color w:val="auto"/>
                <w:w w:val="91"/>
              </w:rPr>
              <w:t>(1.0)</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23"/>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center"/>
              <w:ind w:left="896"/>
              <w:spacing w:after="0"/>
              <w:rPr>
                <w:sz w:val="20"/>
                <w:szCs w:val="20"/>
                <w:color w:val="auto"/>
              </w:rPr>
            </w:pPr>
            <w:r>
              <w:rPr>
                <w:rFonts w:ascii="Arial" w:cs="Arial" w:eastAsia="Arial" w:hAnsi="Arial"/>
                <w:sz w:val="18"/>
                <w:szCs w:val="18"/>
                <w:color w:val="auto"/>
                <w:w w:val="87"/>
              </w:rPr>
              <w:t>1.0</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On January 19, 2021, CooperVision acquired all of the remaining equity interests of a privately-held medical device company that develops spectacle lenses for myopia management. The fair value remeasurement of our previous equity investment immediately before the acquisition resulted in a gain of $11.5 million recognized in the first quarter of fiscal 2021.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Foreign exchange loss (gain) primarily resulted from the revaluation and settlement of foreign currency-denominated balances.</w:t>
      </w:r>
    </w:p>
    <w:p>
      <w:pPr>
        <w:spacing w:after="0" w:line="15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Other income increased in the three and nine months ended July 31, 2021, primarily due to an increase in defined benefit plan related income and gains on minority investments during the periods.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243"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Our effective tax rates for the three months ended July 31, 2021 and July 31, 2020 were (554.9)% and 16.9%, respectively. The decrease was primarily due to a $534.9 million tax benefit related to the remeasurement of deferred tax assets caused by the UK enactment of a 25% corporate tax rate to be effective in fiscal 2023 and is primarily related to deferred tax assets recognized from intra-group intangible asset transfers. Our effective tax rate also decreased due to changes in unrecognized tax benefits, excess tax benefits from share-based compensation, and changes in the geographical composition of pre-tax earnings. Our effective tax rate for the third quarter of fiscal 2021 was lower than the U.S. federal statutory tax rate primarily due to the remeasurement of deferred tax assets, pre-tax earnings in foreign jurisdictions with lower tax rates, changes in unrecognized tax benefits, and excess tax benefits from share-based compensation.</w:t>
      </w:r>
    </w:p>
    <w:p>
      <w:pPr>
        <w:spacing w:after="0" w:line="208"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Our effective tax rates for the nine months ended July 31, 2021 and July 31, 2020 were (666.3)% and 9.0%, respectively. The decrease was primarily due to an intra-group transfer of intellectual property, as discussed below, and remeasurement of the related deferred tax assets caused by the UK enactment of a 25% corporate tax rate. Our effective tax rate otherwise increased due to changes in the geographical composition of pre-tax earnings, partially offset by changes in unrecognized tax benefits and excess tax benefits from share-based compensation. Our effective tax rate for the nine months ended July 31, 2021 was lower than the U.S. federal statutory tax rate primarily due to the intra-group transfer, the remeasurement of deferred tax assets, earnings in foreign jurisdictions with lower tax rates, changes in unrecognized tax benefits, and excess tax benefits from share-based compensation.</w:t>
      </w:r>
    </w:p>
    <w:p>
      <w:pPr>
        <w:spacing w:after="0" w:line="190" w:lineRule="exact"/>
        <w:rPr>
          <w:sz w:val="20"/>
          <w:szCs w:val="20"/>
          <w:color w:val="auto"/>
        </w:rPr>
      </w:pPr>
    </w:p>
    <w:p>
      <w:pPr>
        <w:ind w:right="80"/>
        <w:spacing w:after="0" w:line="228" w:lineRule="auto"/>
        <w:rPr>
          <w:sz w:val="20"/>
          <w:szCs w:val="20"/>
          <w:color w:val="auto"/>
        </w:rPr>
      </w:pPr>
      <w:r>
        <w:rPr>
          <w:rFonts w:ascii="Arial" w:cs="Arial" w:eastAsia="Arial" w:hAnsi="Arial"/>
          <w:sz w:val="18"/>
          <w:szCs w:val="18"/>
          <w:color w:val="auto"/>
        </w:rPr>
        <w:t>In November 2020, we completed an intra-group transfer of certain intellectual property and related assets to a UK subsidiary as part of a group restructuring to establish headquarters operations in the UK. Income before income taxes resulting from this transfer is eliminated upon consolidation. The transfer resulted in a step-up of the UK tax-deductible basis in the intellectual property and goodwill, creating a temporary difference between the book basis and the tax basis of these assets. As a result, we recognized a deferred tax asset of $1,987.9 million, with a corresponding income tax benefit, during the three months ended January 31, 2021.</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 Plans</w:t>
      </w:r>
    </w:p>
    <w:p>
      <w:pPr>
        <w:spacing w:after="0" w:line="175"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We have several share-based compensation plans that are described in our Annual Report on Form 10-K for the fiscal year ended October 31, 2020. The compensation expense and related income tax benefit recognized in our Consolidated Statements of Income and Comprehensive Income for share-based awards were as follows: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480" w:type="dxa"/>
            <w:vAlign w:val="bottom"/>
            <w:gridSpan w:val="2"/>
          </w:tcPr>
          <w:p>
            <w:pPr>
              <w:spacing w:after="0"/>
              <w:rPr>
                <w:sz w:val="20"/>
                <w:szCs w:val="20"/>
                <w:color w:val="auto"/>
              </w:rPr>
            </w:pPr>
            <w:r>
              <w:rPr>
                <w:rFonts w:ascii="Arial" w:cs="Arial" w:eastAsia="Arial" w:hAnsi="Arial"/>
                <w:sz w:val="14"/>
                <w:szCs w:val="14"/>
                <w:b w:val="1"/>
                <w:bCs w:val="1"/>
                <w:color w:val="auto"/>
              </w:rPr>
              <w:t>Periods Ended July 31,</w:t>
            </w:r>
          </w:p>
        </w:tc>
        <w:tc>
          <w:tcPr>
            <w:tcW w:w="3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Three Months</w:t>
            </w:r>
          </w:p>
        </w:tc>
        <w:tc>
          <w:tcPr>
            <w:tcW w:w="10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Nine Months</w:t>
            </w:r>
          </w:p>
        </w:tc>
        <w:tc>
          <w:tcPr>
            <w:tcW w:w="1080" w:type="dxa"/>
            <w:vAlign w:val="bottom"/>
            <w:tcBorders>
              <w:bottom w:val="single" w:sz="8" w:color="auto"/>
            </w:tcBorders>
          </w:tcPr>
          <w:p>
            <w:pPr>
              <w:spacing w:after="0"/>
              <w:rPr>
                <w:sz w:val="16"/>
                <w:szCs w:val="16"/>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tcPr>
          <w:p>
            <w:pPr>
              <w:spacing w:after="0" w:line="149"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80" w:type="dxa"/>
            <w:vAlign w:val="bottom"/>
          </w:tcPr>
          <w:p>
            <w:pPr>
              <w:spacing w:after="0"/>
              <w:rPr>
                <w:sz w:val="12"/>
                <w:szCs w:val="12"/>
                <w:color w:val="auto"/>
              </w:rPr>
            </w:pPr>
          </w:p>
        </w:tc>
        <w:tc>
          <w:tcPr>
            <w:tcW w:w="1220" w:type="dxa"/>
            <w:vAlign w:val="bottom"/>
          </w:tcPr>
          <w:p>
            <w:pPr>
              <w:jc w:val="right"/>
              <w:ind w:right="575"/>
              <w:spacing w:after="0" w:line="149"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tcPr>
          <w:p>
            <w:pPr>
              <w:jc w:val="right"/>
              <w:ind w:right="573"/>
              <w:spacing w:after="0" w:line="149"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jc w:val="right"/>
              <w:ind w:right="535"/>
              <w:spacing w:after="0" w:line="149"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tcPr>
          <w:p>
            <w:pPr>
              <w:jc w:val="right"/>
              <w:ind w:right="573"/>
              <w:spacing w:after="0" w:line="149" w:lineRule="exact"/>
              <w:rPr>
                <w:sz w:val="20"/>
                <w:szCs w:val="20"/>
                <w:color w:val="auto"/>
              </w:rPr>
            </w:pPr>
            <w:r>
              <w:rPr>
                <w:rFonts w:ascii="Arial" w:cs="Arial" w:eastAsia="Arial" w:hAnsi="Arial"/>
                <w:sz w:val="14"/>
                <w:szCs w:val="14"/>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29"/>
        </w:trPr>
        <w:tc>
          <w:tcPr>
            <w:tcW w:w="20" w:type="dxa"/>
            <w:vAlign w:val="bottom"/>
          </w:tcPr>
          <w:p>
            <w:pPr>
              <w:spacing w:after="0"/>
              <w:rPr>
                <w:sz w:val="19"/>
                <w:szCs w:val="19"/>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0.9</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0.9</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20" w:type="dxa"/>
            <w:vAlign w:val="bottom"/>
            <w:shd w:val="clear" w:color="auto" w:fill="CCEEFF"/>
          </w:tcPr>
          <w:p>
            <w:pPr>
              <w:spacing w:after="0"/>
              <w:rPr>
                <w:sz w:val="19"/>
                <w:szCs w:val="19"/>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20" w:type="dxa"/>
            <w:vAlign w:val="bottom"/>
          </w:tcPr>
          <w:p>
            <w:pPr>
              <w:spacing w:after="0"/>
              <w:rPr>
                <w:sz w:val="19"/>
                <w:szCs w:val="19"/>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Total share-based compensation expense</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4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14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Related income tax benefit</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 and Liquidity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Highlights</w:t>
      </w:r>
    </w:p>
    <w:p>
      <w:pPr>
        <w:spacing w:after="0" w:line="175"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Operating cash flow of $223.8 million compared to $112.8 million in the prior year period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Expenditures for purchases of property, plant and equipment of $43.6 million compared to $45.1 million in the prior year period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Cash payments for acquisitions and other of $64.0 million compared to $6.7 million in the prior year period</w:t>
      </w:r>
    </w:p>
    <w:p>
      <w:pPr>
        <w:spacing w:after="0" w:line="171" w:lineRule="exact"/>
        <w:rPr>
          <w:rFonts w:ascii="Arial" w:cs="Arial" w:eastAsia="Arial" w:hAnsi="Arial"/>
          <w:sz w:val="18"/>
          <w:szCs w:val="18"/>
          <w:color w:val="auto"/>
        </w:rPr>
      </w:pPr>
    </w:p>
    <w:p>
      <w:pPr>
        <w:ind w:left="660" w:right="20" w:hanging="652"/>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Cash provided by operations of $223.8 million offset by capital expenditures of $43.6 million resulted in positive free cash flow of $180.2 million, up $112.5 million compared to the prior year period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Nine-Month Highlights</w:t>
      </w:r>
    </w:p>
    <w:p>
      <w:pPr>
        <w:spacing w:after="0" w:line="175"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Operating cash flow of $564.1 million compared to $268.3 million in the prior year period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Expenditures for purchases of property, plant and equipment of $149.4 million compared to $203.4 million in the prior year period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Cash payments for acquisitions and other of $234.9 million compared to $17.9 million in the prior year period</w:t>
      </w:r>
    </w:p>
    <w:p>
      <w:pPr>
        <w:spacing w:after="0" w:line="171" w:lineRule="exact"/>
        <w:rPr>
          <w:rFonts w:ascii="Arial" w:cs="Arial" w:eastAsia="Arial" w:hAnsi="Arial"/>
          <w:sz w:val="18"/>
          <w:szCs w:val="18"/>
          <w:color w:val="auto"/>
        </w:rPr>
      </w:pPr>
    </w:p>
    <w:p>
      <w:pPr>
        <w:ind w:left="660" w:right="540" w:hanging="652"/>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Cash provided by operations of $564.1 million offset by capital expenditures of $149.4 million resulted in positive free cash flow of $414.7 million, up $349.8 million compared to the prior year period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Comparative Statistics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00" w:type="dxa"/>
            <w:vAlign w:val="bottom"/>
            <w:gridSpan w:val="2"/>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80" w:type="dxa"/>
            <w:vAlign w:val="bottom"/>
          </w:tcPr>
          <w:p>
            <w:pPr>
              <w:spacing w:after="0"/>
              <w:rPr>
                <w:sz w:val="14"/>
                <w:szCs w:val="14"/>
                <w:color w:val="auto"/>
              </w:rPr>
            </w:pPr>
          </w:p>
        </w:tc>
        <w:tc>
          <w:tcPr>
            <w:tcW w:w="1840" w:type="dxa"/>
            <w:vAlign w:val="bottom"/>
            <w:gridSpan w:val="2"/>
          </w:tcPr>
          <w:p>
            <w:pPr>
              <w:ind w:left="280"/>
              <w:spacing w:after="0"/>
              <w:rPr>
                <w:sz w:val="20"/>
                <w:szCs w:val="20"/>
                <w:color w:val="auto"/>
              </w:rPr>
            </w:pPr>
            <w:r>
              <w:rPr>
                <w:rFonts w:ascii="Arial" w:cs="Arial" w:eastAsia="Arial" w:hAnsi="Arial"/>
                <w:sz w:val="14"/>
                <w:szCs w:val="14"/>
                <w:b w:val="1"/>
                <w:bCs w:val="1"/>
                <w:color w:val="auto"/>
              </w:rPr>
              <w:t>July 31, 2021</w:t>
            </w:r>
          </w:p>
        </w:tc>
        <w:tc>
          <w:tcPr>
            <w:tcW w:w="320" w:type="dxa"/>
            <w:vAlign w:val="bottom"/>
          </w:tcPr>
          <w:p>
            <w:pPr>
              <w:spacing w:after="0"/>
              <w:rPr>
                <w:sz w:val="14"/>
                <w:szCs w:val="14"/>
                <w:color w:val="auto"/>
              </w:rPr>
            </w:pPr>
          </w:p>
        </w:tc>
        <w:tc>
          <w:tcPr>
            <w:tcW w:w="1780" w:type="dxa"/>
            <w:vAlign w:val="bottom"/>
          </w:tcPr>
          <w:p>
            <w:pPr>
              <w:jc w:val="right"/>
              <w:ind w:right="452"/>
              <w:spacing w:after="0"/>
              <w:rPr>
                <w:sz w:val="20"/>
                <w:szCs w:val="20"/>
                <w:color w:val="auto"/>
              </w:rPr>
            </w:pPr>
            <w:r>
              <w:rPr>
                <w:rFonts w:ascii="Arial" w:cs="Arial" w:eastAsia="Arial" w:hAnsi="Arial"/>
                <w:sz w:val="14"/>
                <w:szCs w:val="14"/>
                <w:b w:val="1"/>
                <w:bCs w:val="1"/>
                <w:color w:val="auto"/>
              </w:rPr>
              <w:t>October 31, 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0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112.2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115.9</w:t>
            </w:r>
          </w:p>
        </w:tc>
      </w:tr>
      <w:tr>
        <w:trPr>
          <w:trHeight w:val="230"/>
        </w:trPr>
        <w:tc>
          <w:tcPr>
            <w:tcW w:w="20" w:type="dxa"/>
            <w:vAlign w:val="bottom"/>
          </w:tcPr>
          <w:p>
            <w:pPr>
              <w:spacing w:after="0"/>
              <w:rPr>
                <w:sz w:val="19"/>
                <w:szCs w:val="19"/>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ind w:right="132"/>
              <w:spacing w:after="0"/>
              <w:rPr>
                <w:sz w:val="20"/>
                <w:szCs w:val="20"/>
                <w:color w:val="auto"/>
              </w:rPr>
            </w:pPr>
            <w:r>
              <w:rPr>
                <w:rFonts w:ascii="Arial" w:cs="Arial" w:eastAsia="Arial" w:hAnsi="Arial"/>
                <w:sz w:val="18"/>
                <w:szCs w:val="18"/>
                <w:color w:val="auto"/>
              </w:rPr>
              <w:t>9,610.6</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ind w:right="132"/>
              <w:spacing w:after="0"/>
              <w:rPr>
                <w:sz w:val="20"/>
                <w:szCs w:val="20"/>
                <w:color w:val="auto"/>
              </w:rPr>
            </w:pPr>
            <w:r>
              <w:rPr>
                <w:rFonts w:ascii="Arial" w:cs="Arial" w:eastAsia="Arial" w:hAnsi="Arial"/>
                <w:sz w:val="18"/>
                <w:szCs w:val="18"/>
                <w:color w:val="auto"/>
              </w:rPr>
              <w:t>6,737.5</w:t>
            </w:r>
          </w:p>
        </w:tc>
      </w:tr>
      <w:tr>
        <w:trPr>
          <w:trHeight w:val="230"/>
        </w:trPr>
        <w:tc>
          <w:tcPr>
            <w:tcW w:w="20" w:type="dxa"/>
            <w:vAlign w:val="bottom"/>
            <w:shd w:val="clear" w:color="auto" w:fill="CCEEFF"/>
          </w:tcPr>
          <w:p>
            <w:pPr>
              <w:spacing w:after="0"/>
              <w:rPr>
                <w:sz w:val="19"/>
                <w:szCs w:val="19"/>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411.4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269.8</w:t>
            </w:r>
          </w:p>
        </w:tc>
      </w:tr>
      <w:tr>
        <w:trPr>
          <w:trHeight w:val="230"/>
        </w:trPr>
        <w:tc>
          <w:tcPr>
            <w:tcW w:w="20" w:type="dxa"/>
            <w:vAlign w:val="bottom"/>
          </w:tcPr>
          <w:p>
            <w:pPr>
              <w:spacing w:after="0"/>
              <w:rPr>
                <w:sz w:val="19"/>
                <w:szCs w:val="19"/>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ind w:right="132"/>
              <w:spacing w:after="0"/>
              <w:rPr>
                <w:sz w:val="20"/>
                <w:szCs w:val="20"/>
                <w:color w:val="auto"/>
              </w:rPr>
            </w:pPr>
            <w:r>
              <w:rPr>
                <w:rFonts w:ascii="Arial" w:cs="Arial" w:eastAsia="Arial" w:hAnsi="Arial"/>
                <w:sz w:val="18"/>
                <w:szCs w:val="18"/>
                <w:color w:val="auto"/>
              </w:rPr>
              <w:t>1,620.0</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ind w:right="132"/>
              <w:spacing w:after="0"/>
              <w:rPr>
                <w:sz w:val="20"/>
                <w:szCs w:val="20"/>
                <w:color w:val="auto"/>
              </w:rPr>
            </w:pPr>
            <w:r>
              <w:rPr>
                <w:rFonts w:ascii="Arial" w:cs="Arial" w:eastAsia="Arial" w:hAnsi="Arial"/>
                <w:sz w:val="18"/>
                <w:szCs w:val="18"/>
                <w:color w:val="auto"/>
              </w:rPr>
              <w:t>1,793.2</w:t>
            </w:r>
          </w:p>
        </w:tc>
      </w:tr>
      <w:tr>
        <w:trPr>
          <w:trHeight w:val="229"/>
        </w:trPr>
        <w:tc>
          <w:tcPr>
            <w:tcW w:w="20" w:type="dxa"/>
            <w:vAlign w:val="bottom"/>
            <w:shd w:val="clear" w:color="auto" w:fill="CCEEFF"/>
          </w:tcPr>
          <w:p>
            <w:pPr>
              <w:spacing w:after="0"/>
              <w:rPr>
                <w:sz w:val="19"/>
                <w:szCs w:val="19"/>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6,785.4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3,824.8</w:t>
            </w:r>
          </w:p>
        </w:tc>
      </w:tr>
      <w:tr>
        <w:trPr>
          <w:trHeight w:val="230"/>
        </w:trPr>
        <w:tc>
          <w:tcPr>
            <w:tcW w:w="20" w:type="dxa"/>
            <w:vAlign w:val="bottom"/>
          </w:tcPr>
          <w:p>
            <w:pPr>
              <w:spacing w:after="0"/>
              <w:rPr>
                <w:sz w:val="19"/>
                <w:szCs w:val="19"/>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Ratio of debt to equity</w:t>
            </w:r>
          </w:p>
        </w:tc>
        <w:tc>
          <w:tcPr>
            <w:tcW w:w="3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0.24:1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0.47:1</w:t>
            </w:r>
          </w:p>
        </w:tc>
      </w:tr>
      <w:tr>
        <w:trPr>
          <w:trHeight w:val="230"/>
        </w:trPr>
        <w:tc>
          <w:tcPr>
            <w:tcW w:w="20" w:type="dxa"/>
            <w:vAlign w:val="bottom"/>
            <w:shd w:val="clear" w:color="auto" w:fill="CCEEFF"/>
          </w:tcPr>
          <w:p>
            <w:pPr>
              <w:spacing w:after="0"/>
              <w:rPr>
                <w:sz w:val="19"/>
                <w:szCs w:val="19"/>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as a percentage of total capitalization</w:t>
            </w:r>
          </w:p>
        </w:tc>
        <w:tc>
          <w:tcPr>
            <w:tcW w:w="3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working capital at July 31, 2021 from the end of fiscal 2020 was primarily due to:</w:t>
      </w:r>
    </w:p>
    <w:p>
      <w:pPr>
        <w:spacing w:after="0" w:line="171"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 in trade accounts receivable of $99.7 million primarily due to higher sales and timing of collections;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 in assets held-for-sale of $88.1 million. Refer to Note 2. Acquisitions and Assets Held for Sale for further information;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decrease in accounts payable of $23.0 million due to timing of payments,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6" w:name="page37"/>
    <w:bookmarkEnd w:id="36"/>
    <w:p>
      <w:pPr>
        <w:jc w:val="center"/>
        <w:ind w:right="-5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362"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 in inventories of $17.5 million primarily due to higher sales and the buildup of inventory for future product launches;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decrease in operating lease liabilities of $3.6 million, partially offset by: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 in employee compensation and benefits of $36.6 million;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 in short-term debt of $30.8 million;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 in other current liabilities of $16.4 million;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decrease in cash and cash equivalents of $3.7 million.</w:t>
      </w:r>
    </w:p>
    <w:p>
      <w:pPr>
        <w:spacing w:after="0" w:line="200" w:lineRule="exact"/>
        <w:rPr>
          <w:sz w:val="20"/>
          <w:szCs w:val="20"/>
          <w:color w:val="auto"/>
        </w:rPr>
      </w:pPr>
    </w:p>
    <w:p>
      <w:pPr>
        <w:spacing w:after="0" w:line="21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At July 31, 2021, our inventory months on hand was 7.1 compared to 6.6 at October 31, 2020. The $17.5 million increase in inventories was primarily due to higher sales and the buildup of inventory for future product launches.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Our days sales outstanding (DSO) were relatively consistent at 62 days at July 31, 2021, compared to 60 days at October 31,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Cash Flow</w:t>
      </w:r>
    </w:p>
    <w:p>
      <w:pPr>
        <w:spacing w:after="0" w:line="17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Cash provided by operating activities increased by $295.8 million from $268.3 million in the first nine months of fiscal 2020 to $564.1 million in the first nine months of fiscal 2021. This increase in cash flow provided by operating activities primarily consists of:</w:t>
      </w:r>
    </w:p>
    <w:p>
      <w:pPr>
        <w:spacing w:after="0" w:line="116" w:lineRule="exact"/>
        <w:rPr>
          <w:sz w:val="20"/>
          <w:szCs w:val="20"/>
          <w:color w:val="auto"/>
        </w:rPr>
      </w:pPr>
    </w:p>
    <w:p>
      <w:pPr>
        <w:ind w:left="660" w:right="22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 in net income of $2,677.2 million from a net income of $157.2 million in the first nine months of fiscal 2020 to $2,834.4 million in the first nine months 2021;</w:t>
      </w:r>
    </w:p>
    <w:p>
      <w:pPr>
        <w:spacing w:after="0" w:line="116"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 of $21.9 million in net changes in depreciation and amortization, from $210.0 million during the first nine months fiscal 2020 to $231.9 million during the first nine months of fiscal 2021;</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 of $56.8 million in the net changes in the fair value of contingent consideration. Refer to Note 2. Acquisition and Assets Held for Sale for further information;</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 of $74.3 million in net cash flow from changes in operating capital, from $155.9 million outflow in the first nine months of fiscal 2020 to $81.6 million outflow in the first nine months of fiscal 2021, partially offset by: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decrease of $2,485.8 million in the net changes in deferred income taxes. Refer to Note 6. Income Taxes for further information; and</w:t>
      </w:r>
    </w:p>
    <w:p>
      <w:pPr>
        <w:spacing w:after="0" w:line="238"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decrease of $48.6 million in other non-cash items, from $60.7 million during the first nine months of fiscal 2020 to $12.1 million during the first nine months of fiscal 2021.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net income of $2,677.2 million was primarily due to:</w:t>
      </w:r>
    </w:p>
    <w:p>
      <w:pPr>
        <w:spacing w:after="0" w:line="171"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recognized income tax benefit of $1,987.9 million. Refer to Note 6. Income Taxes for further information;</w:t>
      </w:r>
    </w:p>
    <w:p>
      <w:pPr>
        <w:spacing w:after="0" w:line="171"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 of $165.6 million in operating income from $211.7 in the first nine months of fiscal 2020 to $377.3 million in the first nine months of fiscal 2021 primarily due to the increase in consolidated net sales;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investment gain of $11.5 million. Refer to Note 2. Acquisitions and Assets Held for Sale for further information;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interest expense decrease of $12.0 million primarily due to lower average debt balances compared to the prior 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37" w:name="page38"/>
    <w:bookmarkEnd w:id="37"/>
    <w:p>
      <w:pPr>
        <w:jc w:val="center"/>
        <w:ind w:right="-3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and Results of Operations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The $74.3 million increase in the net cash flow from changes in operating capital compared to the prior year period is primarily due to:</w:t>
      </w:r>
    </w:p>
    <w:p>
      <w:pPr>
        <w:spacing w:after="0" w:line="171" w:lineRule="exact"/>
        <w:rPr>
          <w:sz w:val="20"/>
          <w:szCs w:val="20"/>
          <w:color w:val="auto"/>
        </w:rPr>
      </w:pPr>
    </w:p>
    <w:p>
      <w:pPr>
        <w:ind w:left="660" w:right="16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$88.5 million increase in the net changes in accrued liabilities and other primarily due to impact from adoption of ASC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in prior year period and higher customer rebate accruals in current period as a result of higher sales;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$75.8 million increase in the net changes in inventories due to lower sales in prior year period;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$12.2 million increase in the net changes in income tax payable, partially offset by: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$58.4 million decrease in the net changes in trade and other receivables primarily due to timing of collections and higher sales;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$27.2 million decrease in the net changes in accounts payable primarily due to timing of payments;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$11.7 million decrease in the net changes in prepaid and other assets.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$48.6 million decrease in non-cash items compared to the prior year period is primarily due to:</w:t>
      </w:r>
    </w:p>
    <w:p>
      <w:pPr>
        <w:spacing w:after="0" w:line="171" w:lineRule="exact"/>
        <w:rPr>
          <w:sz w:val="20"/>
          <w:szCs w:val="20"/>
          <w:color w:val="auto"/>
        </w:rPr>
      </w:pPr>
    </w:p>
    <w:p>
      <w:pPr>
        <w:ind w:left="660" w:right="38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$15.7 million decrease in the net changes in long-term liabilities primarily due to the impact from adoption of ASC 842, </w:t>
      </w:r>
      <w:r>
        <w:rPr>
          <w:rFonts w:ascii="Arial" w:cs="Arial" w:eastAsia="Arial" w:hAnsi="Arial"/>
          <w:sz w:val="18"/>
          <w:szCs w:val="18"/>
          <w:i w:val="1"/>
          <w:iCs w:val="1"/>
          <w:color w:val="auto"/>
        </w:rPr>
        <w:t>Leases</w:t>
      </w:r>
      <w:r>
        <w:rPr>
          <w:rFonts w:ascii="Arial" w:cs="Arial" w:eastAsia="Arial" w:hAnsi="Arial"/>
          <w:sz w:val="18"/>
          <w:szCs w:val="18"/>
          <w:color w:val="auto"/>
        </w:rPr>
        <w:t>, in prior year period;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$12.0 million decrease in the net changes in other long-term assets;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investment gain of $11.5 million. Refer to Note 2. Acquisitions and Assets Held for Sale for further information;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$2.0 million decrease from effect of exchange rate change on cash.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Cash Flow</w:t>
      </w:r>
    </w:p>
    <w:p>
      <w:pPr>
        <w:spacing w:after="0" w:line="25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Cash used in investing activities increased by $163.0 million to $384.3 million in the first nine months of fiscal 2021 from $221.3 million in the first nine months of fiscal 2020 due to:</w:t>
      </w:r>
    </w:p>
    <w:p>
      <w:pPr>
        <w:spacing w:after="0" w:line="197" w:lineRule="exact"/>
        <w:rPr>
          <w:sz w:val="20"/>
          <w:szCs w:val="20"/>
          <w:color w:val="auto"/>
        </w:rPr>
      </w:pPr>
    </w:p>
    <w:p>
      <w:pPr>
        <w:ind w:left="66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$218.3 million increase in payments made for acquisitions in the first nine months of fiscal 2021 compared to the prior year period, partially offset by;</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$54.0 million decrease in capital expenditures.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Cash Flow</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Cash used in financing activities increased by $177.4 million to $187.6 million in the first nine months of fiscal 2021 compared to $10.2 million in the first nine months of fiscal 2020, primarily due to:</w:t>
      </w:r>
    </w:p>
    <w:p>
      <w:pPr>
        <w:spacing w:after="0" w:line="116"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$1,271.4 million decrease in proceeds from long-term debt, primarily due to funds received from the 2020 Credit Agreement, partially offset by;</w:t>
      </w:r>
    </w:p>
    <w:p>
      <w:pPr>
        <w:spacing w:after="0" w:line="194" w:lineRule="exact"/>
        <w:rPr>
          <w:rFonts w:ascii="Arial" w:cs="Arial" w:eastAsia="Arial" w:hAnsi="Arial"/>
          <w:sz w:val="16"/>
          <w:szCs w:val="16"/>
          <w:color w:val="auto"/>
        </w:rPr>
      </w:pPr>
    </w:p>
    <w:p>
      <w:pPr>
        <w:ind w:left="660" w:right="280" w:hanging="328"/>
        <w:spacing w:after="0" w:line="308" w:lineRule="auto"/>
        <w:tabs>
          <w:tab w:leader="none" w:pos="655" w:val="left"/>
        </w:tabs>
        <w:numPr>
          <w:ilvl w:val="0"/>
          <w:numId w:val="24"/>
        </w:numPr>
        <w:rPr>
          <w:rFonts w:ascii="Arial" w:cs="Arial" w:eastAsia="Arial" w:hAnsi="Arial"/>
          <w:sz w:val="17"/>
          <w:szCs w:val="17"/>
          <w:color w:val="auto"/>
        </w:rPr>
      </w:pPr>
      <w:r>
        <w:rPr>
          <w:rFonts w:ascii="Arial" w:cs="Arial" w:eastAsia="Arial" w:hAnsi="Arial"/>
          <w:sz w:val="17"/>
          <w:szCs w:val="17"/>
          <w:color w:val="auto"/>
        </w:rPr>
        <w:t>$1,003.4 million decrease in repayments of long-term debt, primarily due to repayments of funds from the 2020 Credit Agreement in first nine months of fiscal 2021 compared to repayment of funds from the 2016 Credit Agreement in the prior year period;</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$46.0 million increase in net proceeds from short-term debt, primarily due to movements in short term loans;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$23.0 million decrease in repurchase of common stock compared to prior year period;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$13.8 million increase in net proceeds related to share-based compensation awards.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April 1, 2020, the Company entered into a Revolving Credit and Term Loan Agreement (the 2020 Credit Agreement), among the Company and KeyBank National Association, as administrative agent. The 2020 Credit Agreement provides for (a) a multicurrency revolving credit facility (the 2020 Revolving Credit Facility) in an aggregate principal amount of $1.29 billion and (b) a term loan facility (the 2020 Term Loan Facility) in an aggregate principal amount of $850.0 million, each of which, unless terminated earlier, mature on April 1, 2025. In addition, the Company has the ability from time to time to request an increase to the size of the revolving credit facility or establish one or more new term loans under the term loan facility in an aggregate amount up to $1.605 billion, subject to the discretionary participation of the lenders.</w:t>
      </w:r>
    </w:p>
    <w:p>
      <w:pPr>
        <w:spacing w:after="0" w:line="205"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On October 16, 2020, the Company entered into a 364-day, $350.0 million, term loan agreement (the 2020 Term Loan Agreement) by and among the Company, the lenders party thereto and The Bank of Nova Scotia, as administrative agent which matures on October 15, 2021.</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the maximum commitments and the net amounts available to us under different credit facilities as of July 31, 2021:</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Facility Limit</w:t>
            </w:r>
          </w:p>
        </w:tc>
        <w:tc>
          <w:tcPr>
            <w:tcW w:w="1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Outstanding</w:t>
            </w:r>
          </w:p>
        </w:tc>
        <w:tc>
          <w:tcPr>
            <w:tcW w:w="140" w:type="dxa"/>
            <w:vAlign w:val="bottom"/>
          </w:tcPr>
          <w:p>
            <w:pPr>
              <w:spacing w:after="0"/>
              <w:rPr>
                <w:sz w:val="14"/>
                <w:szCs w:val="14"/>
                <w:color w:val="auto"/>
              </w:rPr>
            </w:pPr>
          </w:p>
        </w:tc>
        <w:tc>
          <w:tcPr>
            <w:tcW w:w="1080" w:type="dxa"/>
            <w:vAlign w:val="bottom"/>
          </w:tcPr>
          <w:p>
            <w:pPr>
              <w:jc w:val="right"/>
              <w:ind w:right="96"/>
              <w:spacing w:after="0"/>
              <w:rPr>
                <w:sz w:val="20"/>
                <w:szCs w:val="20"/>
                <w:color w:val="auto"/>
              </w:rPr>
            </w:pPr>
            <w:r>
              <w:rPr>
                <w:rFonts w:ascii="Arial" w:cs="Arial" w:eastAsia="Arial" w:hAnsi="Arial"/>
                <w:sz w:val="14"/>
                <w:szCs w:val="14"/>
                <w:b w:val="1"/>
                <w:bCs w:val="1"/>
                <w:color w:val="auto"/>
                <w:w w:val="97"/>
              </w:rPr>
              <w:t>Total Amount</w:t>
            </w:r>
          </w:p>
        </w:tc>
        <w:tc>
          <w:tcPr>
            <w:tcW w:w="120" w:type="dxa"/>
            <w:vAlign w:val="bottom"/>
          </w:tcPr>
          <w:p>
            <w:pPr>
              <w:spacing w:after="0"/>
              <w:rPr>
                <w:sz w:val="14"/>
                <w:szCs w:val="14"/>
                <w:color w:val="auto"/>
              </w:rPr>
            </w:pPr>
          </w:p>
        </w:tc>
        <w:tc>
          <w:tcPr>
            <w:tcW w:w="2020" w:type="dxa"/>
            <w:vAlign w:val="bottom"/>
            <w:vMerge w:val="restart"/>
          </w:tcPr>
          <w:p>
            <w:pPr>
              <w:jc w:val="right"/>
              <w:ind w:right="495"/>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82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Borrowings</w:t>
            </w:r>
          </w:p>
        </w:tc>
        <w:tc>
          <w:tcPr>
            <w:tcW w:w="120" w:type="dxa"/>
            <w:vAlign w:val="bottom"/>
          </w:tcPr>
          <w:p>
            <w:pPr>
              <w:spacing w:after="0"/>
              <w:rPr>
                <w:sz w:val="9"/>
                <w:szCs w:val="9"/>
                <w:color w:val="auto"/>
              </w:rPr>
            </w:pPr>
          </w:p>
        </w:tc>
        <w:tc>
          <w:tcPr>
            <w:tcW w:w="124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Letters of Credit</w:t>
            </w:r>
          </w:p>
        </w:tc>
        <w:tc>
          <w:tcPr>
            <w:tcW w:w="140" w:type="dxa"/>
            <w:vAlign w:val="bottom"/>
          </w:tcPr>
          <w:p>
            <w:pPr>
              <w:spacing w:after="0"/>
              <w:rPr>
                <w:sz w:val="9"/>
                <w:szCs w:val="9"/>
                <w:color w:val="auto"/>
              </w:rPr>
            </w:pPr>
          </w:p>
        </w:tc>
        <w:tc>
          <w:tcPr>
            <w:tcW w:w="1080" w:type="dxa"/>
            <w:vAlign w:val="bottom"/>
            <w:vMerge w:val="restart"/>
          </w:tcPr>
          <w:p>
            <w:pPr>
              <w:jc w:val="right"/>
              <w:ind w:right="236"/>
              <w:spacing w:after="0" w:line="149" w:lineRule="exact"/>
              <w:rPr>
                <w:sz w:val="20"/>
                <w:szCs w:val="20"/>
                <w:color w:val="auto"/>
              </w:rPr>
            </w:pPr>
            <w:r>
              <w:rPr>
                <w:rFonts w:ascii="Arial" w:cs="Arial" w:eastAsia="Arial" w:hAnsi="Arial"/>
                <w:sz w:val="14"/>
                <w:szCs w:val="14"/>
                <w:b w:val="1"/>
                <w:bCs w:val="1"/>
                <w:color w:val="auto"/>
              </w:rPr>
              <w:t>Available</w:t>
            </w:r>
          </w:p>
        </w:tc>
        <w:tc>
          <w:tcPr>
            <w:tcW w:w="120" w:type="dxa"/>
            <w:vAlign w:val="bottom"/>
          </w:tcPr>
          <w:p>
            <w:pPr>
              <w:spacing w:after="0"/>
              <w:rPr>
                <w:sz w:val="9"/>
                <w:szCs w:val="9"/>
                <w:color w:val="auto"/>
              </w:rPr>
            </w:pPr>
          </w:p>
        </w:tc>
        <w:tc>
          <w:tcPr>
            <w:tcW w:w="2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820" w:type="dxa"/>
            <w:vAlign w:val="bottom"/>
            <w:gridSpan w:val="3"/>
            <w:vMerge w:val="continue"/>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9"/>
              </w:rPr>
              <w:t>2020</w:t>
            </w:r>
          </w:p>
        </w:tc>
        <w:tc>
          <w:tcPr>
            <w:tcW w:w="3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Revolving Credit Facility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958.6</w:t>
            </w: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April 1, 2025</w:t>
            </w:r>
          </w:p>
        </w:tc>
        <w:tc>
          <w:tcPr>
            <w:tcW w:w="0" w:type="dxa"/>
            <w:vAlign w:val="bottom"/>
          </w:tcPr>
          <w:p>
            <w:pPr>
              <w:spacing w:after="0"/>
              <w:rPr>
                <w:sz w:val="1"/>
                <w:szCs w:val="1"/>
                <w:color w:val="auto"/>
              </w:rPr>
            </w:pPr>
          </w:p>
        </w:tc>
      </w:tr>
      <w:tr>
        <w:trPr>
          <w:trHeight w:val="230"/>
        </w:trPr>
        <w:tc>
          <w:tcPr>
            <w:tcW w:w="400" w:type="dxa"/>
            <w:vAlign w:val="bottom"/>
            <w:gridSpan w:val="2"/>
          </w:tcPr>
          <w:p>
            <w:pPr>
              <w:ind w:left="20"/>
              <w:spacing w:after="0"/>
              <w:rPr>
                <w:sz w:val="20"/>
                <w:szCs w:val="20"/>
                <w:color w:val="auto"/>
              </w:rPr>
            </w:pPr>
            <w:r>
              <w:rPr>
                <w:rFonts w:ascii="Arial" w:cs="Arial" w:eastAsia="Arial" w:hAnsi="Arial"/>
                <w:sz w:val="18"/>
                <w:szCs w:val="18"/>
                <w:color w:val="auto"/>
                <w:w w:val="89"/>
              </w:rPr>
              <w:t>2020</w:t>
            </w:r>
          </w:p>
        </w:tc>
        <w:tc>
          <w:tcPr>
            <w:tcW w:w="3440" w:type="dxa"/>
            <w:vAlign w:val="bottom"/>
            <w:gridSpan w:val="2"/>
          </w:tcPr>
          <w:p>
            <w:pPr>
              <w:ind w:left="40"/>
              <w:spacing w:after="0"/>
              <w:rPr>
                <w:sz w:val="20"/>
                <w:szCs w:val="20"/>
                <w:color w:val="auto"/>
              </w:rPr>
            </w:pPr>
            <w:r>
              <w:rPr>
                <w:rFonts w:ascii="Arial" w:cs="Arial" w:eastAsia="Arial" w:hAnsi="Arial"/>
                <w:sz w:val="18"/>
                <w:szCs w:val="18"/>
                <w:color w:val="auto"/>
              </w:rPr>
              <w:t>Term Loan Facility</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April 1, 2025</w:t>
            </w:r>
          </w:p>
        </w:tc>
        <w:tc>
          <w:tcPr>
            <w:tcW w:w="0" w:type="dxa"/>
            <w:vAlign w:val="bottom"/>
          </w:tcPr>
          <w:p>
            <w:pPr>
              <w:spacing w:after="0"/>
              <w:rPr>
                <w:sz w:val="1"/>
                <w:szCs w:val="1"/>
                <w:color w:val="auto"/>
              </w:rPr>
            </w:pPr>
          </w:p>
        </w:tc>
      </w:tr>
      <w:tr>
        <w:trPr>
          <w:trHeight w:val="229"/>
        </w:trPr>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9"/>
              </w:rPr>
              <w:t>2020</w:t>
            </w:r>
          </w:p>
        </w:tc>
        <w:tc>
          <w:tcPr>
            <w:tcW w:w="3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Term Loan</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October 15, 2021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gridSpan w:val="3"/>
          </w:tcPr>
          <w:p>
            <w:pPr>
              <w:ind w:left="20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2,490.0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1,530.0</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958.6</w:t>
            </w:r>
          </w:p>
        </w:tc>
        <w:tc>
          <w:tcPr>
            <w:tcW w:w="1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300"/>
        <w:spacing w:after="0" w:line="291" w:lineRule="auto"/>
        <w:rPr>
          <w:sz w:val="20"/>
          <w:szCs w:val="20"/>
          <w:color w:val="auto"/>
        </w:rPr>
      </w:pPr>
      <w:r>
        <w:rPr>
          <w:rFonts w:ascii="Arial" w:cs="Arial" w:eastAsia="Arial" w:hAnsi="Arial"/>
          <w:sz w:val="16"/>
          <w:szCs w:val="16"/>
          <w:color w:val="auto"/>
        </w:rPr>
        <w:t>The 2020 Credit Agreement contains customary restrictive covenants, as well as financial covenants that require us to maintain a certain Total Leverage Ratio and Interest Coverage Ratio. As defined, in the 2020 Credit Agreement, we are required to maintain an Interest Coverage Ratio of at least 3.00 to</w:t>
      </w:r>
    </w:p>
    <w:p>
      <w:pPr>
        <w:ind w:right="100"/>
        <w:spacing w:after="0" w:line="253" w:lineRule="auto"/>
        <w:rPr>
          <w:sz w:val="20"/>
          <w:szCs w:val="20"/>
          <w:color w:val="auto"/>
        </w:rPr>
      </w:pPr>
      <w:r>
        <w:rPr>
          <w:rFonts w:ascii="Arial" w:cs="Arial" w:eastAsia="Arial" w:hAnsi="Arial"/>
          <w:sz w:val="18"/>
          <w:szCs w:val="18"/>
          <w:color w:val="auto"/>
        </w:rPr>
        <w:t>1.00, and a Total Leverage Ratio of no higher than 3.75 to 1.00. At July 31, 2021, we were in compliance with the Interest Coverage Ratio at 39.88 to 1.00 and the Total Leverage Ratio at 1.52 to 1.00. The Company, after considering the potential impacts of the COVID-19 pandemic, expects to remain in compliance with its financial maintenance covenant and meet its debt service obligations for at least the twelve months following the date of issuance of these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See Note 5. Debt of the Consolidated Condensed Financial Statements for additional information.</w:t>
      </w:r>
    </w:p>
    <w:p>
      <w:pPr>
        <w:spacing w:after="0" w:line="17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Considering recent market conditions and the ongoing COVID-19 pandemic crisis, we have re-evaluated our operating cash flows and cash requirements and continue to believe that current cash, cash equivalents, future cash flow from operating activities and cash available under our 2020 Credit Agreement will be sufficient to meet our anticipated cash needs, including working capital needs, capital expenditures and contractual obligations for at least 12 months from the issuance date of the Consolidated Condensed Financial Statements included in this quarterly report. To the extent additional funds are necessary to meet our liquidity needs such as that for acquisitions, share repurchases, cash dividends or other activities as we execute our business strategy, we anticipate that additional funds will be obtained through the incurrence of additional indebtedness, additional equity financings or a combination of these potential sources of funds; however, such financing may not be available on favorable terms, or at all.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w:t>
      </w:r>
    </w:p>
    <w:p>
      <w:pPr>
        <w:spacing w:after="0" w:line="175"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In December 2011, our Board of Directors authorized the 2012 Share Repurchase Program and through subsequent amendments, the most recent in March 2017, the total repurchase authorization was increased from $500.0 million to $1.0 billion of the Company's common stock. This program has no expiration date and may be discontinued at any time. Purchases under the 2012 Share Repurchase Program are subject to a review of the circumstances in place at the time and may be made from time to time as permitted by securities laws and other legal requirements.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At July 31, 2021, $334.8 million remained authorized for repurchase under the program.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Company's share repurchases during the nine months ended July 31, 2021 and 2020, were as follows: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Nine Months</w:t>
            </w:r>
          </w:p>
        </w:tc>
        <w:tc>
          <w:tcPr>
            <w:tcW w:w="1360" w:type="dxa"/>
            <w:vAlign w:val="bottom"/>
            <w:tcBorders>
              <w:bottom w:val="single" w:sz="8" w:color="auto"/>
            </w:tcBorders>
          </w:tcPr>
          <w:p>
            <w:pPr>
              <w:spacing w:after="0"/>
              <w:rPr>
                <w:sz w:val="16"/>
                <w:szCs w:val="16"/>
                <w:color w:val="auto"/>
              </w:rPr>
            </w:pPr>
          </w:p>
        </w:tc>
      </w:tr>
      <w:tr>
        <w:trPr>
          <w:trHeight w:val="188"/>
        </w:trPr>
        <w:tc>
          <w:tcPr>
            <w:tcW w:w="72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Periods Ended July 31,</w:t>
            </w:r>
          </w:p>
        </w:tc>
        <w:tc>
          <w:tcPr>
            <w:tcW w:w="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75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755"/>
              <w:spacing w:after="0"/>
              <w:rPr>
                <w:sz w:val="20"/>
                <w:szCs w:val="20"/>
                <w:color w:val="auto"/>
              </w:rPr>
            </w:pPr>
            <w:r>
              <w:rPr>
                <w:rFonts w:ascii="Arial" w:cs="Arial" w:eastAsia="Arial" w:hAnsi="Arial"/>
                <w:sz w:val="14"/>
                <w:szCs w:val="14"/>
                <w:b w:val="1"/>
                <w:bCs w:val="1"/>
                <w:color w:val="auto"/>
              </w:rPr>
              <w:t>2020</w:t>
            </w:r>
          </w:p>
        </w:tc>
      </w:tr>
      <w:tr>
        <w:trPr>
          <w:trHeight w:val="224"/>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Number of shares</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69,622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160,850</w:t>
            </w:r>
          </w:p>
        </w:tc>
      </w:tr>
      <w:tr>
        <w:trPr>
          <w:trHeight w:val="230"/>
        </w:trPr>
        <w:tc>
          <w:tcPr>
            <w:tcW w:w="7220" w:type="dxa"/>
            <w:vAlign w:val="bottom"/>
          </w:tcPr>
          <w:p>
            <w:pPr>
              <w:ind w:left="20"/>
              <w:spacing w:after="0"/>
              <w:rPr>
                <w:sz w:val="20"/>
                <w:szCs w:val="20"/>
                <w:color w:val="auto"/>
              </w:rPr>
            </w:pPr>
            <w:r>
              <w:rPr>
                <w:rFonts w:ascii="Arial" w:cs="Arial" w:eastAsia="Arial" w:hAnsi="Arial"/>
                <w:sz w:val="18"/>
                <w:szCs w:val="18"/>
                <w:color w:val="auto"/>
              </w:rPr>
              <w:t>Average repurchase price per share</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356.61</w:t>
            </w:r>
          </w:p>
        </w:tc>
        <w:tc>
          <w:tcPr>
            <w:tcW w:w="10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296.88</w:t>
            </w:r>
          </w:p>
        </w:tc>
      </w:tr>
      <w:tr>
        <w:trPr>
          <w:trHeight w:val="229"/>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costs of shares repurchased (in millions)</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75" w:lineRule="exact"/>
        <w:rPr>
          <w:sz w:val="20"/>
          <w:szCs w:val="20"/>
          <w:color w:val="auto"/>
        </w:rPr>
      </w:pPr>
    </w:p>
    <w:p>
      <w:pPr>
        <w:jc w:val="both"/>
        <w:ind w:right="60"/>
        <w:spacing w:after="0" w:line="342" w:lineRule="auto"/>
        <w:rPr>
          <w:sz w:val="20"/>
          <w:szCs w:val="20"/>
          <w:color w:val="auto"/>
        </w:rPr>
      </w:pPr>
      <w:r>
        <w:rPr>
          <w:rFonts w:ascii="Arial" w:cs="Arial" w:eastAsia="Arial" w:hAnsi="Arial"/>
          <w:sz w:val="16"/>
          <w:szCs w:val="16"/>
          <w:color w:val="auto"/>
        </w:rPr>
        <w:t>We paid a semiannual dividend of approximately $1.5 million or 3 cents per share, on February 9, 2021, to stockholders of record on January 22, 2021. We paid another semiannual dividend of approximately $1.5 million or 3 cents per share on August 11, 2021, to stockholders of record on July 27, 2021.</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Non-GAAP Financial Measures</w:t>
      </w:r>
    </w:p>
    <w:p>
      <w:pPr>
        <w:spacing w:after="0" w:line="2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non-GAAP financial measures that may be included in Management's Discussion and Analysis and the reasons management believes they are useful to investors are described below. These measures should be considered supplemental in nature and are not intended to be a substitute for the related financial information prepared in accordance with GAAP. In addition, these measures may not be the same as similarly named measures presented by other companies.</w:t>
      </w:r>
    </w:p>
    <w:p>
      <w:pPr>
        <w:spacing w:after="0" w:line="21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Free cash flow is defined as cash provided by operating activities less capital expenditures. Management believes free cash flow is useful for investors as an additional measure of liquidity because it represents cash that is available to grow the business, make strategic acquisitions, repay debt, buyback common stock or fund the dividend. We use free cash flow internally to understand, manage, make operating decisions and evaluate our business. In addition, we use free cash flow to help plan and forecast future periods.</w:t>
      </w:r>
    </w:p>
    <w:p>
      <w:pPr>
        <w:spacing w:after="0" w:line="21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Constant currency is defined as excluding the effect of foreign currency rate fluctuations. In order to assist with the assessment of how our underlying businesses performed, we compare the percentage change in net sales from one period to another, excluding the effect of foreign currency fluctuations. To present this information, current period revenue for entities reporting in currencies other than the United States dollar are converted into United States dollars at the average foreign exchange rates for the corresponding period in the prior year.</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 and Critical Accounting Policies</w:t>
      </w:r>
    </w:p>
    <w:p>
      <w:pPr>
        <w:spacing w:after="0" w:line="256"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Information regarding estimates and critical accounting policies is included in Management's Discussion and Analysis on Form 10-K for the fiscal year ended October 31, 2020. There have been no material changes in our policies from those previously discussed in our Form 10-K for the fiscal year October 31, 2020.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Pronouncements</w:t>
      </w:r>
    </w:p>
    <w:p>
      <w:pPr>
        <w:spacing w:after="0" w:line="17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Information regarding new accounting pronouncements is included in Note 1. General of the Consolidated Condensed Financial Statements of this Quarterly Report on Form 10-Q.</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7" w:lineRule="exact"/>
        <w:rPr>
          <w:sz w:val="20"/>
          <w:szCs w:val="20"/>
          <w:color w:val="auto"/>
        </w:rPr>
      </w:pPr>
    </w:p>
    <w:p>
      <w:pPr>
        <w:ind w:right="40"/>
        <w:spacing w:after="0" w:line="227" w:lineRule="auto"/>
        <w:rPr>
          <w:sz w:val="20"/>
          <w:szCs w:val="20"/>
          <w:color w:val="auto"/>
        </w:rPr>
      </w:pPr>
      <w:r>
        <w:rPr>
          <w:rFonts w:ascii="Arial" w:cs="Arial" w:eastAsia="Arial" w:hAnsi="Arial"/>
          <w:sz w:val="17"/>
          <w:szCs w:val="17"/>
          <w:color w:val="auto"/>
        </w:rPr>
        <w:t>ActivControl</w:t>
      </w:r>
      <w:r>
        <w:rPr>
          <w:rFonts w:ascii="Arial" w:cs="Arial" w:eastAsia="Arial" w:hAnsi="Arial"/>
          <w:sz w:val="22"/>
          <w:szCs w:val="22"/>
          <w:color w:val="auto"/>
          <w:vertAlign w:val="superscript"/>
        </w:rPr>
        <w:t>®</w:t>
      </w:r>
      <w:r>
        <w:rPr>
          <w:rFonts w:ascii="Arial" w:cs="Arial" w:eastAsia="Arial" w:hAnsi="Arial"/>
          <w:sz w:val="17"/>
          <w:szCs w:val="17"/>
          <w:color w:val="auto"/>
        </w:rPr>
        <w:t>, Aquaform</w:t>
      </w:r>
      <w:r>
        <w:rPr>
          <w:rFonts w:ascii="Arial" w:cs="Arial" w:eastAsia="Arial" w:hAnsi="Arial"/>
          <w:sz w:val="22"/>
          <w:szCs w:val="22"/>
          <w:color w:val="auto"/>
          <w:vertAlign w:val="superscript"/>
        </w:rPr>
        <w:t>®</w:t>
      </w:r>
      <w:r>
        <w:rPr>
          <w:rFonts w:ascii="Arial" w:cs="Arial" w:eastAsia="Arial" w:hAnsi="Arial"/>
          <w:sz w:val="17"/>
          <w:szCs w:val="17"/>
          <w:color w:val="auto"/>
        </w:rPr>
        <w:t>, Avaira Vitality</w:t>
      </w:r>
      <w:r>
        <w:rPr>
          <w:rFonts w:ascii="Arial" w:cs="Arial" w:eastAsia="Arial" w:hAnsi="Arial"/>
          <w:sz w:val="22"/>
          <w:szCs w:val="22"/>
          <w:color w:val="auto"/>
          <w:vertAlign w:val="superscript"/>
        </w:rPr>
        <w:t>®</w:t>
      </w:r>
      <w:r>
        <w:rPr>
          <w:rFonts w:ascii="Arial" w:cs="Arial" w:eastAsia="Arial" w:hAnsi="Arial"/>
          <w:sz w:val="17"/>
          <w:szCs w:val="17"/>
          <w:color w:val="auto"/>
        </w:rPr>
        <w:t>, Biofinity</w:t>
      </w:r>
      <w:r>
        <w:rPr>
          <w:rFonts w:ascii="Arial" w:cs="Arial" w:eastAsia="Arial" w:hAnsi="Arial"/>
          <w:sz w:val="22"/>
          <w:szCs w:val="22"/>
          <w:color w:val="auto"/>
          <w:vertAlign w:val="superscript"/>
        </w:rPr>
        <w:t>®</w:t>
      </w:r>
      <w:r>
        <w:rPr>
          <w:rFonts w:ascii="Arial" w:cs="Arial" w:eastAsia="Arial" w:hAnsi="Arial"/>
          <w:sz w:val="17"/>
          <w:szCs w:val="17"/>
          <w:color w:val="auto"/>
        </w:rPr>
        <w:t>, Biofinity Energys</w:t>
      </w:r>
      <w:r>
        <w:rPr>
          <w:rFonts w:ascii="Arial" w:cs="Arial" w:eastAsia="Arial" w:hAnsi="Arial"/>
          <w:sz w:val="22"/>
          <w:szCs w:val="22"/>
          <w:color w:val="auto"/>
          <w:vertAlign w:val="superscript"/>
        </w:rPr>
        <w:t>®</w:t>
      </w:r>
      <w:r>
        <w:rPr>
          <w:rFonts w:ascii="Arial" w:cs="Arial" w:eastAsia="Arial" w:hAnsi="Arial"/>
          <w:sz w:val="17"/>
          <w:szCs w:val="17"/>
          <w:color w:val="auto"/>
        </w:rPr>
        <w:t>, MyDay</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MiSight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are registered trademarks of The Cooper Companies, Inc., its affiliates and/or subsidiaries. PC Technology™ is a trademark of The Cooper Companies, Inc., its affiliates and/or subsidiaries. The clariti</w:t>
      </w:r>
      <w:r>
        <w:rPr>
          <w:rFonts w:ascii="Arial" w:cs="Arial" w:eastAsia="Arial" w:hAnsi="Arial"/>
          <w:sz w:val="22"/>
          <w:szCs w:val="22"/>
          <w:color w:val="auto"/>
          <w:vertAlign w:val="superscript"/>
        </w:rPr>
        <w:t>®</w:t>
      </w:r>
      <w:r>
        <w:rPr>
          <w:rFonts w:ascii="Arial" w:cs="Arial" w:eastAsia="Arial" w:hAnsi="Arial"/>
          <w:sz w:val="17"/>
          <w:szCs w:val="17"/>
          <w:color w:val="auto"/>
        </w:rPr>
        <w:t xml:space="preserve"> mark is a registered trademark of The Cooper Companies, Inc., its affiliates and/or subsidiaries worldwide except in the United States where the use of clariti</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is licensed. INSORB</w:t>
      </w:r>
      <w:r>
        <w:rPr>
          <w:rFonts w:ascii="Arial" w:cs="Arial" w:eastAsia="Arial" w:hAnsi="Arial"/>
          <w:sz w:val="22"/>
          <w:szCs w:val="22"/>
          <w:color w:val="auto"/>
          <w:vertAlign w:val="superscript"/>
        </w:rPr>
        <w:t>®</w:t>
      </w:r>
      <w:r>
        <w:rPr>
          <w:rFonts w:ascii="Arial" w:cs="Arial" w:eastAsia="Arial" w:hAnsi="Arial"/>
          <w:sz w:val="17"/>
          <w:szCs w:val="17"/>
          <w:color w:val="auto"/>
        </w:rPr>
        <w:t>, PARAGARD</w:t>
      </w:r>
      <w:r>
        <w:rPr>
          <w:rFonts w:ascii="Arial" w:cs="Arial" w:eastAsia="Arial" w:hAnsi="Arial"/>
          <w:sz w:val="22"/>
          <w:szCs w:val="22"/>
          <w:color w:val="auto"/>
          <w:vertAlign w:val="superscript"/>
        </w:rPr>
        <w:t>®</w:t>
      </w:r>
      <w:r>
        <w:rPr>
          <w:rFonts w:ascii="Arial" w:cs="Arial" w:eastAsia="Arial" w:hAnsi="Arial"/>
          <w:sz w:val="17"/>
          <w:szCs w:val="17"/>
          <w:color w:val="auto"/>
        </w:rPr>
        <w:t>, Mara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Fetal Pillow</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are registered trademarks of CooperSurgical, Inc.</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Quantitative and Qualitative Disclosure About Market Risk</w:t>
      </w:r>
    </w:p>
    <w:p>
      <w:pPr>
        <w:spacing w:after="0" w:line="17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Most of our operations outside the United States have their local currency as their functional currency. We are exposed to risks caused by changes in foreign exchange rates, principally our British pound sterling, euro, Japanese yen and Danish krone denominated debt and receivables denominated in currencies other than the United States dollar, and from operations in other foreign currencies. Although we may enter into foreign exchange agreements with financial institutions to reduce our exposure to fluctuations in foreign currency values relative to our debt or receivables obligations, these hedging transactions do not eliminate that risk entirely. We are also exposed to risks associated with changes in interest rates, as the interest rates on our revolving lines of credit and term loans may vary with the federal funds rate and LIBOR. We may decrease this interest rate risk by hedging a portion of variable rate debt effectively converting it to fixed rate debt for varying periods.</w:t>
      </w: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April 6, 2020, we entered into six interest rate swap contracts to hedge our exposure to changes in cash flows associated with our variable rate debt. The interest rate swap contracts became effective on April 6, 2020 and had maturities of seven years or less. As of July 31, 2021, the outstanding contracts have a total notional amount of $1.1 billion.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any cross currency swaps or foreign currency forward contracts as of July 31, 2021.</w:t>
      </w:r>
    </w:p>
    <w:p>
      <w:pPr>
        <w:spacing w:after="0" w:line="171"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On April 1, 2020, we entered into a Revolving Credit and Term Loan Agreement (the 2020 Credit Agreement), among us, CooperVision International Holding Company, LP, CooperSurgical Netherlands B.V., CooperVision Holding Kft. the lenders from time to time party thereto, and KeyBank National Association, as administrative agent. The 2020 Credit Agreement provides for (a) a multicurrency revolving credit facility (the 2020 Revolving Credit Facility) in an aggregate principal amount of $1.29 billion and (b) a term loan facility (the 2020 Term Loan Facility) in an aggregate principal amount of $850.0 million, each of which, unless terminated earlier, mature on April 1, 2025. The 2020 Credit Agreement replaced our previous credit agreement and funds from the new term loan were used to repay the outstanding amounts under the previous credit agreement, to repay an outstanding term loan, and for general corporate purposes. At July 31, 2021, the Company had $958.6 million available under the 2020 Revolving Credit Facility and $850.0 million outstanding under the 2020 Term Loan Facility.</w:t>
      </w:r>
    </w:p>
    <w:p>
      <w:pPr>
        <w:spacing w:after="0" w:line="12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On October 16, 2020, we entered into a 364-day, $350.0 million, term loan agreement by and among us, the lenders party thereto and The Bank of Nova Scotia, as administrative agent which matures on October 15, 2021. We used the funds to partially repay outstanding borrowings under the 2020 Revolving Credit Facility. At July 31, 2021, the Company had $350.0 million outstanding under this agreement.</w:t>
      </w:r>
    </w:p>
    <w:p>
      <w:pPr>
        <w:spacing w:after="0" w:line="13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If interest rates were to increase or decrease by 1% or 100 basis points, quarterly interest expense would increase or decrease by approximately $1.5 million based on average debt outstanding, after consideration of our interest rate swap contracts, for the third quarter of fiscal 2021.</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See Note 5. Debt of the Consolidated Condensed Financial Statements for additional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Controls and Procedures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Based on management’s evaluation (with the participation of our Chief Executive Officer (our Principal Executive Officer) and Chief Financial Officer (our Principal Financial Officer)), as of the end of the period covered by this report, our Chief Executive Officer and Chief Financial Officer have concluded that our disclosure controls and procedures (as defined in Rules 13a-15(e) and 15d-15(e) under the Securities Exchange Act of 1934, as amended, (the Exchange Act)) are effective to provide reasonable assurance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management, including our Chief Executive Officer and Chief Financial Officer, as appropriate to allow timely decisions regarding required disclosure.</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1" w:name="page42"/>
    <w:bookmarkEnd w:id="41"/>
    <w:p>
      <w:pPr>
        <w:jc w:val="center"/>
        <w:ind w:right="-3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changes in our internal control over financial reporting identified in connection with the evaluation required by Rule 13a-</w:t>
      </w:r>
    </w:p>
    <w:p>
      <w:pPr>
        <w:spacing w:after="0" w:line="23"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15(d) and 15d-15(d) of the Exchange Act that occurred during our third quarter of fiscal 2021, that have materially affected, or are reasonably likely to materially affect, our internal control over financial reporting. We have not experienced any material impact to our internal controls over financial reporting despite the fact that certain of our employees are working remotely due to the COVID-19 pandemic. We are continually monitoring and assessing the COVID-19 related considerations and any impact on the design and operating effectiveness of our internal control over financial reporting.</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PART II—OTHER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 Legal Proceedings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legal proceedings is included in Note 12. Contingencies of this Quarterly Report on Form 10-Q.</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1A. Risk Factors</w:t>
      </w:r>
    </w:p>
    <w:p>
      <w:pPr>
        <w:spacing w:after="0" w:line="25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Our business faces significant risks. These risks include those described below and may include additional risks and uncertainties not presently known to us or that we currently deem immaterial. Our business, financial condition and results of operations could be materially adversely affected by any of these risks, and the trading prices of our common stock could decline by virtue of these risks. These risks should be read in conjunction with the other information in this report.</w:t>
      </w:r>
    </w:p>
    <w:p>
      <w:pPr>
        <w:spacing w:after="0" w:line="214"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color w:val="auto"/>
        </w:rPr>
        <w:t>Risk factors describing the major risks to our business can be found under Item 1A. Risk Factors in our Annual Report on Form 10-K for the fiscal year ended October 31, 2020. In the first quarter of fiscal 2021, we updated some of our risk factors as described below. There have been no other material changes in our risk factors from those previously discussed in our Annual Report on Form 10-K for the fiscal year ended October 31, 2020.</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United Kingdom’s withdrawal from the EU may have a negative effect on global economic conditions, financial markets and our business.</w:t>
      </w:r>
    </w:p>
    <w:p>
      <w:pPr>
        <w:spacing w:after="0" w:line="266"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We are a multinational company headquartered in the United States with worldwide operations, with significant business operations in Europe, including in the UK. Following a national referendum and enactment of legislation by the government of the UK, the UK formally withdrew from the EU and ratified a</w:t>
      </w:r>
    </w:p>
    <w:p>
      <w:pPr>
        <w:ind w:right="80"/>
        <w:spacing w:after="0" w:line="252" w:lineRule="auto"/>
        <w:rPr>
          <w:sz w:val="20"/>
          <w:szCs w:val="20"/>
          <w:color w:val="auto"/>
        </w:rPr>
      </w:pPr>
      <w:r>
        <w:rPr>
          <w:rFonts w:ascii="Arial" w:cs="Arial" w:eastAsia="Arial" w:hAnsi="Arial"/>
          <w:sz w:val="18"/>
          <w:szCs w:val="18"/>
          <w:color w:val="auto"/>
        </w:rPr>
        <w:t>trade and cooperation agreement governing its future relationship with the EU. The agreement, which is being applied provisionally from January 1, 2021 until it is ratified by the European Parliament and the Council of the European Union, addresses trade, economic arrangements, law enforcement, judicial cooperation and a governance framework including procedures for dispute resolution, among other things. Because the agreement merely sets forth a framework in many respects and will require complex additional bilateral negotiations between the UK and the EU as both parties continue to work on the rules for implementation, significant political and economic uncertainty remains about how the precise terms of the relationship between the parties will differ from the terms before withdrawal.</w:t>
      </w:r>
    </w:p>
    <w:p>
      <w:pPr>
        <w:spacing w:after="0" w:line="207"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These developments, or the perception that any related developments could occur, have had and may continue to have a material adverse effect on global economic conditions and financial markets, and may significantly reduce global market liquidity, restrict the ability of key market participants to operate in</w:t>
      </w:r>
    </w:p>
    <w:p>
      <w:pPr>
        <w:spacing w:after="0" w:line="296" w:lineRule="auto"/>
        <w:rPr>
          <w:sz w:val="20"/>
          <w:szCs w:val="20"/>
          <w:color w:val="auto"/>
        </w:rPr>
      </w:pPr>
      <w:r>
        <w:rPr>
          <w:rFonts w:ascii="Arial" w:cs="Arial" w:eastAsia="Arial" w:hAnsi="Arial"/>
          <w:sz w:val="16"/>
          <w:szCs w:val="16"/>
          <w:color w:val="auto"/>
        </w:rPr>
        <w:t>certain financial markets or restrict our access to capital. Any of these factors could have a material adverse effect on our business, financial condition, cash flows and results of operations. Asset valuations, currency exchange rates and credit ratings have been and may continue to be subject to increased market volatility. Lack of clarity about future UK laws and regulations as the UK determines which EU laws to replace or replicate, including financial laws and regulations, tax and free trade agreements, tax and customs laws, intellectual property rights, environmental, health and safety laws and regulations, immigration laws, employment laws and transport laws, could decrease foreign direct investment in the UK, increase costs and disrupt supply chains.</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Unregistered Sales of Equity Securities and Use of Proceeds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There was no share repurchase activity during the three-month period ended July 31, 2021.</w:t>
      </w:r>
    </w:p>
    <w:p>
      <w:pPr>
        <w:spacing w:after="0" w:line="252"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share repurchase program was approved by the Company’s Board of Directors in December 2011 (the 2012 Share Repurchase Program). The program as amended in December 2012, December 2013 and March 2017 provides authorization to repurchase up to a total of $1.0 billion of the Company’s common stock. Purchases under the 2012 Share Repurchase Program may be made from time-to-time on the open market at prevailing market prices or in privately negotiated transactions and are subject to a review of the circumstances in place at the time and will be made from time to time as permitted by securities laws and other legal requirements. This program has no expiration date and may be discontinued at any time.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43" w:name="page44"/>
    <w:bookmarkEnd w:id="43"/>
    <w:p>
      <w:pPr>
        <w:jc w:val="center"/>
        <w:ind w:right="-219"/>
        <w:spacing w:after="0"/>
        <w:rPr>
          <w:sz w:val="20"/>
          <w:szCs w:val="20"/>
          <w:color w:val="auto"/>
        </w:rPr>
      </w:pPr>
      <w:r>
        <w:rPr>
          <w:rFonts w:ascii="Arial" w:cs="Arial" w:eastAsia="Arial" w:hAnsi="Arial"/>
          <w:sz w:val="18"/>
          <w:szCs w:val="18"/>
          <w:color w:val="auto"/>
        </w:rPr>
        <w:t>THE COOPER COMPANIES, INC. AND SUBSIDIARIES</w:t>
      </w:r>
    </w:p>
    <w:p>
      <w:pPr>
        <w:spacing w:after="0" w:line="36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During the third quarter of fiscal 2021, there were no share repurchases under the program. During the nine months ended July 31, 2021, we repurchased 69.6 thousand shares of the Company’s common stock for $24.8 million, at an average purchase price of $356.61 per share. At July 31, 2021, $334.8 million remained authorized for repurchase under the program.</w:t>
      </w:r>
    </w:p>
    <w:p>
      <w:pPr>
        <w:spacing w:after="0" w:line="21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During the third quarter of fiscal 2020, there were no share repurchases under the program. During the nine months ended July 31, 2020, we repurchased 160.8 thousand shares of the Company's common stock for $47.8 million, at an average purchase price of $296.88 per share.</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Defaults Upon Senior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Mine Safety Disclosures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800" w:right="559" w:bottom="1440" w:gutter="0" w:footer="0" w:header="0"/>
        </w:sectPr>
      </w:pPr>
    </w:p>
    <w:bookmarkStart w:id="44" w:name="page45"/>
    <w:bookmarkEnd w:id="44"/>
    <w:p>
      <w:pPr>
        <w:jc w:val="center"/>
        <w:ind w:right="-1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Exhibits</w:t>
      </w:r>
    </w:p>
    <w:p>
      <w:pPr>
        <w:spacing w:after="0" w:line="1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Exhibit</w:t>
      </w:r>
    </w:p>
    <w:p>
      <w:pPr>
        <w:ind w:left="20"/>
        <w:spacing w:after="0"/>
        <w:tabs>
          <w:tab w:leader="none" w:pos="860" w:val="left"/>
        </w:tabs>
        <w:rPr>
          <w:sz w:val="20"/>
          <w:szCs w:val="20"/>
          <w:color w:val="auto"/>
        </w:rPr>
      </w:pPr>
      <w:r>
        <w:rPr>
          <w:rFonts w:ascii="Arial" w:cs="Arial" w:eastAsia="Arial" w:hAnsi="Arial"/>
          <w:sz w:val="18"/>
          <w:szCs w:val="18"/>
          <w:u w:val="single" w:color="auto"/>
          <w:color w:val="auto"/>
        </w:rPr>
        <w:t>Number</w:t>
        <w:tab/>
        <w:t>Description</w:t>
      </w:r>
    </w:p>
    <w:p>
      <w:pPr>
        <w:spacing w:after="0" w:line="101" w:lineRule="exact"/>
        <w:rPr>
          <w:sz w:val="20"/>
          <w:szCs w:val="20"/>
          <w:color w:val="auto"/>
        </w:rPr>
      </w:pPr>
    </w:p>
    <w:p>
      <w:pPr>
        <w:ind w:left="180"/>
        <w:spacing w:after="0"/>
        <w:tabs>
          <w:tab w:leader="none" w:pos="860" w:val="left"/>
        </w:tabs>
        <w:rPr>
          <w:rFonts w:ascii="Arial" w:cs="Arial" w:eastAsia="Arial" w:hAnsi="Arial"/>
          <w:sz w:val="16"/>
          <w:szCs w:val="16"/>
          <w:u w:val="single" w:color="auto"/>
          <w:color w:val="0000FF"/>
        </w:rPr>
      </w:pPr>
      <w:r>
        <w:rPr>
          <w:rFonts w:ascii="Arial" w:cs="Arial" w:eastAsia="Arial" w:hAnsi="Arial"/>
          <w:sz w:val="18"/>
          <w:szCs w:val="18"/>
          <w:color w:val="auto"/>
        </w:rPr>
        <w:t>31.1</w:t>
      </w:r>
      <w:r>
        <w:rPr>
          <w:sz w:val="20"/>
          <w:szCs w:val="20"/>
          <w:color w:val="auto"/>
        </w:rPr>
        <w:tab/>
      </w:r>
      <w:hyperlink w:anchor="page47">
        <w:r>
          <w:rPr>
            <w:rFonts w:ascii="Arial" w:cs="Arial" w:eastAsia="Arial" w:hAnsi="Arial"/>
            <w:sz w:val="16"/>
            <w:szCs w:val="16"/>
            <w:u w:val="single" w:color="auto"/>
            <w:color w:val="0000FF"/>
          </w:rPr>
          <w:t>Certification of the Chief Executive Officer, pursuant to Rule 13a-14(a) under the Securities Exchange Act of 1934</w:t>
        </w:r>
      </w:hyperlink>
    </w:p>
    <w:p>
      <w:pPr>
        <w:spacing w:after="0" w:line="117" w:lineRule="exact"/>
        <w:rPr>
          <w:sz w:val="20"/>
          <w:szCs w:val="20"/>
          <w:color w:val="auto"/>
        </w:rPr>
      </w:pPr>
    </w:p>
    <w:p>
      <w:pPr>
        <w:ind w:left="180"/>
        <w:spacing w:after="0"/>
        <w:tabs>
          <w:tab w:leader="none" w:pos="860" w:val="left"/>
        </w:tabs>
        <w:rPr>
          <w:rFonts w:ascii="Arial" w:cs="Arial" w:eastAsia="Arial" w:hAnsi="Arial"/>
          <w:sz w:val="16"/>
          <w:szCs w:val="16"/>
          <w:u w:val="single" w:color="auto"/>
          <w:color w:val="0000FF"/>
        </w:rPr>
      </w:pPr>
      <w:r>
        <w:rPr>
          <w:rFonts w:ascii="Arial" w:cs="Arial" w:eastAsia="Arial" w:hAnsi="Arial"/>
          <w:sz w:val="18"/>
          <w:szCs w:val="18"/>
          <w:color w:val="auto"/>
        </w:rPr>
        <w:t>31.2</w:t>
      </w:r>
      <w:r>
        <w:rPr>
          <w:sz w:val="20"/>
          <w:szCs w:val="20"/>
          <w:color w:val="auto"/>
        </w:rPr>
        <w:tab/>
      </w:r>
      <w:hyperlink w:anchor="page48">
        <w:r>
          <w:rPr>
            <w:rFonts w:ascii="Arial" w:cs="Arial" w:eastAsia="Arial" w:hAnsi="Arial"/>
            <w:sz w:val="16"/>
            <w:szCs w:val="16"/>
            <w:u w:val="single" w:color="auto"/>
            <w:color w:val="0000FF"/>
          </w:rPr>
          <w:t>Certification of the Chief Financial Officer, pursuant to Rule 13a-14(a) under the Securities Exchange Act of 1934</w:t>
        </w:r>
      </w:hyperlink>
    </w:p>
    <w:p>
      <w:pPr>
        <w:spacing w:after="0" w:line="117" w:lineRule="exact"/>
        <w:rPr>
          <w:sz w:val="20"/>
          <w:szCs w:val="20"/>
          <w:color w:val="auto"/>
        </w:rPr>
      </w:pPr>
    </w:p>
    <w:p>
      <w:pPr>
        <w:ind w:left="180"/>
        <w:spacing w:after="0"/>
        <w:tabs>
          <w:tab w:leader="none" w:pos="860" w:val="left"/>
        </w:tabs>
        <w:rPr>
          <w:rFonts w:ascii="Arial" w:cs="Arial" w:eastAsia="Arial" w:hAnsi="Arial"/>
          <w:sz w:val="16"/>
          <w:szCs w:val="16"/>
          <w:u w:val="single" w:color="auto"/>
          <w:color w:val="0000FF"/>
        </w:rPr>
      </w:pPr>
      <w:r>
        <w:rPr>
          <w:rFonts w:ascii="Arial" w:cs="Arial" w:eastAsia="Arial" w:hAnsi="Arial"/>
          <w:sz w:val="18"/>
          <w:szCs w:val="18"/>
          <w:color w:val="auto"/>
        </w:rPr>
        <w:t>32.1</w:t>
      </w:r>
      <w:r>
        <w:rPr>
          <w:sz w:val="20"/>
          <w:szCs w:val="20"/>
          <w:color w:val="auto"/>
        </w:rPr>
        <w:tab/>
      </w:r>
      <w:hyperlink w:anchor="page49">
        <w:r>
          <w:rPr>
            <w:rFonts w:ascii="Arial" w:cs="Arial" w:eastAsia="Arial" w:hAnsi="Arial"/>
            <w:sz w:val="16"/>
            <w:szCs w:val="16"/>
            <w:u w:val="single" w:color="auto"/>
            <w:color w:val="0000FF"/>
          </w:rPr>
          <w:t>Certification of the Chief Executive Officer, pursuant to 18 U.S.C. Section 1350</w:t>
        </w:r>
      </w:hyperlink>
    </w:p>
    <w:p>
      <w:pPr>
        <w:spacing w:after="0" w:line="117" w:lineRule="exact"/>
        <w:rPr>
          <w:sz w:val="20"/>
          <w:szCs w:val="20"/>
          <w:color w:val="auto"/>
        </w:rPr>
      </w:pPr>
    </w:p>
    <w:p>
      <w:pPr>
        <w:ind w:left="180"/>
        <w:spacing w:after="0"/>
        <w:tabs>
          <w:tab w:leader="none" w:pos="860" w:val="left"/>
        </w:tabs>
        <w:rPr>
          <w:rFonts w:ascii="Arial" w:cs="Arial" w:eastAsia="Arial" w:hAnsi="Arial"/>
          <w:sz w:val="16"/>
          <w:szCs w:val="16"/>
          <w:u w:val="single" w:color="auto"/>
          <w:color w:val="0000FF"/>
        </w:rPr>
      </w:pPr>
      <w:r>
        <w:rPr>
          <w:rFonts w:ascii="Arial" w:cs="Arial" w:eastAsia="Arial" w:hAnsi="Arial"/>
          <w:sz w:val="18"/>
          <w:szCs w:val="18"/>
          <w:color w:val="auto"/>
        </w:rPr>
        <w:t>32.2</w:t>
      </w:r>
      <w:r>
        <w:rPr>
          <w:sz w:val="20"/>
          <w:szCs w:val="20"/>
          <w:color w:val="auto"/>
        </w:rPr>
        <w:tab/>
      </w:r>
      <w:hyperlink w:anchor="page50">
        <w:r>
          <w:rPr>
            <w:rFonts w:ascii="Arial" w:cs="Arial" w:eastAsia="Arial" w:hAnsi="Arial"/>
            <w:sz w:val="16"/>
            <w:szCs w:val="16"/>
            <w:u w:val="single" w:color="auto"/>
            <w:color w:val="0000FF"/>
          </w:rPr>
          <w:t>Certification of the Chief Financial Officer, pursuant to 18 U.S.C. Section 1350</w:t>
        </w:r>
      </w:hyperlink>
    </w:p>
    <w:p>
      <w:pPr>
        <w:spacing w:after="0" w:line="117" w:lineRule="exact"/>
        <w:rPr>
          <w:sz w:val="20"/>
          <w:szCs w:val="20"/>
          <w:color w:val="auto"/>
        </w:rPr>
      </w:pPr>
    </w:p>
    <w:p>
      <w:pPr>
        <w:ind w:left="880" w:hanging="687"/>
        <w:spacing w:after="0" w:line="232" w:lineRule="auto"/>
        <w:tabs>
          <w:tab w:leader="none" w:pos="86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7"/>
          <w:szCs w:val="17"/>
          <w:color w:val="auto"/>
        </w:rPr>
        <w:t>The following materials from the Company's Quarterly Report on Form 10-Q for the three and nine months period ended July 31, 2021 formatted in Inline XBRL (Extensible Business Reporting Language): (i) Consolidated Statements of Income and Comprehensive Income, (ii) Consolidated Condensed Balance Sheets, (iii) Consolidated Condensed Statements of Stockholders' Equity, (iv) Consolidated Condensed Statements of Cash Flows and (v) related Notes to Consolidated Condensed Financial Statements.</w:t>
      </w:r>
    </w:p>
    <w:p>
      <w:pPr>
        <w:spacing w:after="0" w:line="95" w:lineRule="exact"/>
        <w:rPr>
          <w:sz w:val="20"/>
          <w:szCs w:val="20"/>
          <w:color w:val="auto"/>
        </w:rPr>
      </w:pPr>
    </w:p>
    <w:p>
      <w:pPr>
        <w:ind w:left="180"/>
        <w:spacing w:after="0"/>
        <w:tabs>
          <w:tab w:leader="none" w:pos="860" w:val="left"/>
        </w:tabs>
        <w:rPr>
          <w:sz w:val="20"/>
          <w:szCs w:val="20"/>
          <w:color w:val="auto"/>
        </w:rPr>
      </w:pPr>
      <w:r>
        <w:rPr>
          <w:rFonts w:ascii="Arial" w:cs="Arial" w:eastAsia="Arial" w:hAnsi="Arial"/>
          <w:sz w:val="18"/>
          <w:szCs w:val="18"/>
          <w:color w:val="auto"/>
        </w:rPr>
        <w:t>104.1</w:t>
      </w:r>
      <w:r>
        <w:rPr>
          <w:sz w:val="20"/>
          <w:szCs w:val="20"/>
          <w:color w:val="auto"/>
        </w:rPr>
        <w:tab/>
      </w:r>
      <w:r>
        <w:rPr>
          <w:rFonts w:ascii="Arial" w:cs="Arial" w:eastAsia="Arial" w:hAnsi="Arial"/>
          <w:sz w:val="16"/>
          <w:szCs w:val="16"/>
          <w:color w:val="auto"/>
        </w:rPr>
        <w:t>Cover Page Interactive Data File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800" w:right="459" w:bottom="1440" w:gutter="0" w:footer="0" w:header="0"/>
        </w:sectPr>
      </w:pPr>
    </w:p>
    <w:bookmarkStart w:id="45" w:name="page46"/>
    <w:bookmarkEnd w:id="45"/>
    <w:p>
      <w:pPr>
        <w:ind w:left="3460"/>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120"/>
        <w:spacing w:after="0"/>
        <w:rPr>
          <w:sz w:val="20"/>
          <w:szCs w:val="20"/>
          <w:color w:val="auto"/>
        </w:rPr>
      </w:pPr>
      <w:r>
        <w:rPr>
          <w:rFonts w:ascii="Arial" w:cs="Arial" w:eastAsia="Arial" w:hAnsi="Arial"/>
          <w:sz w:val="18"/>
          <w:szCs w:val="18"/>
          <w:u w:val="single" w:color="auto"/>
          <w:color w:val="auto"/>
        </w:rPr>
        <w:t>SIGNATURE</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51" w:lineRule="exact"/>
        <w:rPr>
          <w:sz w:val="20"/>
          <w:szCs w:val="20"/>
          <w:color w:val="auto"/>
        </w:rPr>
      </w:pPr>
    </w:p>
    <w:p>
      <w:pPr>
        <w:jc w:val="center"/>
        <w:ind w:left="4540"/>
        <w:spacing w:after="0"/>
        <w:rPr>
          <w:sz w:val="20"/>
          <w:szCs w:val="20"/>
          <w:color w:val="auto"/>
        </w:rPr>
      </w:pPr>
      <w:r>
        <w:rPr>
          <w:rFonts w:ascii="Arial" w:cs="Arial" w:eastAsia="Arial" w:hAnsi="Arial"/>
          <w:sz w:val="18"/>
          <w:szCs w:val="18"/>
          <w:color w:val="auto"/>
        </w:rPr>
        <w:t>The Cooper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14605</wp:posOffset>
            </wp:positionV>
            <wp:extent cx="333438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16" w:lineRule="exact"/>
        <w:rPr>
          <w:sz w:val="20"/>
          <w:szCs w:val="20"/>
          <w:color w:val="auto"/>
        </w:rPr>
      </w:pPr>
    </w:p>
    <w:p>
      <w:pPr>
        <w:jc w:val="center"/>
        <w:ind w:left="4540"/>
        <w:spacing w:after="0"/>
        <w:rPr>
          <w:sz w:val="20"/>
          <w:szCs w:val="20"/>
          <w:color w:val="auto"/>
        </w:rPr>
      </w:pPr>
      <w:r>
        <w:rPr>
          <w:rFonts w:ascii="Arial" w:cs="Arial" w:eastAsia="Arial" w:hAnsi="Arial"/>
          <w:sz w:val="18"/>
          <w:szCs w:val="18"/>
          <w:color w:val="auto"/>
        </w:rPr>
        <w:t>(Registrant)</w:t>
      </w:r>
    </w:p>
    <w:p>
      <w:pPr>
        <w:spacing w:after="0" w:line="293" w:lineRule="exact"/>
        <w:rPr>
          <w:sz w:val="20"/>
          <w:szCs w:val="20"/>
          <w:color w:val="auto"/>
        </w:rPr>
      </w:pPr>
    </w:p>
    <w:p>
      <w:pPr>
        <w:ind w:left="20"/>
        <w:spacing w:after="0"/>
        <w:tabs>
          <w:tab w:leader="none" w:pos="7120" w:val="left"/>
        </w:tabs>
        <w:rPr>
          <w:sz w:val="20"/>
          <w:szCs w:val="20"/>
          <w:color w:val="auto"/>
        </w:rPr>
      </w:pPr>
      <w:r>
        <w:rPr>
          <w:rFonts w:ascii="Arial" w:cs="Arial" w:eastAsia="Arial" w:hAnsi="Arial"/>
          <w:sz w:val="18"/>
          <w:szCs w:val="18"/>
          <w:color w:val="auto"/>
        </w:rPr>
        <w:t>Date: September 3, 2021</w:t>
      </w:r>
      <w:r>
        <w:rPr>
          <w:sz w:val="20"/>
          <w:szCs w:val="20"/>
          <w:color w:val="auto"/>
        </w:rPr>
        <w:tab/>
      </w:r>
      <w:r>
        <w:rPr>
          <w:rFonts w:ascii="Arial" w:cs="Arial" w:eastAsia="Arial" w:hAnsi="Arial"/>
          <w:sz w:val="16"/>
          <w:szCs w:val="16"/>
          <w:color w:val="auto"/>
        </w:rPr>
        <w:t>/s/ Brian G.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14605</wp:posOffset>
            </wp:positionV>
            <wp:extent cx="333438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Brian G. Andrews</w:t>
      </w:r>
    </w:p>
    <w:p>
      <w:pPr>
        <w:spacing w:after="0" w:line="19"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Executive Vice President, Chief Financial Officer &amp; Treasurer</w:t>
      </w:r>
    </w:p>
    <w:p>
      <w:pPr>
        <w:ind w:left="688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0"/>
        <w:spacing w:after="0"/>
        <w:tabs>
          <w:tab w:leader="none" w:pos="7120" w:val="left"/>
        </w:tabs>
        <w:rPr>
          <w:sz w:val="20"/>
          <w:szCs w:val="20"/>
          <w:color w:val="auto"/>
        </w:rPr>
      </w:pPr>
      <w:r>
        <w:rPr>
          <w:rFonts w:ascii="Arial" w:cs="Arial" w:eastAsia="Arial" w:hAnsi="Arial"/>
          <w:sz w:val="18"/>
          <w:szCs w:val="18"/>
          <w:color w:val="auto"/>
        </w:rPr>
        <w:t>Date: September 3, 2021</w:t>
      </w:r>
      <w:r>
        <w:rPr>
          <w:sz w:val="20"/>
          <w:szCs w:val="20"/>
          <w:color w:val="auto"/>
        </w:rPr>
        <w:tab/>
      </w:r>
      <w:r>
        <w:rPr>
          <w:rFonts w:ascii="Arial" w:cs="Arial" w:eastAsia="Arial" w:hAnsi="Arial"/>
          <w:sz w:val="16"/>
          <w:szCs w:val="16"/>
          <w:color w:val="auto"/>
        </w:rPr>
        <w:t>/s/ Agostino Ricupati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14605</wp:posOffset>
            </wp:positionV>
            <wp:extent cx="333438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Agostino Ricupati</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Chief Accounting Officer &amp; Senior Vice President, Finance &amp; Tax</w:t>
      </w:r>
    </w:p>
    <w:p>
      <w:pPr>
        <w:spacing w:after="0" w:line="7"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340"/>
          </w:cols>
          <w:pgMar w:left="320" w:top="800" w:right="1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left="340" w:right="2420"/>
        <w:spacing w:after="0" w:line="266" w:lineRule="auto"/>
        <w:rPr>
          <w:sz w:val="20"/>
          <w:szCs w:val="20"/>
          <w:color w:val="auto"/>
        </w:rPr>
      </w:pPr>
      <w:r>
        <w:rPr>
          <w:rFonts w:ascii="Arial" w:cs="Arial" w:eastAsia="Arial" w:hAnsi="Arial"/>
          <w:sz w:val="18"/>
          <w:szCs w:val="18"/>
          <w:b w:val="1"/>
          <w:bCs w:val="1"/>
          <w:u w:val="single" w:color="auto"/>
          <w:color w:val="auto"/>
        </w:rPr>
        <w:t>CERTIFICATION PURSUANT TO EXCHANGE ACT RULE 13a-14(a)/15d-14(a) 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Albert G. White III, certify that:</w:t>
      </w:r>
    </w:p>
    <w:p>
      <w:pPr>
        <w:spacing w:after="0" w:line="252"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Cooper Companies, Inc. (the “registrant”);</w:t>
      </w:r>
    </w:p>
    <w:p>
      <w:pPr>
        <w:spacing w:after="0" w:line="252"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660" w:right="380" w:hanging="328"/>
        <w:spacing w:after="0" w:line="263" w:lineRule="auto"/>
        <w:tabs>
          <w:tab w:leader="none" w:pos="65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660" w:right="860" w:hanging="328"/>
        <w:spacing w:after="0" w:line="342" w:lineRule="auto"/>
        <w:tabs>
          <w:tab w:leader="none" w:pos="65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660" w:right="100" w:hanging="328"/>
        <w:spacing w:after="0" w:line="263" w:lineRule="auto"/>
        <w:tabs>
          <w:tab w:leader="none" w:pos="6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right="340" w:hanging="332"/>
        <w:spacing w:after="0" w:line="308" w:lineRule="auto"/>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280" w:hanging="328"/>
        <w:spacing w:after="0" w:line="277" w:lineRule="auto"/>
        <w:tabs>
          <w:tab w:leader="none" w:pos="65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260" w:hanging="328"/>
        <w:spacing w:after="0" w:line="277" w:lineRule="auto"/>
        <w:tabs>
          <w:tab w:leader="none" w:pos="6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Date: September 3, 2021</w:t>
      </w:r>
    </w:p>
    <w:p>
      <w:pPr>
        <w:spacing w:after="0" w:line="23"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/s/ Albert G. White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14605</wp:posOffset>
            </wp:positionV>
            <wp:extent cx="21774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15"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Albert G. White III</w:t>
      </w:r>
    </w:p>
    <w:p>
      <w:pPr>
        <w:spacing w:after="0" w:line="23"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364"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left="340" w:right="2420"/>
        <w:spacing w:after="0" w:line="266" w:lineRule="auto"/>
        <w:rPr>
          <w:sz w:val="20"/>
          <w:szCs w:val="20"/>
          <w:color w:val="auto"/>
        </w:rPr>
      </w:pPr>
      <w:r>
        <w:rPr>
          <w:rFonts w:ascii="Arial" w:cs="Arial" w:eastAsia="Arial" w:hAnsi="Arial"/>
          <w:sz w:val="18"/>
          <w:szCs w:val="18"/>
          <w:b w:val="1"/>
          <w:bCs w:val="1"/>
          <w:u w:val="single" w:color="auto"/>
          <w:color w:val="auto"/>
        </w:rPr>
        <w:t>CERTIFICATION PURSUANT TO EXCHANGE ACT RULE 13a-14(a)/15d-14(a)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Brian G. Andrews, certify that:</w:t>
      </w:r>
    </w:p>
    <w:p>
      <w:pPr>
        <w:spacing w:after="0" w:line="252"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1. I have reviewed this quarterly report on Form 10-Q of The Cooper Companies, Inc. (the “registrant”);</w:t>
      </w:r>
    </w:p>
    <w:p>
      <w:pPr>
        <w:spacing w:after="0" w:line="252"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660" w:right="380" w:hanging="328"/>
        <w:spacing w:after="0" w:line="263" w:lineRule="auto"/>
        <w:tabs>
          <w:tab w:leader="none" w:pos="65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660" w:right="860" w:hanging="328"/>
        <w:spacing w:after="0" w:line="342" w:lineRule="auto"/>
        <w:tabs>
          <w:tab w:leader="none" w:pos="65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660" w:right="100" w:hanging="328"/>
        <w:spacing w:after="0" w:line="263" w:lineRule="auto"/>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right="340" w:hanging="332"/>
        <w:spacing w:after="0" w:line="308" w:lineRule="auto"/>
        <w:tabs>
          <w:tab w:leader="none" w:pos="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280" w:hanging="328"/>
        <w:spacing w:after="0" w:line="277" w:lineRule="auto"/>
        <w:tabs>
          <w:tab w:leader="none" w:pos="65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260" w:hanging="328"/>
        <w:spacing w:after="0" w:line="277" w:lineRule="auto"/>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Date: September 3, 2021</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/s/ Brian G.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2405380</wp:posOffset>
            </wp:positionH>
            <wp:positionV relativeFrom="paragraph">
              <wp:posOffset>14605</wp:posOffset>
            </wp:positionV>
            <wp:extent cx="25114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15"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Brian G. Andrews</w:t>
      </w:r>
    </w:p>
    <w:p>
      <w:pPr>
        <w:spacing w:after="0" w:line="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Executive Vice President, Chief Financial Officer and</w:t>
      </w:r>
    </w:p>
    <w:p>
      <w:pPr>
        <w:jc w:val="center"/>
        <w:ind w:right="-299"/>
        <w:spacing w:after="0"/>
        <w:rPr>
          <w:sz w:val="20"/>
          <w:szCs w:val="20"/>
          <w:color w:val="auto"/>
        </w:rPr>
      </w:pPr>
      <w:r>
        <w:rPr>
          <w:rFonts w:ascii="Arial" w:cs="Arial" w:eastAsia="Arial" w:hAnsi="Arial"/>
          <w:sz w:val="18"/>
          <w:szCs w:val="18"/>
          <w:color w:val="auto"/>
        </w:rPr>
        <w:t>Treasurer</w:t>
      </w:r>
    </w:p>
    <w:p>
      <w:pPr>
        <w:sectPr>
          <w:pgSz w:w="11900" w:h="16838" w:orient="portrait"/>
          <w:cols w:equalWidth="0" w:num="1">
            <w:col w:w="11240"/>
          </w:cols>
          <w:pgMar w:left="320" w:top="364"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Albert G. White III, do hereby certify, pursuant to 18 U.S.C. Section 1350, as adopted pursuant to Section 906 of the Sarbanes-Oxley Act of 2002, that, to my knowledge:</w:t>
      </w:r>
    </w:p>
    <w:p>
      <w:pPr>
        <w:spacing w:after="0" w:line="197" w:lineRule="exact"/>
        <w:rPr>
          <w:sz w:val="20"/>
          <w:szCs w:val="20"/>
          <w:color w:val="auto"/>
        </w:rPr>
      </w:pPr>
    </w:p>
    <w:p>
      <w:pPr>
        <w:jc w:val="both"/>
        <w:ind w:left="340" w:hanging="332"/>
        <w:spacing w:after="0" w:line="263" w:lineRule="auto"/>
        <w:tabs>
          <w:tab w:leader="none" w:pos="3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Quarterly Report on Form 10-Q of The Cooper Companies, Inc. (the “Company”) for the quarterly period ended July 31, 2021, as filed with the Securities and Exchange Commission (the “Report”), fully complies with the requirements of Section 13(a) or 15(d) of the Securities Exchange Act of 1934; and</w:t>
      </w:r>
    </w:p>
    <w:p>
      <w:pPr>
        <w:spacing w:after="0" w:line="210" w:lineRule="exact"/>
        <w:rPr>
          <w:rFonts w:ascii="Arial" w:cs="Arial" w:eastAsia="Arial" w:hAnsi="Arial"/>
          <w:sz w:val="18"/>
          <w:szCs w:val="18"/>
          <w:color w:val="auto"/>
        </w:rPr>
      </w:pPr>
    </w:p>
    <w:p>
      <w:pPr>
        <w:ind w:left="320" w:hanging="312"/>
        <w:spacing w:after="0"/>
        <w:tabs>
          <w:tab w:leader="none" w:pos="3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6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Date: September 3, 2021</w:t>
            </w:r>
          </w:p>
        </w:tc>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Albert G. White III</w:t>
            </w:r>
          </w:p>
        </w:tc>
      </w:tr>
      <w:tr>
        <w:trPr>
          <w:trHeight w:val="222"/>
        </w:trPr>
        <w:tc>
          <w:tcPr>
            <w:tcW w:w="560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Albert G. White III</w:t>
            </w:r>
          </w:p>
        </w:tc>
      </w:tr>
      <w:tr>
        <w:trPr>
          <w:trHeight w:val="230"/>
        </w:trPr>
        <w:tc>
          <w:tcPr>
            <w:tcW w:w="560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121"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Brian G. Andrews, do hereby certify, pursuant to 18 U.S.C. Section 1350, as adopted pursuant to Section 906 of the Sarbanes-Oxley Act of 2002, that, to my knowledge:</w:t>
      </w:r>
    </w:p>
    <w:p>
      <w:pPr>
        <w:spacing w:after="0" w:line="197" w:lineRule="exact"/>
        <w:rPr>
          <w:sz w:val="20"/>
          <w:szCs w:val="20"/>
          <w:color w:val="auto"/>
        </w:rPr>
      </w:pPr>
    </w:p>
    <w:p>
      <w:pPr>
        <w:jc w:val="both"/>
        <w:ind w:left="340" w:hanging="332"/>
        <w:spacing w:after="0" w:line="263" w:lineRule="auto"/>
        <w:tabs>
          <w:tab w:leader="none" w:pos="3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Quarterly Report on Form 10-Q of The Cooper Companies, Inc. (the “Company”) for the quarterly period ended July 31, 2021, as filed with the Securities and Exchange Commission (the “Report”), fully complies with the requirements of Section 13(a) or 15(d) of the Securities Exchange Act of 1934; and</w:t>
      </w:r>
    </w:p>
    <w:p>
      <w:pPr>
        <w:spacing w:after="0" w:line="210" w:lineRule="exact"/>
        <w:rPr>
          <w:rFonts w:ascii="Arial" w:cs="Arial" w:eastAsia="Arial" w:hAnsi="Arial"/>
          <w:sz w:val="18"/>
          <w:szCs w:val="18"/>
          <w:color w:val="auto"/>
        </w:rPr>
      </w:pPr>
    </w:p>
    <w:p>
      <w:pPr>
        <w:ind w:left="320" w:hanging="312"/>
        <w:spacing w:after="0"/>
        <w:tabs>
          <w:tab w:leader="none" w:pos="3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6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Date: September 3, 2021</w:t>
            </w:r>
          </w:p>
        </w:tc>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Brian G. Andrews</w:t>
            </w:r>
          </w:p>
        </w:tc>
      </w:tr>
      <w:tr>
        <w:trPr>
          <w:trHeight w:val="222"/>
        </w:trPr>
        <w:tc>
          <w:tcPr>
            <w:tcW w:w="560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Brian G. Andrews</w:t>
            </w:r>
          </w:p>
        </w:tc>
      </w:tr>
      <w:tr>
        <w:trPr>
          <w:trHeight w:val="230"/>
        </w:trPr>
        <w:tc>
          <w:tcPr>
            <w:tcW w:w="560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Executive Vice President, Chief Financial Officer and Treasurer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
      <w:numFmt w:val="bullet"/>
      <w:start w:val="1"/>
    </w:lvl>
  </w:abstractNum>
  <w:abstractNum w:abstractNumId="27">
    <w:nsid w:val="2CA8861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2021-09-03T15:19:57Z</dcterms:created>
  <dcterms:modified xsi:type="dcterms:W3CDTF">2021-09-03T15:19:57Z</dcterms:modified>
</cp:coreProperties>
</file>