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sectPr>
      </w:pPr>
    </w:p>
    <w:p>
      <w:pPr>
        <w:spacing w:after="0" w:line="192" w:lineRule="exact"/>
        <w:rPr>
          <w:sz w:val="24"/>
          <w:szCs w:val="24"/>
          <w:color w:val="auto"/>
        </w:rPr>
      </w:pPr>
    </w:p>
    <w:p>
      <w:pPr>
        <w:ind w:left="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440" w:space="720"/>
            <w:col w:w="92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Quarterly Period Ended July 31, 2018</w:t>
      </w:r>
    </w:p>
    <w:p>
      <w:pPr>
        <w:sectPr>
          <w:pgSz w:w="11900" w:h="16838" w:orient="portrait"/>
          <w:cols w:equalWidth="0" w:num="1">
            <w:col w:w="11420"/>
          </w:cols>
          <w:pgMar w:left="240" w:top="274" w:right="239" w:bottom="1440" w:gutter="0" w:footer="0" w:header="0"/>
          <w:type w:val="continuous"/>
        </w:sectPr>
      </w:pPr>
    </w:p>
    <w:p>
      <w:pPr>
        <w:spacing w:after="0" w:line="245" w:lineRule="exact"/>
        <w:rPr>
          <w:sz w:val="24"/>
          <w:szCs w:val="24"/>
          <w:color w:val="auto"/>
        </w:rPr>
      </w:pPr>
    </w:p>
    <w:p>
      <w:pPr>
        <w:ind w:left="14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4" w:lineRule="exact"/>
        <w:rPr>
          <w:sz w:val="24"/>
          <w:szCs w:val="24"/>
          <w:color w:val="auto"/>
        </w:rPr>
      </w:pPr>
    </w:p>
    <w:p>
      <w:pPr>
        <w:sectPr>
          <w:pgSz w:w="11900" w:h="16838" w:orient="portrait"/>
          <w:cols w:equalWidth="0" w:num="2">
            <w:col w:w="1420" w:space="720"/>
            <w:col w:w="9280"/>
          </w:cols>
          <w:pgMar w:left="240" w:top="274" w:right="239" w:bottom="1440" w:gutter="0" w:footer="0" w:header="0"/>
          <w:type w:val="continuous"/>
        </w:sect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6200" w:space="620"/>
            <w:col w:w="46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640" w:space="720"/>
            <w:col w:w="3060"/>
          </w:cols>
          <w:pgMar w:left="240" w:top="274" w:right="23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520" w:space="720"/>
            <w:col w:w="31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6140 Stoneridge Mall Road, Suite 590, Pleasanton, CA 94588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6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80" w:type="dxa"/>
            <w:vAlign w:val="bottom"/>
            <w:gridSpan w:val="2"/>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04"/>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720" w:type="dxa"/>
            <w:vAlign w:val="bottom"/>
          </w:tcPr>
          <w:p>
            <w:pPr>
              <w:ind w:left="500"/>
              <w:spacing w:after="0"/>
              <w:rPr>
                <w:sz w:val="20"/>
                <w:szCs w:val="20"/>
                <w:color w:val="auto"/>
              </w:rPr>
            </w:pPr>
            <w:r>
              <w:rPr>
                <w:rFonts w:ascii="Arial" w:cs="Arial" w:eastAsia="Arial" w:hAnsi="Arial"/>
                <w:sz w:val="18"/>
                <w:szCs w:val="18"/>
                <w:color w:val="auto"/>
              </w:rPr>
              <w:t>o</w:t>
            </w:r>
          </w:p>
        </w:tc>
        <w:tc>
          <w:tcPr>
            <w:tcW w:w="426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1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00"/>
              <w:spacing w:after="0"/>
              <w:rPr>
                <w:sz w:val="20"/>
                <w:szCs w:val="20"/>
                <w:color w:val="auto"/>
              </w:rPr>
            </w:pPr>
            <w:r>
              <w:rPr>
                <w:rFonts w:ascii="Arial" w:cs="Arial" w:eastAsia="Arial" w:hAnsi="Arial"/>
                <w:sz w:val="18"/>
                <w:szCs w:val="18"/>
                <w:color w:val="auto"/>
              </w:rPr>
              <w:t>o</w:t>
            </w:r>
          </w:p>
        </w:tc>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right="19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issuer’s classes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90"/>
              </w:rPr>
              <w:t>Common Stock, $.10 par value</w:t>
            </w:r>
          </w:p>
        </w:tc>
        <w:tc>
          <w:tcPr>
            <w:tcW w:w="4680" w:type="dxa"/>
            <w:vAlign w:val="bottom"/>
          </w:tcPr>
          <w:p>
            <w:pPr>
              <w:jc w:val="right"/>
              <w:ind w:right="1850"/>
              <w:spacing w:after="0"/>
              <w:rPr>
                <w:sz w:val="20"/>
                <w:szCs w:val="20"/>
                <w:color w:val="auto"/>
              </w:rPr>
            </w:pPr>
            <w:r>
              <w:rPr>
                <w:rFonts w:ascii="Arial" w:cs="Arial" w:eastAsia="Arial" w:hAnsi="Arial"/>
                <w:sz w:val="18"/>
                <w:szCs w:val="18"/>
                <w:color w:val="auto"/>
              </w:rPr>
              <w:t>49,139,682</w:t>
            </w:r>
          </w:p>
        </w:tc>
      </w:tr>
      <w:tr>
        <w:trPr>
          <w:trHeight w:val="27"/>
        </w:trPr>
        <w:tc>
          <w:tcPr>
            <w:tcW w:w="45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88"/>
              </w:rPr>
              <w:t>Class</w:t>
            </w:r>
          </w:p>
        </w:tc>
        <w:tc>
          <w:tcPr>
            <w:tcW w:w="4680" w:type="dxa"/>
            <w:vAlign w:val="bottom"/>
          </w:tcPr>
          <w:p>
            <w:pPr>
              <w:jc w:val="center"/>
              <w:spacing w:after="0"/>
              <w:rPr>
                <w:sz w:val="20"/>
                <w:szCs w:val="20"/>
                <w:color w:val="auto"/>
              </w:rPr>
            </w:pPr>
            <w:r>
              <w:rPr>
                <w:rFonts w:ascii="Arial" w:cs="Arial" w:eastAsia="Arial" w:hAnsi="Arial"/>
                <w:sz w:val="18"/>
                <w:szCs w:val="18"/>
                <w:color w:val="auto"/>
                <w:w w:val="90"/>
              </w:rPr>
              <w:t>Outstanding at August 24, 2018</w:t>
            </w:r>
          </w:p>
        </w:tc>
      </w:tr>
    </w:tbl>
    <w:p>
      <w:pPr>
        <w:sectPr>
          <w:pgSz w:w="11900" w:h="16838" w:orient="portrait"/>
          <w:cols w:equalWidth="0" w:num="1">
            <w:col w:w="11420"/>
          </w:cols>
          <w:pgMar w:left="240" w:top="274" w:right="239" w:bottom="1440" w:gutter="0" w:footer="0" w:header="0"/>
          <w:type w:val="continuous"/>
        </w:sectPr>
      </w:pPr>
    </w:p>
    <w:bookmarkStart w:id="1" w:name="page2"/>
    <w:bookmarkEnd w:id="1"/>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auto"/>
              </w:rPr>
              <w:t>Page No.</w:t>
            </w:r>
          </w:p>
        </w:tc>
      </w:tr>
      <w:tr>
        <w:trPr>
          <w:trHeight w:val="203"/>
        </w:trPr>
        <w:tc>
          <w:tcPr>
            <w:tcW w:w="1380" w:type="dxa"/>
            <w:vAlign w:val="bottom"/>
            <w:gridSpan w:val="3"/>
          </w:tcPr>
          <w:p>
            <w:pPr>
              <w:spacing w:after="0" w:line="202" w:lineRule="exact"/>
              <w:rPr>
                <w:sz w:val="20"/>
                <w:szCs w:val="20"/>
                <w:color w:val="auto"/>
              </w:rPr>
            </w:pPr>
            <w:r>
              <w:rPr>
                <w:rFonts w:ascii="Arial" w:cs="Arial" w:eastAsia="Arial" w:hAnsi="Arial"/>
                <w:sz w:val="18"/>
                <w:szCs w:val="18"/>
                <w:color w:val="auto"/>
              </w:rPr>
              <w:t>PART I.</w:t>
            </w:r>
          </w:p>
        </w:tc>
        <w:tc>
          <w:tcPr>
            <w:tcW w:w="840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Financial Statements</w:t>
              </w:r>
            </w:hyperlink>
          </w:p>
        </w:tc>
        <w:tc>
          <w:tcPr>
            <w:tcW w:w="6100" w:type="dxa"/>
            <w:vAlign w:val="bottom"/>
            <w:gridSpan w:val="9"/>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Consolidated Statements of Income - Three and Nine Months Ended July 31, 2018 and 2017</w:t>
            </w:r>
          </w:p>
        </w:tc>
        <w:tc>
          <w:tcPr>
            <w:tcW w:w="1600" w:type="dxa"/>
            <w:vAlign w:val="bottom"/>
            <w:gridSpan w:val="3"/>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7"/>
          </w:tcPr>
          <w:p>
            <w:pPr>
              <w:spacing w:after="0"/>
              <w:rPr>
                <w:sz w:val="20"/>
                <w:szCs w:val="20"/>
                <w:color w:val="auto"/>
              </w:rPr>
            </w:pPr>
            <w:r>
              <w:rPr>
                <w:rFonts w:ascii="Arial" w:cs="Arial" w:eastAsia="Arial" w:hAnsi="Arial"/>
                <w:sz w:val="18"/>
                <w:szCs w:val="18"/>
                <w:color w:val="0000FF"/>
                <w:w w:val="93"/>
              </w:rPr>
              <w:t>Consolidated Statements of Comprehensive Income (Loss) - Three and Nine Months Ended July 31, 2018 and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2017</w:t>
            </w:r>
          </w:p>
        </w:tc>
        <w:tc>
          <w:tcPr>
            <w:tcW w:w="1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372"/>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Condensed Balance Sheets - July 31, 2018 and October 31, 2017</w:t>
            </w:r>
          </w:p>
        </w:tc>
        <w:tc>
          <w:tcPr>
            <w:tcW w:w="2600" w:type="dxa"/>
            <w:vAlign w:val="bottom"/>
            <w:gridSpan w:val="5"/>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Consolidated Condensed Statements of Cash Flows - Nine Months Ended July 31, 2018 and 2017</w:t>
            </w:r>
          </w:p>
        </w:tc>
        <w:tc>
          <w:tcPr>
            <w:tcW w:w="1220" w:type="dxa"/>
            <w:vAlign w:val="bottom"/>
            <w:gridSpan w:val="2"/>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Condensed Financial Statements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 About Market Risk</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8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120" w:type="dxa"/>
            <w:vAlign w:val="bottom"/>
            <w:gridSpan w:val="7"/>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OTHER INFORMATION</w:t>
              </w:r>
            </w:hyperlink>
          </w:p>
        </w:tc>
        <w:tc>
          <w:tcPr>
            <w:tcW w:w="6520" w:type="dxa"/>
            <w:vAlign w:val="bottom"/>
            <w:gridSpan w:val="11"/>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7080" w:type="dxa"/>
            <w:vAlign w:val="bottom"/>
            <w:gridSpan w:val="13"/>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0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4060" w:type="dxa"/>
            <w:vAlign w:val="bottom"/>
            <w:gridSpan w:val="6"/>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507"/>
        </w:trPr>
        <w:tc>
          <w:tcPr>
            <w:tcW w:w="1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Arial" w:cs="Arial" w:eastAsia="Arial" w:hAnsi="Arial"/>
                <w:sz w:val="18"/>
                <w:szCs w:val="18"/>
                <w:color w:val="auto"/>
                <w:w w:val="79"/>
              </w:rPr>
              <w:t>2</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Number of shares used to compute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0" w:right="2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920" w:type="dxa"/>
            <w:vAlign w:val="bottom"/>
            <w:tcBorders>
              <w:bottom w:val="single" w:sz="8" w:color="auto"/>
            </w:tcBorders>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100.8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284.3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104.8</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0" w:right="239" w:bottom="1440" w:gutter="0" w:footer="0" w:header="0"/>
        </w:sectPr>
      </w:pPr>
    </w:p>
    <w:bookmarkStart w:id="4" w:name="page5"/>
    <w:bookmarkEnd w:id="4"/>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2018</w:t>
            </w:r>
          </w:p>
        </w:tc>
        <w:tc>
          <w:tcPr>
            <w:tcW w:w="260" w:type="dxa"/>
            <w:vAlign w:val="bottom"/>
          </w:tcPr>
          <w:p>
            <w:pPr>
              <w:spacing w:after="0"/>
              <w:rPr>
                <w:sz w:val="16"/>
                <w:szCs w:val="16"/>
                <w:color w:val="auto"/>
              </w:rPr>
            </w:pPr>
          </w:p>
        </w:tc>
        <w:tc>
          <w:tcPr>
            <w:tcW w:w="156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5"/>
              </w:rPr>
              <w:t>Trade accounts receivable, net of allowance for doubtful accounts of $18.5 at July 31, 2018 and</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$10.8 at October 31, 2017</w:t>
            </w:r>
          </w:p>
        </w:tc>
        <w:tc>
          <w:tcPr>
            <w:tcW w:w="32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pension liability and other</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1,682.9</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w w:val="97"/>
              </w:rPr>
              <w:t>Preferred stock, 10 cents par value, shares authorized: 1.0; zero shares issued or outstanding</w:t>
            </w: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10 cents par value, shares authorized: 120.0; issued 52.7 at July 31, 2018 and 52.4</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October 31, 2017</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2,470.5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3.6 shares at July 31, 2018 and 3.6 shares at October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3,175.8</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6,256.9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5" w:name="page6"/>
    <w:bookmarkEnd w:id="5"/>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284.3</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Impairment of intangibles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operating capital</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 non-cash items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27.8</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394.6</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Acquisitions of assets and businesses, net of cash acquired, and other</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(1,320.8)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(197.0)</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(1,471.0)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1,064.8</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(984.6)</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(repayments) from short-term debt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1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0"/>
        </w:trPr>
        <w:tc>
          <w:tcPr>
            <w:tcW w:w="7320" w:type="dxa"/>
            <w:vAlign w:val="bottom"/>
          </w:tcPr>
          <w:p>
            <w:pPr>
              <w:ind w:left="380"/>
              <w:spacing w:after="0"/>
              <w:rPr>
                <w:sz w:val="20"/>
                <w:szCs w:val="20"/>
                <w:color w:val="auto"/>
              </w:rPr>
            </w:pPr>
            <w:r>
              <w:rPr>
                <w:rFonts w:ascii="Arial" w:cs="Arial" w:eastAsia="Arial" w:hAnsi="Arial"/>
                <w:sz w:val="18"/>
                <w:szCs w:val="18"/>
                <w:color w:val="auto"/>
              </w:rPr>
              <w:t>Net payments related to share-based compensation awards</w:t>
            </w: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Dividends on common stock</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acquisition costs</w:t>
      </w:r>
    </w:p>
    <w:p>
      <w:pPr>
        <w:spacing w:after="0" w:line="63" w:lineRule="exact"/>
        <w:rPr>
          <w:sz w:val="20"/>
          <w:szCs w:val="20"/>
          <w:color w:val="auto"/>
        </w:rPr>
      </w:pPr>
    </w:p>
    <w:p>
      <w:pPr>
        <w:ind w:left="380" w:right="1320"/>
        <w:spacing w:after="0" w:line="352" w:lineRule="auto"/>
        <w:rPr>
          <w:sz w:val="20"/>
          <w:szCs w:val="20"/>
          <w:color w:val="auto"/>
        </w:rPr>
      </w:pPr>
      <w:r>
        <w:rPr>
          <w:rFonts w:ascii="Arial" w:cs="Arial" w:eastAsia="Arial" w:hAnsi="Arial"/>
          <w:sz w:val="16"/>
          <w:szCs w:val="16"/>
          <w:color w:val="auto"/>
        </w:rPr>
        <w:t>Payment of contingent consideration Proceeds from construction allowance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(used in) financing activities</w:t>
      </w:r>
    </w:p>
    <w:p>
      <w:pPr>
        <w:spacing w:after="0" w:line="77" w:lineRule="exact"/>
        <w:rPr>
          <w:sz w:val="20"/>
          <w:szCs w:val="20"/>
          <w:color w:val="auto"/>
        </w:rPr>
      </w:pPr>
    </w:p>
    <w:p>
      <w:pPr>
        <w:ind w:left="40"/>
        <w:spacing w:after="0" w:line="385" w:lineRule="auto"/>
        <w:rPr>
          <w:sz w:val="20"/>
          <w:szCs w:val="20"/>
          <w:color w:val="auto"/>
        </w:rPr>
      </w:pPr>
      <w:r>
        <w:rPr>
          <w:rFonts w:ascii="Arial" w:cs="Arial" w:eastAsia="Arial" w:hAnsi="Arial"/>
          <w:sz w:val="15"/>
          <w:szCs w:val="15"/>
          <w:color w:val="auto"/>
        </w:rPr>
        <w:t>Effect of exchange rate changes on cash and cash equivalents Net increase (decrease) in cash and cash equivalents</w:t>
      </w:r>
    </w:p>
    <w:p>
      <w:pPr>
        <w:ind w:left="40" w:right="960"/>
        <w:spacing w:after="0" w:line="412" w:lineRule="auto"/>
        <w:rPr>
          <w:sz w:val="20"/>
          <w:szCs w:val="20"/>
          <w:color w:val="auto"/>
        </w:rPr>
      </w:pPr>
      <w:r>
        <w:rPr>
          <w:rFonts w:ascii="Arial" w:cs="Arial" w:eastAsia="Arial" w:hAnsi="Arial"/>
          <w:sz w:val="16"/>
          <w:szCs w:val="16"/>
          <w:color w:val="auto"/>
        </w:rPr>
        <w:t>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5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56"/>
        </w:trPr>
        <w:tc>
          <w:tcPr>
            <w:tcW w:w="7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7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1,107.7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70"/>
        </w:trPr>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0"/>
        </w:trPr>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100.8</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-1423035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-1080135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-728345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-376555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4800"/>
        <w:spacing w:after="0"/>
        <w:rPr>
          <w:sz w:val="20"/>
          <w:szCs w:val="20"/>
          <w:color w:val="auto"/>
        </w:rPr>
      </w:pPr>
      <w:r>
        <w:rPr>
          <w:rFonts w:ascii="Arial" w:cs="Arial" w:eastAsia="Arial" w:hAnsi="Arial"/>
          <w:sz w:val="15"/>
          <w:szCs w:val="15"/>
          <w:color w:val="auto"/>
        </w:rPr>
        <w:t>See accompanying notes.</w:t>
      </w:r>
    </w:p>
    <w:p>
      <w:pPr>
        <w:spacing w:after="0" w:line="2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460" w:space="340"/>
            <w:col w:w="6620"/>
          </w:cols>
          <w:pgMar w:left="240" w:top="1260"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interim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2017. The unaudited interim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 The terms "the Company", "we", "us", and "our" are used to refer collectively to the Cooper Companies, Inc. and its subsidiaries.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3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2018, the Financial Accounting Standards Board (FASB) issued Accounting Standards Update (ASU) 2018-02, </w:t>
      </w:r>
      <w:r>
        <w:rPr>
          <w:rFonts w:ascii="Arial" w:cs="Arial" w:eastAsia="Arial" w:hAnsi="Arial"/>
          <w:sz w:val="17"/>
          <w:szCs w:val="17"/>
          <w:i w:val="1"/>
          <w:iCs w:val="1"/>
          <w:color w:val="auto"/>
        </w:rPr>
        <w:t>Income Statement -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 (Topic 220)</w:t>
      </w:r>
      <w:r>
        <w:rPr>
          <w:rFonts w:ascii="Arial" w:cs="Arial" w:eastAsia="Arial" w:hAnsi="Arial"/>
          <w:sz w:val="17"/>
          <w:szCs w:val="17"/>
          <w:color w:val="auto"/>
        </w:rPr>
        <w:t>, which allows a reclassification from accumulated other comprehensive income (loss) to retained earnings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deficit) for stranded tax effects resulting from the Tax Cuts and Jobs Act of 2017 (2017 Act) and requires certain disclosures regarding stranded tax effects in accumulated other comprehensive income (loss). This guidance is effective for fiscal years, and interim periods within those fiscal years, beginning after December 15, 2018, with early adoption permitted during interim or annual periods. We are currently evaluating the impact of ASU 2018-02 which is effective for the Company in our fiscal year and interim periods beginning on November 1, 2019.</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 - 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Net Periodic Postretirement Benefit Cost. </w:t>
      </w:r>
      <w:r>
        <w:rPr>
          <w:rFonts w:ascii="Arial" w:cs="Arial" w:eastAsia="Arial" w:hAnsi="Arial"/>
          <w:sz w:val="18"/>
          <w:szCs w:val="18"/>
          <w:color w:val="auto"/>
        </w:rPr>
        <w:t>The ASU requires an entity to disaggregate the service cost component from the other components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cost. The service cost component is presented in the same line items as other compensation costs arising from services rendered by the pertinent employees during the period and the other components of net benefit costs are presented separately as other income/expense below income from operations. ASU 2017-07 is effective for the Company in fiscal year and interim periods beginning on November 1, 2019, and is not expected to have a significant impact on the Company's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provides guidance on the classification and presentation of changes in restricted cash and cash equivalents in the statement of cash flows. ASU 2016-18 will be effective for the Company in fiscal year and interim periods beginning on November 1, 2019, and is not expected to have a significant impact on the Company's Consolidated Statements of Cash Flows.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requires entities to recognize the income tax consequences on an intra-entity transfer of an asset other than inventory when the transfer occurs. The ASU changes the timing of the recognition of the income tax consequences of non-inventory transfers which under current guidance defers the income tax consequences until the asset is sold to an outside party or otherwise recognized. The guidance for the amendments of ASU 2016-16 requires companies to apply a modified retrospective approach with a cumulative catch-up adjustment to opening retained earnings in the period of adoption. We are currently evaluating the impact of ASU 2016-16 which is effective for the Company in our fiscal year and interim periods beginning on November 1, 2018.</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Arial" w:cs="Arial" w:eastAsia="Arial" w:hAnsi="Arial"/>
          <w:sz w:val="18"/>
          <w:szCs w:val="18"/>
          <w:i w:val="1"/>
          <w:iCs w:val="1"/>
          <w:color w:val="auto"/>
        </w:rPr>
        <w:t>Codification Improvements to Topic 842, Leases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and ASU 2018-11, </w:t>
      </w:r>
      <w:r>
        <w:rPr>
          <w:rFonts w:ascii="Arial" w:cs="Arial" w:eastAsia="Arial" w:hAnsi="Arial"/>
          <w:sz w:val="17"/>
          <w:szCs w:val="17"/>
          <w:i w:val="1"/>
          <w:iCs w:val="1"/>
          <w:color w:val="auto"/>
        </w:rPr>
        <w:t>Leases Topic 842 Target improvements</w:t>
      </w:r>
      <w:r>
        <w:rPr>
          <w:rFonts w:ascii="Arial" w:cs="Arial" w:eastAsia="Arial" w:hAnsi="Arial"/>
          <w:sz w:val="17"/>
          <w:szCs w:val="17"/>
          <w:color w:val="auto"/>
        </w:rPr>
        <w:t>, which provides an additional (and optional) transition method whereby the new lease standard is applied at the adoption date and recognized as an adjustment to retained earnings. We are currently evaluating the impact of ASU 2016-02, ASU 2018-10 and ASU 2019-11, which is effective for the Company in our fiscal year and interim periods beginning on November 1, 2019.</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requires revenue recognition to depict the transfer of goods or services to customers in an amount that reflects the consideration to which the entity expects to be entitled in exchange for those goods or services. ASU 2014-09 sets forth a new revenue recognition model that requires identifying the contract, identifying the performance obligations, determining the transaction price, allocating the transaction price to performance obligations and recognizing the revenue upon satisfaction of performance obligations. The amendments in the ASU can be applied either retrospectively to each prior reporting period presented or retrospectively with the cumulative effect of initially applying the update recognized at the date of the initial application along with additional disclosures.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been monitoring the activity of the FASB and the Transition Resource Group as it relates to specific industry interpretive guidance and further overall interpretations and clarifications. In fiscal year 2017, we began our plan on adoption of ASU 2014-09. Our plan entails activities such as reviewing significant revenue streams (and related costs) and representative contracts to determine the potential changes to existing accounting policies, completion of an accounting guidance gap analysis, and identifying and addressing the impact that ASU 2014-09 will have on business processes, systems and internal controls to support the recognition and disclosure requirements. We are currently in the process of finalizing our accounting gap analysis and related disclosures. We do not expect a material impact to the Company’s consolidated financial statements on the adoption of ASU 2014-09, but will continue monitoring any changes in contracts that may occur prior to our planned adoption on November 1, 2018.</w:t>
      </w:r>
    </w:p>
    <w:p>
      <w:pPr>
        <w:spacing w:after="0" w:line="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will adopt ASU 2014-09, in our fiscal year and interim periods beginning on November 1, 2018 and we will apply the modified retrospective transition method. This would result in an adjustment to retained earnings for the cumulative effect, if any, of applying the ASU 2014-09 to contracts in process as of the adoption date. Under this method, the Company would not restate the prior consolidated financial statements presented. However, the Company would include additional disclosures of the amount by which each financial statement line item is affected in the current reporting period during our fiscal year 2019, as compared to the guidance that was in effect before the change, and an explanation of the reasons for significant changes, if 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2018, the Company adopted ASU 2018-05, </w:t>
      </w:r>
      <w:r>
        <w:rPr>
          <w:rFonts w:ascii="Arial" w:cs="Arial" w:eastAsia="Arial" w:hAnsi="Arial"/>
          <w:sz w:val="18"/>
          <w:szCs w:val="18"/>
          <w:i w:val="1"/>
          <w:iCs w:val="1"/>
          <w:color w:val="auto"/>
        </w:rPr>
        <w:t>Income Taxes (Topic 740): Amendments to SEC Paragraphs Pursuant to SEC Staff Accounting Bulletin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118, </w:t>
      </w:r>
      <w:r>
        <w:rPr>
          <w:rFonts w:ascii="Arial" w:cs="Arial" w:eastAsia="Arial" w:hAnsi="Arial"/>
          <w:sz w:val="18"/>
          <w:szCs w:val="18"/>
          <w:color w:val="auto"/>
        </w:rPr>
        <w:t>which updates the income tax accounting in U.S. generally accepted accounting principles (GAAP) to reflect the SEC interpretive guidance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22, 2017, when the 2017 Act was signed into law. Additional information regarding the adoption of this standard is contained in Note 6. Income Taxes.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ASU 2017-09 clarifies when changes to the terms or conditions of a share-based payment award must be accounted for as modifications. Entities will apply the modification accounting guidance if the value, vesting conditions or classification of the award changes. The update did not change the accounting for modifications. ASU 2017-09 will be applied prospectively to awards modified on or after the adoption date. Early adoption is permitted, including adoption in any interim period. The Company adopted this guidance on May 1, 2018, and it did not have a material impact on the Company's reported financial results.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 (Topic 230)</w:t>
      </w:r>
      <w:r>
        <w:rPr>
          <w:rFonts w:ascii="Arial" w:cs="Arial" w:eastAsia="Arial" w:hAnsi="Arial"/>
          <w:sz w:val="18"/>
          <w:szCs w:val="18"/>
          <w:color w:val="auto"/>
        </w:rPr>
        <w:t>. The guidance reduces diversity in how certain cash receipts and cash payments are presented and classified in the Statements of Cash Flows. The guidance also clarifies how the predominance principle should be applied when cash receipts and cash payments have aspects of more than one class of cash flows. The guidance is effective for annual periods beginning after December 15, 2017, and is applicable to the Company in fiscal 2019. Early adoption is permitted. The Company adopted this guidance on May 1, 2018, and it did not have a material impact on the Company's reported financial results.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Under current guidance, an entity subsequently measures inventory at the lower of cost or market, with market defined as replacement cost, net realizable value (NRV), or NRV less a normal profit margin. An entity uses current replacement cost provided that it is not above NRV (i.e., the ceiling) or below NRV less an approximately normal profit margin (i.e., the floor). ASU 2015-11 eliminates this analysis and requires entities to measure inventory “at the lower of cost and NRV.” ASU 2015-11 is effective prospectively for annual periods beginning after December 15, 2016, and interim periods therein. The Company adopted this guidance on November 1, 2017, and it did not have a material impact on the Company's reported financial results.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Factoring Program</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factor certain designated trade receivables with one or more third party financial institutions pursuant to a factoring agreement. These are non-recourse factoring arrangements to assist us in managing operating cash flow and meet the requirements to be accounted for as sales in accordance with the “Transfers and Servicing” guidance in ASC 860, where the Company’s continuing involvement subsequent to the transfer is limited to providing certain servicing and collection actions on behalf of the purchasers of the designated trade receivables. Proceeds from amounts factored by the Company are recorded as an increase to cash and a reduction to accounts receivable outstanding in the Consolidated Balance Sheets. Cash flows attributable to factoring are reflected as cash flows from operating activities in the Company’s Consolidated Statements of Cash Flows. Factoring fees associated with the sale of factored receivables for the three and nine months ended July 31, 2018 were $0.5 million. We did not factor accounts receivables in the nine months ended July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allocation of the total purchase consideration for business and asset acquisitions that the Company completed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2018</w:t>
            </w:r>
          </w:p>
        </w:tc>
        <w:tc>
          <w:tcPr>
            <w:tcW w:w="260" w:type="dxa"/>
            <w:vAlign w:val="bottom"/>
          </w:tcPr>
          <w:p>
            <w:pPr>
              <w:spacing w:after="0"/>
              <w:rPr>
                <w:sz w:val="14"/>
                <w:szCs w:val="1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43.1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Composite intangible asset</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1,061.9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Total identifiable intangible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1,189.6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Net tangible assets (liabilities)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the acquisitions were paid in cash and funded by our debt borrowings.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assets acquisitions, we recorded the tangible and intangible assets acquired and liabilities assumed at their estimated and relative fair values as of the applicable date of acquisition. For business acquisitions, we recorded the tangible and intangible assets acquired and liabilities assumed at their fair values as of the applicable date of acquisition.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 2017, CooperSurgical acquired the assets of the PARAGARD Intrauterine Device (IUD) business (PARAGARD) from Teva Pharmaceuticals Industries Limited for $1.1 billion.</w:t>
      </w:r>
    </w:p>
    <w:p>
      <w:pPr>
        <w:spacing w:after="0" w:line="184"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This asset acquisition broadens and strengthens CooperSurgical's current product portfolio.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the only hormone-free, long lasting, reversible contraceptive approved by the United States Food and Drug Administration (FDA) available in the United States.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has accounted for the acquisition of PARAGARD as a purchase of assets in accordance with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whereby the Company recognized assets acquired based on their estimated fair values on the acquisition date. Due to the required screening test, the acquisition does not meet the definition of a business as substantially all the fair value of the gross assets acquired is concentrated in a single identifiable asset. The Company retained independent appraisers to advise management in the determination of the relative fair value of the various assets acquired and liabilities assumed. The values assigned in these financial statements represent management’s best estimate of relative fair values as of the acquisition date.</w:t>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following table summarizes the relative fair values of net assets acquired and liabilities assumed using the cost accumulation and allocation model:</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480" w:type="dxa"/>
            <w:vAlign w:val="bottom"/>
            <w:gridSpan w:val="4"/>
          </w:tcPr>
          <w:p>
            <w:pPr>
              <w:jc w:val="center"/>
              <w:ind w:right="1470"/>
              <w:spacing w:after="0"/>
              <w:rPr>
                <w:sz w:val="20"/>
                <w:szCs w:val="20"/>
                <w:color w:val="auto"/>
              </w:rPr>
            </w:pPr>
            <w:r>
              <w:rPr>
                <w:rFonts w:ascii="Arial" w:cs="Arial" w:eastAsia="Arial" w:hAnsi="Arial"/>
                <w:sz w:val="18"/>
                <w:szCs w:val="18"/>
                <w:color w:val="auto"/>
                <w:w w:val="95"/>
              </w:rPr>
              <w:t>THE COOPER COMPANIES, INC. AND SUBSIDIARIES</w:t>
            </w:r>
          </w:p>
        </w:tc>
        <w:tc>
          <w:tcPr>
            <w:tcW w:w="1680" w:type="dxa"/>
            <w:vAlign w:val="bottom"/>
          </w:tcPr>
          <w:p>
            <w:pPr>
              <w:spacing w:after="0"/>
              <w:rPr>
                <w:sz w:val="17"/>
                <w:szCs w:val="17"/>
                <w:color w:val="auto"/>
              </w:rPr>
            </w:pPr>
          </w:p>
        </w:tc>
      </w:tr>
      <w:tr>
        <w:trPr>
          <w:trHeight w:val="190"/>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Notes to Consolidated Condensed Financial Statements</w:t>
            </w:r>
          </w:p>
        </w:tc>
        <w:tc>
          <w:tcPr>
            <w:tcW w:w="2020" w:type="dxa"/>
            <w:vAlign w:val="bottom"/>
            <w:gridSpan w:val="2"/>
          </w:tcPr>
          <w:p>
            <w:pPr>
              <w:spacing w:after="0"/>
              <w:rPr>
                <w:sz w:val="16"/>
                <w:szCs w:val="16"/>
                <w:color w:val="auto"/>
              </w:rPr>
            </w:pPr>
          </w:p>
        </w:tc>
        <w:tc>
          <w:tcPr>
            <w:tcW w:w="1680" w:type="dxa"/>
            <w:vAlign w:val="bottom"/>
          </w:tcPr>
          <w:p>
            <w:pPr>
              <w:spacing w:after="0"/>
              <w:rPr>
                <w:sz w:val="16"/>
                <w:szCs w:val="16"/>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20" w:type="dxa"/>
            <w:vAlign w:val="bottom"/>
            <w:gridSpan w:val="3"/>
          </w:tcPr>
          <w:p>
            <w:pPr>
              <w:jc w:val="center"/>
              <w:ind w:right="1950"/>
              <w:spacing w:after="0"/>
              <w:rPr>
                <w:sz w:val="20"/>
                <w:szCs w:val="20"/>
                <w:color w:val="auto"/>
              </w:rPr>
            </w:pPr>
            <w:r>
              <w:rPr>
                <w:rFonts w:ascii="Arial" w:cs="Arial" w:eastAsia="Arial" w:hAnsi="Arial"/>
                <w:sz w:val="18"/>
                <w:szCs w:val="18"/>
                <w:color w:val="auto"/>
                <w:w w:val="91"/>
              </w:rPr>
              <w:t>(Unaudited)</w:t>
            </w:r>
          </w:p>
        </w:tc>
        <w:tc>
          <w:tcPr>
            <w:tcW w:w="1680" w:type="dxa"/>
            <w:vAlign w:val="bottom"/>
          </w:tcPr>
          <w:p>
            <w:pPr>
              <w:spacing w:after="0"/>
              <w:rPr>
                <w:sz w:val="20"/>
                <w:szCs w:val="20"/>
                <w:color w:val="auto"/>
              </w:rPr>
            </w:pPr>
          </w:p>
        </w:tc>
      </w:tr>
      <w:tr>
        <w:trPr>
          <w:trHeight w:val="581"/>
        </w:trPr>
        <w:tc>
          <w:tcPr>
            <w:tcW w:w="32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64"/>
        </w:trPr>
        <w:tc>
          <w:tcPr>
            <w:tcW w:w="326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Composite intangible asset </w:t>
            </w:r>
            <w:r>
              <w:rPr>
                <w:rFonts w:ascii="Arial" w:cs="Arial" w:eastAsia="Arial" w:hAnsi="Arial"/>
                <w:sz w:val="25"/>
                <w:szCs w:val="25"/>
                <w:color w:val="auto"/>
                <w:vertAlign w:val="superscript"/>
              </w:rPr>
              <w:t>(1)</w:t>
            </w:r>
          </w:p>
        </w:tc>
        <w:tc>
          <w:tcPr>
            <w:tcW w:w="6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r>
      <w:tr>
        <w:trPr>
          <w:trHeight w:val="270"/>
        </w:trPr>
        <w:tc>
          <w:tcPr>
            <w:tcW w:w="3260" w:type="dxa"/>
            <w:vAlign w:val="bottom"/>
            <w:gridSpan w:val="3"/>
          </w:tcPr>
          <w:p>
            <w:pPr>
              <w:ind w:left="40"/>
              <w:spacing w:after="0" w:line="270" w:lineRule="exact"/>
              <w:rPr>
                <w:sz w:val="20"/>
                <w:szCs w:val="20"/>
                <w:color w:val="auto"/>
              </w:rPr>
            </w:pPr>
            <w:r>
              <w:rPr>
                <w:rFonts w:ascii="Arial" w:cs="Arial" w:eastAsia="Arial" w:hAnsi="Arial"/>
                <w:sz w:val="18"/>
                <w:szCs w:val="18"/>
                <w:color w:val="auto"/>
                <w:w w:val="97"/>
              </w:rPr>
              <w:t xml:space="preserve">Assembled workforce intangible asset </w:t>
            </w:r>
            <w:r>
              <w:rPr>
                <w:rFonts w:ascii="Arial" w:cs="Arial" w:eastAsia="Arial" w:hAnsi="Arial"/>
                <w:sz w:val="25"/>
                <w:szCs w:val="25"/>
                <w:color w:val="auto"/>
                <w:w w:val="97"/>
                <w:vertAlign w:val="superscript"/>
              </w:rPr>
              <w:t>(2)</w:t>
            </w:r>
          </w:p>
        </w:tc>
        <w:tc>
          <w:tcPr>
            <w:tcW w:w="4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32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Inventory </w:t>
            </w:r>
            <w:r>
              <w:rPr>
                <w:rFonts w:ascii="Arial" w:cs="Arial" w:eastAsia="Arial" w:hAnsi="Arial"/>
                <w:sz w:val="25"/>
                <w:szCs w:val="25"/>
                <w:color w:val="auto"/>
                <w:vertAlign w:val="superscript"/>
              </w:rPr>
              <w:t>(3)</w:t>
            </w:r>
          </w:p>
        </w:tc>
        <w:tc>
          <w:tcPr>
            <w:tcW w:w="46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37"/>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Total assets acquired</w:t>
            </w:r>
          </w:p>
        </w:tc>
        <w:tc>
          <w:tcPr>
            <w:tcW w:w="6340" w:type="dxa"/>
            <w:vAlign w:val="bottom"/>
            <w:gridSpan w:val="3"/>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1,121.8</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liabilities assumed</w:t>
            </w:r>
          </w:p>
        </w:tc>
        <w:tc>
          <w:tcPr>
            <w:tcW w:w="46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32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6340" w:type="dxa"/>
            <w:vAlign w:val="bottom"/>
            <w:gridSpan w:val="3"/>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1,105.4</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proportionally allocated the acquisition costs to the net assets acquired. The acquisition-related costs included advisory, legal, valuation and other professional fees.</w:t>
      </w:r>
    </w:p>
    <w:p>
      <w:pPr>
        <w:spacing w:after="0" w:line="170" w:lineRule="exact"/>
        <w:rPr>
          <w:sz w:val="20"/>
          <w:szCs w:val="20"/>
          <w:color w:val="auto"/>
        </w:rPr>
      </w:pPr>
    </w:p>
    <w:p>
      <w:pPr>
        <w:jc w:val="both"/>
        <w:ind w:firstLine="8"/>
        <w:spacing w:after="0" w:line="256" w:lineRule="auto"/>
        <w:tabs>
          <w:tab w:leader="none" w:pos="192" w:val="left"/>
        </w:tabs>
        <w:numPr>
          <w:ilvl w:val="0"/>
          <w:numId w:val="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ind w:left="180" w:hanging="172"/>
        <w:spacing w:after="0" w:line="214" w:lineRule="auto"/>
        <w:tabs>
          <w:tab w:leader="none" w:pos="180" w:val="left"/>
        </w:tabs>
        <w:numPr>
          <w:ilvl w:val="0"/>
          <w:numId w:val="1"/>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An assembled workforce was recognized as a separate acquired intangible asset, given the purchase of assets and will be amortized over 5 years.</w:t>
      </w:r>
    </w:p>
    <w:p>
      <w:pPr>
        <w:spacing w:after="0" w:line="2" w:lineRule="exact"/>
        <w:rPr>
          <w:rFonts w:ascii="Arial" w:cs="Arial" w:eastAsia="Arial" w:hAnsi="Arial"/>
          <w:sz w:val="21"/>
          <w:szCs w:val="21"/>
          <w:i w:val="1"/>
          <w:iCs w:val="1"/>
          <w:color w:val="auto"/>
          <w:vertAlign w:val="superscript"/>
        </w:rPr>
      </w:pPr>
    </w:p>
    <w:p>
      <w:pPr>
        <w:ind w:left="180" w:hanging="172"/>
        <w:spacing w:after="0" w:line="213" w:lineRule="auto"/>
        <w:tabs>
          <w:tab w:leader="none" w:pos="180" w:val="left"/>
        </w:tabs>
        <w:numPr>
          <w:ilvl w:val="0"/>
          <w:numId w:val="1"/>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Inventory relative fair value includes step up of $45.4 million.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PARAGARD was considered an asset purchase as opposed to a business acquisition in accordance with the guidance under FASB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and ASU No. 2017-01,</w:t>
      </w:r>
      <w:r>
        <w:rPr>
          <w:rFonts w:ascii="Arial" w:cs="Arial" w:eastAsia="Arial" w:hAnsi="Arial"/>
          <w:sz w:val="18"/>
          <w:szCs w:val="18"/>
          <w:i w:val="1"/>
          <w:iCs w:val="1"/>
          <w:color w:val="auto"/>
        </w:rPr>
        <w:t xml:space="preserve"> Business Combinations (Topic 805): Clarifying the Definition of a Business</w:t>
      </w:r>
      <w:r>
        <w:rPr>
          <w:rFonts w:ascii="Arial" w:cs="Arial" w:eastAsia="Arial" w:hAnsi="Arial"/>
          <w:sz w:val="18"/>
          <w:szCs w:val="18"/>
          <w:color w:val="auto"/>
        </w:rPr>
        <w:t>, the Company has not included proforma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information which is applicable for a business acquisition.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3, 2018, CooperSurgical completed the acquisition of The LifeGlobal Group (LifeGlobal). LifeGlobal was a privately held company that specializes primarily in the in vitro fertilization (IVF) media. LifeGlobal’s product categories include media products as well as IVF laboratory air filtration products and dishware. The purchase price allocation is preliminary and we are in the process of finalizing information primarily related to property, plant &amp; equipment, inventories, certain accruals and other liabilities and the corresponding impact on goodwill.</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 The purchase price allocation is preliminary and we are in the process of finalizing information primarily related to property, plant &amp; equipment, inventories and certain other assets and liabilities and the corresponding impact on goodwill.</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4, 2018, CooperVision acquired Blueyes Ltd, a long-standing distribution partner, with a leading position in the distribution of contact lenses to the Optical and Pharmacy sector in Israel. The purchase price allocation is preliminary and we are in the process of finalizing information related to tax and the corresponding impact on goodwill.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effects of the business combinations described above, individually and in the aggregate, were not material to our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3, 2017, CooperVision completed the acquisition of Procornea Holding B.V. (Procornea). Procornea is a Netherlands based manufacturer and distributor of specialty contact lenses, mainly ortho-k which expands CooperVision's access to myopia (nearsightedness) management markets with new products. We have completed the purchase price allocation for this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2017, CooperVision completed the acquisition of Grand Vista LLC, a long-standing distribution partner in Russia. Grand Vista LLC is engaged in contact lens and contact lens solutions and lens care product distribution business in Russia. We have completed the purchase price allocation for this acquisition.</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November 4, 2016, CooperSurgical completed the acquisition of Wallace, the IVF segment of Smiths Medical International, Ltd., a division of Smiths Group plc. Wallace manufactures a range of IVF and ob/gyn products. We have completed the purchase price allocation for this acquisition.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Inventories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July 31, 2018</w:t>
            </w:r>
          </w:p>
        </w:tc>
        <w:tc>
          <w:tcPr>
            <w:tcW w:w="340" w:type="dxa"/>
            <w:vAlign w:val="bottom"/>
          </w:tcPr>
          <w:p>
            <w:pPr>
              <w:spacing w:after="0"/>
              <w:rPr>
                <w:sz w:val="14"/>
                <w:szCs w:val="14"/>
                <w:color w:val="auto"/>
              </w:rPr>
            </w:pPr>
          </w:p>
        </w:tc>
        <w:tc>
          <w:tcPr>
            <w:tcW w:w="1820" w:type="dxa"/>
            <w:vAlign w:val="bottom"/>
          </w:tcPr>
          <w:p>
            <w:pPr>
              <w:jc w:val="right"/>
              <w:ind w:right="474"/>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400" w:type="dxa"/>
            <w:vAlign w:val="bottom"/>
          </w:tcPr>
          <w:p>
            <w:pPr>
              <w:spacing w:after="0"/>
              <w:rPr>
                <w:sz w:val="21"/>
                <w:szCs w:val="21"/>
                <w:color w:val="auto"/>
              </w:rPr>
            </w:pP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454.1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CooperVision</w:t>
            </w:r>
          </w:p>
        </w:tc>
        <w:tc>
          <w:tcPr>
            <w:tcW w:w="2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CooperSurgical</w:t>
            </w:r>
          </w:p>
        </w:tc>
        <w:tc>
          <w:tcPr>
            <w:tcW w:w="400" w:type="dxa"/>
            <w:vAlign w:val="bottom"/>
          </w:tcPr>
          <w:p>
            <w:pPr>
              <w:spacing w:after="0"/>
              <w:rPr>
                <w:sz w:val="14"/>
                <w:szCs w:val="14"/>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additions during the year ended October 31, 2017</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2017</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2,354.8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additions during the nine months ended July 31, 2018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July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performed our annual impairment assessment in our third quarter of fiscal 2018 and 2017, and our analysis indicated that we had no impairment of goodwill. 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performed a qualitative assessment to test each reporting unit's goodwill for impairment. Qualitative factors considered in this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carrying amount which exceeds the reporting unit's fair value. A reporting unit is the level of reporting at which goodwill is tested for impairment. Our reporting units are the same as our business segments - CooperVision and CooperSurgical - reflecting the current way we manage our business. Goodwill impairment analysis and measurement is a process that requires significant judgment. If our common stock price trades below book value per share, there are changes in market conditions or future downturn in our business, or a future annual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ind w:left="920"/>
              <w:spacing w:after="0"/>
              <w:rPr>
                <w:sz w:val="20"/>
                <w:szCs w:val="20"/>
                <w:color w:val="auto"/>
              </w:rPr>
            </w:pPr>
            <w:r>
              <w:rPr>
                <w:rFonts w:ascii="Arial" w:cs="Arial" w:eastAsia="Arial" w:hAnsi="Arial"/>
                <w:sz w:val="14"/>
                <w:szCs w:val="14"/>
                <w:b w:val="1"/>
                <w:bCs w:val="1"/>
                <w:color w:val="auto"/>
              </w:rPr>
              <w:t>July 31, 2018</w:t>
            </w:r>
          </w:p>
        </w:tc>
        <w:tc>
          <w:tcPr>
            <w:tcW w:w="180" w:type="dxa"/>
            <w:vAlign w:val="bottom"/>
          </w:tcPr>
          <w:p>
            <w:pPr>
              <w:spacing w:after="0"/>
              <w:rPr>
                <w:sz w:val="16"/>
                <w:szCs w:val="16"/>
                <w:color w:val="auto"/>
              </w:rPr>
            </w:pPr>
          </w:p>
        </w:tc>
        <w:tc>
          <w:tcPr>
            <w:tcW w:w="276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October 31, 2017</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 (In</w:t>
            </w:r>
          </w:p>
        </w:tc>
        <w:tc>
          <w:tcPr>
            <w:tcW w:w="0" w:type="dxa"/>
            <w:vAlign w:val="bottom"/>
          </w:tcPr>
          <w:p>
            <w:pPr>
              <w:spacing w:after="0"/>
              <w:rPr>
                <w:sz w:val="1"/>
                <w:szCs w:val="1"/>
                <w:color w:val="auto"/>
              </w:rPr>
            </w:pPr>
          </w:p>
        </w:tc>
      </w:tr>
      <w:tr>
        <w:trPr>
          <w:trHeight w:val="153"/>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3"/>
                <w:szCs w:val="13"/>
                <w:color w:val="auto"/>
              </w:rPr>
            </w:pP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&amp; Translation</w:t>
            </w:r>
          </w:p>
        </w:tc>
        <w:tc>
          <w:tcPr>
            <w:tcW w:w="18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6"/>
              </w:rPr>
              <w:t>&amp; Translation</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139.6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Composite intangible asset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173.2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License and distribution rights and other</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44.5</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2,025.4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878.0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373.3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Less: accumulated amortization and</w:t>
            </w: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1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intangible assets,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435"/>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in fiscal 2016, a clinical genetic testing company specializing in carrier screening. The intangible assets impaired consisted of Technology, Trademark and Customer relationships.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2018, the estimation of amortization expenses for intangible assets with finite lives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6"/>
              </w:rPr>
              <w:t>Fiscal years:</w:t>
            </w:r>
          </w:p>
        </w:tc>
        <w:tc>
          <w:tcPr>
            <w:tcW w:w="6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ind w:right="67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3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43"/>
        </w:trPr>
        <w:tc>
          <w:tcPr>
            <w:tcW w:w="7320" w:type="dxa"/>
            <w:vAlign w:val="bottom"/>
            <w:gridSpan w:val="5"/>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2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 remaining amortization for intangible assets</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0"/>
        </w:trPr>
        <w:tc>
          <w:tcPr>
            <w:tcW w:w="9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0"/>
              </w:rPr>
              <w:t>Note 5. Debt</w:t>
            </w:r>
          </w:p>
        </w:tc>
        <w:tc>
          <w:tcPr>
            <w:tcW w:w="63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940" w:type="dxa"/>
            <w:vAlign w:val="bottom"/>
            <w:tcBorders>
              <w:bottom w:val="single" w:sz="8" w:color="auto"/>
            </w:tcBorders>
            <w:gridSpan w:val="3"/>
            <w:vMerge w:val="continue"/>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32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4"/>
                <w:szCs w:val="2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b w:val="1"/>
                <w:bCs w:val="1"/>
                <w:color w:val="auto"/>
              </w:rPr>
              <w:t>July 31, 2018</w:t>
            </w:r>
          </w:p>
        </w:tc>
        <w:tc>
          <w:tcPr>
            <w:tcW w:w="320" w:type="dxa"/>
            <w:vAlign w:val="bottom"/>
          </w:tcPr>
          <w:p>
            <w:pPr>
              <w:spacing w:after="0"/>
              <w:rPr>
                <w:sz w:val="24"/>
                <w:szCs w:val="24"/>
                <w:color w:val="auto"/>
              </w:rPr>
            </w:pPr>
          </w:p>
        </w:tc>
        <w:tc>
          <w:tcPr>
            <w:tcW w:w="1740" w:type="dxa"/>
            <w:vAlign w:val="bottom"/>
          </w:tcPr>
          <w:p>
            <w:pPr>
              <w:jc w:val="right"/>
              <w:ind w:right="412"/>
              <w:spacing w:after="0"/>
              <w:rPr>
                <w:sz w:val="20"/>
                <w:szCs w:val="20"/>
                <w:color w:val="auto"/>
              </w:rPr>
            </w:pPr>
            <w:r>
              <w:rPr>
                <w:rFonts w:ascii="Arial" w:cs="Arial" w:eastAsia="Arial" w:hAnsi="Arial"/>
                <w:sz w:val="14"/>
                <w:szCs w:val="14"/>
                <w:b w:val="1"/>
                <w:bCs w:val="1"/>
                <w:color w:val="auto"/>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Short-term:</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5"/>
          </w:tcPr>
          <w:p>
            <w:pPr>
              <w:ind w:left="40"/>
              <w:spacing w:after="0"/>
              <w:rPr>
                <w:sz w:val="20"/>
                <w:szCs w:val="20"/>
                <w:color w:val="auto"/>
              </w:rPr>
            </w:pPr>
            <w:r>
              <w:rPr>
                <w:rFonts w:ascii="Arial" w:cs="Arial" w:eastAsia="Arial" w:hAnsi="Arial"/>
                <w:sz w:val="18"/>
                <w:szCs w:val="18"/>
                <w:color w:val="auto"/>
              </w:rPr>
              <w:t>Overdraft and other credit facilities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3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Long term:</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gridSpan w:val="5"/>
          </w:tcPr>
          <w:p>
            <w:pPr>
              <w:ind w:left="40"/>
              <w:spacing w:after="0"/>
              <w:rPr>
                <w:sz w:val="20"/>
                <w:szCs w:val="20"/>
                <w:color w:val="auto"/>
              </w:rPr>
            </w:pPr>
            <w:r>
              <w:rPr>
                <w:rFonts w:ascii="Arial" w:cs="Arial" w:eastAsia="Arial" w:hAnsi="Arial"/>
                <w:sz w:val="18"/>
                <w:szCs w:val="18"/>
                <w:color w:val="auto"/>
              </w:rPr>
              <w:t>2016 Credit Agreement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43"/>
        </w:trPr>
        <w:tc>
          <w:tcPr>
            <w:tcW w:w="7320" w:type="dxa"/>
            <w:vAlign w:val="bottom"/>
            <w:gridSpan w:val="5"/>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2,248.9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2017, in connection with the PARAGARD acquisition, we entered into a new five-year, $1.425 billion, senior unsecured term loan agreement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outstanding under the 2017 Term Loan Agreement will bear interest, at our option, at either the base rate, or the adjusted LIBO rate (each as defined in the 2017 Term Loan Agreement), plus, in each case, an applicable rate of, between 0.00% and 0.75% in respect of base rate loans and between 1.00% and 1.75% in respect of adjusted LIBO rate loans, in each case in accordance with a pricing grid tied to the Total Leverage Ratio as defined in the 2017 Term Loan Agreement.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Agreement) consistent with the 2016 Credit Agreement discussed below. At July 31, 2018, we had $1.425 billion outstanding under the 2017 Term Loan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 2016, we entered into a Revolving Credit and Term Loan Agreement (2016 Credit Agreement), among the Company, CooperVision International Holding Company, LP, the lenders party thereto and KeyBank National Association, as administrative agent. The 2016 Credit Agreement provides for a multicurrency revolving credit facility in an aggregate principal amount of $1.0 billion and a term loan facility in an aggregate principal amount of $830.0 million, each of which, unless terminated earlier, mature on March 1, 2021. In addition, we have the ability from time to time to request an increase to the size of the revolving credit facility or establish one or more new term loans under the term loan facility in an aggregate amount up to $750.0 million, subject to the discretionary participation of the lenders.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 rate or adjusted foreign currency rate (each as defined in the 2016 Credit Agreement), plus, in each case, an applicable rate of between 0.00% and 0.75% in respect of base rate loans and between 1.00% and 1.75% in respect of adjusted LIBO rate or adjusted foreign currency rate loans, in each case in accordance with a pricing grid tied to the Total Leverage Ratio, as defined in the 2016 Credit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pay an annual commitment fee that ranges from 0.125% to 0.25% of the unused portion of the revolving credit facility depending on certain financial ratios. In addition to the annual commitment fee described above, we are also required to pay certain letter of credit and related fronting fees and other administrative fees pursuant to the terms of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July 31, 2018, we had $830.0 million outstanding under the Term Loan and $999.5 million available under the 2016 Revolving Credit Agreement.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11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July 31, 2018, we were in compliance with the Interest Coverage Ratio at 12.50 to 1.00 and the Total Leverage Ratio at 2.45 to 1.00 for both the 2017 Term Loan Agreement and the 2016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2017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2017 Act was enacted into law on December 22, 2017 and significantly changes existing U.S. tax law. The 2017 Act adopts a territorial tax system, imposes a mandatory one-time transition tax on earnings of foreign subsidiaries that were previously tax deferred, and reduces the U.S. federal statutory tax rate from 35% to 21%. The reduction in the U.S. federal statutory tax rate is effective on January 1, 2018 which requires the Company to use a blended tax rate for fiscal 2018. Our blended tax rate is 23.34% for fiscal 2018 and is calculated by applying a pro-rated percentage based on the number of days in our fiscal 2018 before and after the January 1, 2018 effective date. For fiscal 2019 and subsequent years, the Company will utilize the enacted U.S. federal statutory tax rate of 21%.</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2017 Act includes several provisions that are effective for our fiscal 2019: (i) tax on global intangible low-taxed income (GILTI) of foreign subsidiaries,</w:t>
      </w:r>
    </w:p>
    <w:p>
      <w:pPr>
        <w:spacing w:after="0" w:line="46" w:lineRule="exact"/>
        <w:rPr>
          <w:sz w:val="20"/>
          <w:szCs w:val="20"/>
          <w:color w:val="auto"/>
        </w:rPr>
      </w:pPr>
    </w:p>
    <w:p>
      <w:pPr>
        <w:ind w:firstLine="8"/>
        <w:spacing w:after="0" w:line="290" w:lineRule="auto"/>
        <w:tabs>
          <w:tab w:leader="none" w:pos="272"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2017 Act was effective in the first quarter of fiscal 2018. As of July 31, 2018, we have not completed our accounting for the tax effects of the enactment of the 2017 Act. Consistent with SEC guidance, we recorded a provisional tax expense in our financial statements for the first quarter ended January 31, 2018, based on reasonable estimates of the tax effects of the 2017 Act. The provisional tax expense is subject to revisions as we gather and prepare additional information to complete our analysis of the 2017 Act, and interpret additional guidance issued by the FASB, Internal Revenue Service and U.S. Treasury Department. The provisional tax expense will be finalized during the measurement period, which should not extend beyond one year from the enactment date, and could be materially different than our provisional tax expense. The provisional tax expense is described in more detail below.</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the Company recorded a $177.9 million provisional tax expense for the mandatory deemed repatriation of deferred foreign earnings and plans to pay the applicable amounts over eight years. The 2017 Act requires us to incur a one-time transition tax on deferred foreign income not previously subject to U.S. income tax at a rate of 15.5% for foreign cash and certain other net current assets, and 8% on the remaining deferred foreign income. In the third quarter, the Company decreased the provisional tax expense to $174.1 million after revising its analysis of the earnings and profits and foreign tax credits, which are critical inputs to the calculation. We have not completed our analysis because we are using estimates for part of fiscal 2018 that impact the final transition tax calculation.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the Company recorded a provisional tax expense of $13.2 million to record changes to the deferred taxes resulting from the U.S. federal rate decreasing from 35% to 21%. The amount is calculated using the applicable tax rates in the years in which the deferred tax assets and liabilities are expected to reverse. The Company is still analyzing certain aspects of the 2017 Act and refining the calculations, which could affect the measurement of the deferred taxes or give rise to new deferred tax amounts. The re-measurement of deferred taxes included in our financial statements will be subject to further revisions if our current estimates vary from our actual future operating results.</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changes in the 2017 Act, we are reviewing our prior assertion that earnings from our foreign subsidiaries are indefinitely reinvested. For purposes of recording the provisional tax expense in fiscal 2018, we are no longer asserting that earnings from our foreign subsidiaries are indefinitely reinvested. Accordingly, in the first quarter we recorded provisional estimates relating to additional state income taxes of $8.1 million and withholding taxes of $2.8 million relating to the unremitted foreign earnings. In the third quarter, we decreased the provisional estimate relating to additional state taxes to $7.5 million and withholding taxes to $1.9 million mostly due to the changes made to the transition tax. We have not completed our analysis because we are still gathering additional information to quantify the impact to the individual states and to quantify the withholding taxes that would be owed when future dividends are paid to the U.S. As the Company completes its analysis, it will make appropriate changes to the financial statements within the measurement period.</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Act imposes a new tax on foreign earnings and profits in excess of a deemed return on tangible assets of foreign subsidiaries referred to as GILTI. The 2017 Act also imposes a new tax on certain payments between a U.S. corporation and its foreign subsidiaries referred to as BEAT. These new provisions are effective for fiscal 2019. Due to the complexity of the new GILTI and BEAT tax rules, we are continuing to evaluate these new provisions and the application of GAAP. With respect to GILTI, the Company has not progressed sufficiently in its analysis and has not made an accounting policy election to treat taxes due on the GILTI inclusion as a current period expense or factor such amounts into the measurement of our deferred taxes. The Company will continue its evaluation and make a policy election within the measurement period.</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Act limits the future deductions relating to interest expense and certain executive compensation. These provisions are generally effective for the Company in fiscal 2019. Pursuant to transition rules provided in the 2017 Act relating to the deduction for executive compensation, companies will be allowed tax deductions for performance based plans in existence on or before November 2, 2017 and not materially modified after that date. Based on our current interpretation of the transition rules, we believe the Company will be able to deduct the executive compensation relating to those plans. Therefore, we have not recorded any provisional tax expense this quarter or prior quarters. As additional guidance and clarification of the transition rules, is provided by the tax authorities we will make appropriate changes within the measurement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effective tax rates were a benefit of 11.5% and expense of 3.8% for the third quarters of fiscal 2018 and 2017, respectively, and an expense of 82.1% and 4.4% for the first nine months of fiscal 2018 and 2017, respectively. The decrease in our effective tax rate for the third quarter of fiscal 2018 compared to the third quarter of fiscal 2017 was due primarily to a reduction in U.S. income related to acquisition and integration activities in CooperSurgical and a decrease of $5.3 million to the provisional tax expense recorded in Q1 relating to the 2017 Act. The increase in our effective tax rate for the first nine months of fiscal 2018 compared to the first nine months of fiscal 2017 was primarily due to the charge of $196.7 million related to the 2017 Act. Our effective tax rate for the first nine 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 Our effective tax rate for the first nine months of fiscal 2017 was lower than the U.S. statutory rate primarily because of a favorable mix of income from our foreign jurisdictions with lower tax rates and an excess tax benefit from share-based compensation.</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 the benefit from a tax position only if it is more likely than not that the position would be sustained upon audit based solely on the technical merits of the tax position. As of July 31, 2018 and October 31, 2017, Cooper had unrecognized tax benefits of $65.3 million and $59.9 million, respectively. The increase is primarily related to current period transfer pricing. It is our policy to recognize interest and penalties directly related to income taxes as additional income tax expense. It is reasonably possible that $25.3 million of unrecognized tax benefits could be settled during the next twelve months.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U.S. Federal income tax examinations for fiscal 2015 through 2017 and the Internal Revenue Service is auditing our U.S. Consolidated Corporation Income Tax Returns for fiscal 2015 and 2016. Cooper remains subject to income tax examinations in other significant tax jurisdictions including the United Kingdom, Japan, France and Australia for the tax years 2013 through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Diverted Profits Tax (DPT)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Kingdom tax authorities (U.K. Tax Authorities) enacted a Diverted Profits Tax (DPT) as of April 1, 2015 on profits of multinationals that they deemed artificially diverted from the United Kingdom. The tax rate is 25%. DPT is intended to apply in two situations: (a) where a foreign company has artificially avoided having a taxable presence in the United Kingdom; and (b) where a group adopts a structure which lacks economic substance in order to divert profits from the United Kingdom.</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fiscal 2017, the U.K. Tax Authorities began an inquiry regarding the application of the DPT in fiscal 2015. We believe that the transactions in question were at arm’s length with no intention to divert profit from the United Kingdom and therefore are outside the intended reach of the DPT.</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taxes were paid on the transfer, the U.K. Tax Authorities are challenging the value assigned to such property. We intend to contest the charging notice vigorously. The process for resolving such a notice can be lengthy and could involve litigation. The DPT legislation provides a one year review period; however, it requires prepayment of the charging notice to be made within 30 days of its issuance. As required, the payment of GBP 31.0 million was made on January 19, 2018. The Company continues to cooperate with the U.K. Tax Authorities to resolve this issue. The outcome of this matter cannot be predicted with certainty and may have an adverse impact on our financial condition and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Earnings Per Share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gridSpan w:val="5"/>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Nine Months</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420" w:type="dxa"/>
            <w:vAlign w:val="bottom"/>
          </w:tcPr>
          <w:p>
            <w:pPr>
              <w:spacing w:after="0"/>
              <w:rPr>
                <w:sz w:val="19"/>
                <w:szCs w:val="19"/>
                <w:color w:val="auto"/>
              </w:rPr>
            </w:pPr>
          </w:p>
        </w:tc>
        <w:tc>
          <w:tcPr>
            <w:tcW w:w="1320" w:type="dxa"/>
            <w:vAlign w:val="bottom"/>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color w:val="auto"/>
              </w:rPr>
              <w:t>Basic:</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gridSpan w:val="5"/>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gridSpan w:val="5"/>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24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1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Weighted average shares</w:t>
            </w: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potential dilutive shares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Diluted weighted average shares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 - 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stock options to purchase Cooper’s common stock and restricted stock units that were not included in the diluted earnings per share calculation because their effect would have been antidilutive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252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Three Months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w w:val="92"/>
              </w:rPr>
              <w:t>Nine Months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exercise prices)</w:t>
            </w:r>
          </w:p>
        </w:tc>
        <w:tc>
          <w:tcPr>
            <w:tcW w:w="2060" w:type="dxa"/>
            <w:vAlign w:val="bottom"/>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40" w:type="dxa"/>
            <w:vAlign w:val="bottom"/>
          </w:tcPr>
          <w:p>
            <w:pPr>
              <w:jc w:val="right"/>
              <w:ind w:right="7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stock option shares excluded</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Range of exercise prices</w:t>
            </w: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gridSpan w:val="3"/>
            <w:vMerge w:val="continue"/>
          </w:tcPr>
          <w:p>
            <w:pPr>
              <w:spacing w:after="0"/>
              <w:rPr>
                <w:sz w:val="19"/>
                <w:szCs w:val="19"/>
                <w:color w:val="auto"/>
              </w:rPr>
            </w:pP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$226.30-$230.09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7"/>
              <w:spacing w:after="0"/>
              <w:rPr>
                <w:sz w:val="20"/>
                <w:szCs w:val="20"/>
                <w:color w:val="auto"/>
              </w:rPr>
            </w:pPr>
            <w:r>
              <w:rPr>
                <w:rFonts w:ascii="Arial" w:cs="Arial" w:eastAsia="Arial" w:hAnsi="Arial"/>
                <w:sz w:val="18"/>
                <w:szCs w:val="18"/>
                <w:color w:val="auto"/>
              </w:rPr>
              <w:t>$226.30-$230.09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175.31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28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Numbers of restricted stock units excluded</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jc w:val="right"/>
              <w:ind w:right="4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Share-Based Compensation Plans</w:t>
      </w:r>
    </w:p>
    <w:p>
      <w:pPr>
        <w:spacing w:after="0" w:line="17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Cooper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2017. The compensation expense and related income tax benefit recognized in our consolidated condensed financial statements for share-based awards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4"/>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280" w:type="dxa"/>
            <w:vAlign w:val="bottom"/>
          </w:tcPr>
          <w:p>
            <w:pPr>
              <w:spacing w:after="0"/>
              <w:rPr>
                <w:sz w:val="16"/>
                <w:szCs w:val="16"/>
                <w:color w:val="auto"/>
              </w:rPr>
            </w:pPr>
          </w:p>
        </w:tc>
        <w:tc>
          <w:tcPr>
            <w:tcW w:w="22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44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Note 9.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52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00" w:type="dxa"/>
            <w:vAlign w:val="bottom"/>
            <w:gridSpan w:val="3"/>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20" w:type="dxa"/>
            <w:vAlign w:val="bottom"/>
            <w:gridSpan w:val="4"/>
          </w:tcPr>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Foreign Currency</w:t>
            </w:r>
          </w:p>
        </w:tc>
        <w:tc>
          <w:tcPr>
            <w:tcW w:w="20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Minimum</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5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5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Adjustment</w:t>
            </w:r>
          </w:p>
        </w:tc>
        <w:tc>
          <w:tcPr>
            <w:tcW w:w="12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Pension Liability</w:t>
            </w:r>
          </w:p>
        </w:tc>
        <w:tc>
          <w:tcPr>
            <w:tcW w:w="3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Balance at October 31, 2016</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year ended October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Tax effect for the period</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at October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Gross change in value during the nine months ended July 31, 2018</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at July 31, 2018</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2011, our Board of Directors authorized the 2012 Share Repurchase Program. In March 2017, the program was amended and approved by the Company's Board of Directors for an increase of $500.0 million providing authorization for a total of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 We did not repurchase shares during the nine months ended July 31, 2018. During the fiscal year ended October 31, 2017, we repurchased 258 thousand shares of our common stock for $55.0 million. At July 31, 2018, $563.5 million remains authorized for repurchase under the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paid a semiannual dividend of approximately $1.5 million or 3 cents per share on February 9, 2018, to stockholders of record on January 23, 2018. We paid another semiannual dividend of approximately $1.5 million or 3 cents per share on August 7, 2018, to stockholders of record on July 23,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Fair Value Measurements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July 31, 2018 and October 31, 2017,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Assets and liabilities are measured and reported at fair value per related accounting standards that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balances of our revolving credit agreement and term loans approximated their fair values at July 31, 2018 and October 31, 2017 and are categorized as Level 2 of the fair value hierarchy. The Company did not have any derivative assets or liabilities that may include interest rate swaps, cross currency swaps or foreign currency forward contracts at July 31, 2018 and October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nonrecurring basis, the Company uses fair value measures when analyzing asset impairment. Generally, assets are recorded at fair value on a nonrecurring basis as a result of impairment charges. In the second quarter of fiscal 2018, we recorded $24.4 million of impairment charge related to the intangible assets acquired from Recombine Inc. as the cash flows expected to be generated by this asset group over its estimated remaining life were not sufficient to recover its carrying value. The fair value of these intangible assets determined at April 30, 2018 was $0. Our valuation included unobservable Level 3 inputs and was based on expected sales proceeds and discounted cash flows as of April 30, 2018. There was no significant asset impairment for the three months ended July 31, 2018.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Employee Benefits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Cooper’s Retirement Income Plan (Plan), a defined benefit plan, covers substantially all full-time United States employees. Our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for the three and nine months ended July 31, 2018 and 2017, reflect the following components of net periodic pension costs: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84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Recognized net actuarial loss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pension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contributed $5.0 million to the Plan in the first nine months of fiscal 2018, and expect to contribute $5.0 million during the remainder of fiscal 2018. We contributed $5.0 million to the Plan in the first nine months of fiscal 2017. The expected rate of return on Plan assets for determining net periodic pension cost is 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Contingencies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Contingencies. Legal fees are expensed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Diverted Profits Tax (DPT)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discussed in Note 6. Income Taxes, during fiscal 2017, the U.K. Tax Authorities began an inquiry regarding our application of DPT in fiscal 2015. We believe that the transactions in question were at arm’s length with no intention to divert profit from the United Kingdom and therefore are outside the intended reach of the DPT.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taxes were paid on the transfer, the U.K. Tax Authorities are challenging the value assigned to such property. We intend to contest the charging notice vigorously. The process for resolving such a notice can be lengthy and could involve litigation. The DPT legislation provides a one year review period, however, it requires prepayment of the charging notice to be made within 30 days of its issuance. As required, the payment of GBP 31.0 million was made on January 19, 2018. The Company continues to cooperate with the U.K. Tax Authorities to resolve this issue. The outcome of this matter cannot be predicted with certainty and may have an adverse impact on our financial condition and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Business Segment Information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Total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Nine Months</w:t>
            </w:r>
          </w:p>
        </w:tc>
        <w:tc>
          <w:tcPr>
            <w:tcW w:w="100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 net sales by category: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Toric lens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390.8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Single-use sphere lens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319.5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Non single-use sphere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392.6</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Total CooperVision net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489.1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CooperSurgical net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342.5</w:t>
            </w: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1,577.5</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308.9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July 31, 2018</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w w:val="94"/>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86"/>
              </w:rPr>
              <w:t>3,766.4</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2,221.0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6,256.9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Nine Months</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 to external customers by country of domicile: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302.1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856.8</w:t>
            </w: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1,881.3</w:t>
            </w:r>
          </w:p>
        </w:tc>
        <w:tc>
          <w:tcPr>
            <w:tcW w:w="6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July 31, 2018</w:t>
            </w:r>
          </w:p>
        </w:tc>
        <w:tc>
          <w:tcPr>
            <w:tcW w:w="220" w:type="dxa"/>
            <w:vAlign w:val="bottom"/>
          </w:tcPr>
          <w:p>
            <w:pPr>
              <w:spacing w:after="0"/>
              <w:rPr>
                <w:sz w:val="14"/>
                <w:szCs w:val="14"/>
                <w:color w:val="auto"/>
              </w:rPr>
            </w:pPr>
          </w:p>
        </w:tc>
        <w:tc>
          <w:tcPr>
            <w:tcW w:w="148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 by country of domicile:</w:t>
            </w:r>
          </w:p>
        </w:tc>
        <w:tc>
          <w:tcPr>
            <w:tcW w:w="2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2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2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2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tcPr>
          <w:p>
            <w:pPr>
              <w:jc w:val="right"/>
              <w:ind w:right="34"/>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23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as defined by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4" w:lineRule="exact"/>
        <w:rPr>
          <w:sz w:val="20"/>
          <w:szCs w:val="20"/>
          <w:color w:val="auto"/>
        </w:rPr>
      </w:pPr>
    </w:p>
    <w:p>
      <w:pPr>
        <w:jc w:val="both"/>
        <w:ind w:left="66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United Kingdom’s election to withdraw from the European Union and escalating global trade barriers including additional tariff costs.</w:t>
      </w:r>
    </w:p>
    <w:p>
      <w:pPr>
        <w:spacing w:after="0" w:line="13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their interpretation and changes in statutory tax rates, including but not limited to, the U.S., the United Kingdom and other countries with proposed changes to tax laws, some of which may affect our taxation of earnings recognized in foreign jurisdictions and/or negatively impact our effective tax rate.</w:t>
      </w:r>
    </w:p>
    <w:p>
      <w:pPr>
        <w:spacing w:after="0" w:line="12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existing indebtedness and associated interest expense, most of which is variable and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in the U.S. and the General Data Protection Regulation requirements which took effect in Europe on May 25, 2018, including but not limited to those resulting from data security breaches.</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integration of acquisitions, natural disasters or other causes.</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w:t>
      </w:r>
    </w:p>
    <w:p>
      <w:pPr>
        <w:spacing w:after="0" w:line="12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receive, or delays in receiving, U.S. or foreign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of our customers and end users to obtain adequate coverage and reimbursement from third-party payors for our products and services.</w:t>
      </w:r>
    </w:p>
    <w:p>
      <w:pPr>
        <w:spacing w:after="0" w:line="182"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2017, as such Risk Factors may be updated in quarterly filings.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section, we discuss the results of our operations for the fiscal third quarter of 2018 ended July 31, 2018, and the nine months then ended and compare them with the same periods of fiscal 2017. We discuss our cash flows and current financial condition under “Capital Resources and Liquidity.” Within the tables presented, percentages are calculated based on the underlying whole-dollar amounts and, therefore, may not recalculate from the rounded numbers used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351145" cy="2126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$426.8 million, up 20% from $356.2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$115.6 million, up 2% from $112.8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of $2.03, down from $2.09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provided by operations $235.3 million, compared to $154.6 million in the prior year period</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Nine-Month Highlights</w:t>
      </w:r>
    </w:p>
    <w:p>
      <w:pPr>
        <w:spacing w:after="0" w:line="17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$1,202.2 million, up 19% from $1,012.4 million in the prior year period</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$280.4 million, down 13% from $320.6 million in the prior year period, primarily due to an increase in amortization expenses as a result of acquisitions and a non-recurring impairment charge</w:t>
      </w:r>
    </w:p>
    <w:p>
      <w:pPr>
        <w:spacing w:after="0" w:line="11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of $0.79, down from $5.74 in the prior year period, due to U.S. tax reform charges, an increase in amortization expense and a non-recurring impairment charge</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provided by operations $432.3 million, compared to $394.6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U.S. tax reform, debt concerns, the uncertainty caused by the United Kingdom's intention to withdraw from the European Union, and the trend of consolidation within the health care industry, impact our current performance and continue to represent a risk to our future performance.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and multifocal contact lenses offered in a variety of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using silicone hydrogel Aquaform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and phosphorylcholine technology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is focused on greater worldwide market penetration using recently introduced products, and we continue to expand our presence in existing and emerging markets, including through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nine months ended July 31, 2018:</w:t>
      </w:r>
    </w:p>
    <w:p>
      <w:pPr>
        <w:spacing w:after="0" w:line="50"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Blueyes in January 2018 - a long-standing distribution partner, which had a leading position in the distribution of contact lenses to the Optical and Pharmacy sector in Israel</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Paragon Vision Sciences in December 2017 - a leading provider of orthokeratology (ortho-k) specialty contact lenses and oxygen permeable rigid contact lens materials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in fiscal 2017:</w:t>
      </w:r>
    </w:p>
    <w:p>
      <w:pPr>
        <w:spacing w:after="0" w:line="50"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Procornea - a Netherlands based manufacturer of specialty contact lenses, which expanded CooperVision's access to myopia (nearsightedness) management markets with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Grand Vista LLC - a distributor in Russia of soft contact lenses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contact lenses utilizing silicone hydrogel materials continue to grow and this material represents about half of the industry. Our ability to compete successfully with a full range of silicone hydrogel products is an important factor to achieving our desired future levels of sales growth and profitability. CooperVision manufactures and markets a wide variety of silicone hydrogel contact lenses within the daily, two-week and monthly modalities along with manufacturing some of these lenses as toric and/or multifocal lenses. Single-use lenses are designed for daily replacement and frequently replaced lenses are designed for two-week or monthly replacement.</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market these lenses under a number of different brand names, including but not limited to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clariti</w:t>
      </w:r>
      <w:r>
        <w:rPr>
          <w:rFonts w:ascii="Arial" w:cs="Arial" w:eastAsia="Arial" w:hAnsi="Arial"/>
          <w:sz w:val="25"/>
          <w:szCs w:val="25"/>
          <w:color w:val="auto"/>
          <w:vertAlign w:val="superscript"/>
        </w:rPr>
        <w:t>®</w:t>
      </w:r>
      <w:r>
        <w:rPr>
          <w:rFonts w:ascii="Arial" w:cs="Arial" w:eastAsia="Arial" w:hAnsi="Arial"/>
          <w:sz w:val="18"/>
          <w:szCs w:val="18"/>
          <w:color w:val="auto"/>
        </w:rPr>
        <w:t>. We manufacture CooperVision’s silicone hydrogel Biofinity brand spherical, toric and multifocal contact lenses, Avaira brand spherical and toric lenses and MyDay brand spherical and toric lenses using proprietary Aquaform technology to increase oxygen transmissibility for longer wear. Our silicone hydrogel clariti brand spherical, toric and multifocal contact lenses are available in monthly and single-use modalities. We believe the clariti single-use silicone hydrogel lens products provide a competitive advantage in approved markets as clariti is the only single-use silicone hydrogel lens available in all vision correction categories - spherical, toric and multifocal. We expect increasing aggregate demand for clariti 1day and MyDay products, as well as future single-use products.</w:t>
      </w:r>
    </w:p>
    <w:p>
      <w:pPr>
        <w:spacing w:after="0" w:line="1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focus on advancing the health of families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 CooperSurgical product sales are categorized based on the point of health care delivery including products used in medical office and surgical procedures primarily by obstetricians and gynecologists (ob/gyns) that represented 61% of CooperSurgical's net sales in the third quarter of fiscal 2018 compared to 45% in the prior year. The remaining sales are specialized products and services that mainly target the IVF process used in fertility including diagnostics testing that represented 39% of CooperSurgical's net sales in the third quarter of fiscal 2018 compared to 55% in the prior year. The change in product mix was primarily attributable to recent acquisitions discussed below, primarily PARAGARD which increased the percentage of revenues of office and surgical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during the nine months ended July 31, 2018:</w:t>
      </w:r>
    </w:p>
    <w:p>
      <w:pPr>
        <w:spacing w:after="0" w:line="23"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LifeGlobal Group on April 3, 2018 - a privately held company that specializes primarily in IVF media. LifeGlobal’s product categories include media products as well as IVF laboratory air filtration products and dishware. This acquisition fits CooperSurgical product portfolio and strengthens our fertility media offerings</w:t>
      </w:r>
    </w:p>
    <w:p>
      <w:pPr>
        <w:spacing w:after="0" w:line="19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PARAGARD on November 1, 2017 - CooperSurgical acquired the assets of the PARAGARD IUD business from Teva Pharmaceuticals Industries Limited for $1.1 billion. We acquired PARAGARD as the product broadens and strengthens CooperSurgical's current women's health product portfolio. PARAGARD is the only non-hormonal, long lasting, reversible contraceptive option approved by FDA available in the United States. IUDs represent a large and growing segment of the contraceptive market and this acquisition allows CooperSurgical to accelerate growth providing opportunities for operational synergies. In connection with the acquisition, we entered into a new five-year, $1.425 billion, senior unsecured term loan agreement.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2017, CooperSurgical acquired Wallace within Fertility, the IVF segment of Smiths Medical International Ltd. Wallace manufactures a range of IVF and ob/gyn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investing in CooperSurgical's business with the goal of expanding our integrated solutions model within the areas of women's health, fertility, diagnostics and contraception.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in fiscal 2016, a clinical genetic testing company specializing in carrier screening. In connection with the impairment charge, on June 1, 2018, CooperSurgical announced the exit of the carrier screening and non-invasive prenatal testing (NIPT) product lines in fertility. Exit and restructuring charges, consisting primarily of compensation and benefits to terminated employees, are expected to be approximately $10.0 - $15.0 million. We expect most of the exit and restructuring activities to be completed by end of the fiscal year 2018. The net loss from both product lines are not material to the Company's results of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July 31, 2018, we had $155.6 million in cash, primarily held outside the United States, and $999.5 million available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syndicated revolving credit agreement. The $830.0 million term loan entered on March 1, 2016 and $1.425 billion term loan entered on November 1, 2017 remained outstanding at July 31,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 2017, we entered into a $1.425 billion syndicated Term Loan Agreement (2017 Term Loan Agreement) with DNB Bank as administrative agent. We used funds from the 2017 Term Loan Agreement to fund the acquisition of PARAGARD, to repay outstanding amounts under the 2016 Credit Agreement, and for general corporate purposes. See Note 5. Debt of the Consolidated Financial Statements for additional information. On March 1, 2016, we entered into a syndicated revolving Credit and Term Loan Agreement with Keybank as administrative agent (2016 Credit Agreement). This agreement, maturing on March 1, 2021, provides for a multi-currency revolving credit facility in an aggregate principal amount of $1.0 billion and a term loan facility in the aggregate principal amount of $830.0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that current cash, cash equivalents, restricted cash, and future cash flow from operating activities will be sufficient to meet the Company’s anticipated cash needs, including working capital needs, capital expenditures and contractual obligations for at least 12 months from the issuance date of the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Sales and Growth</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4"/>
              </w:rPr>
              <w:t>Percentage of Sales</w:t>
            </w:r>
          </w:p>
        </w:tc>
        <w:tc>
          <w:tcPr>
            <w:tcW w:w="11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2018 vs 2017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w w:val="97"/>
              </w:rPr>
              <w:t>Percentage of Sales</w:t>
            </w:r>
          </w:p>
        </w:tc>
        <w:tc>
          <w:tcPr>
            <w:tcW w:w="110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2018 vs 2017</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4"/>
        </w:trPr>
        <w:tc>
          <w:tcPr>
            <w:tcW w:w="30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0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3200" w:type="dxa"/>
            <w:vAlign w:val="bottom"/>
            <w:gridSpan w:val="5"/>
          </w:tcPr>
          <w:p>
            <w:pPr>
              <w:ind w:left="40"/>
              <w:spacing w:after="0"/>
              <w:rPr>
                <w:sz w:val="20"/>
                <w:szCs w:val="20"/>
                <w:color w:val="auto"/>
              </w:rPr>
            </w:pPr>
            <w:r>
              <w:rPr>
                <w:rFonts w:ascii="Arial" w:cs="Arial" w:eastAsia="Arial" w:hAnsi="Arial"/>
                <w:sz w:val="18"/>
                <w:szCs w:val="18"/>
                <w:color w:val="auto"/>
                <w:w w:val="90"/>
              </w:rPr>
              <w:t>Selling, general and administrative expense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Impairment of intangibles</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0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0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4"/>
                <w:szCs w:val="14"/>
                <w:b w:val="1"/>
                <w:bCs w:val="1"/>
                <w:color w:val="auto"/>
              </w:rPr>
              <w:t>Nine Months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0" w:type="dxa"/>
            <w:vAlign w:val="bottom"/>
            <w:gridSpan w:val="4"/>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0" w:type="dxa"/>
            <w:vAlign w:val="bottom"/>
          </w:tcPr>
          <w:p>
            <w:pPr>
              <w:spacing w:after="0"/>
              <w:rPr>
                <w:sz w:val="13"/>
                <w:szCs w:val="13"/>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Increase</w:t>
            </w:r>
          </w:p>
        </w:tc>
        <w:tc>
          <w:tcPr>
            <w:tcW w:w="1100" w:type="dxa"/>
            <w:vAlign w:val="bottom"/>
            <w:gridSpan w:val="3"/>
          </w:tcPr>
          <w:p>
            <w:pPr>
              <w:jc w:val="right"/>
              <w:ind w:right="160"/>
              <w:spacing w:after="0" w:line="153" w:lineRule="exact"/>
              <w:rPr>
                <w:sz w:val="20"/>
                <w:szCs w:val="20"/>
                <w:color w:val="auto"/>
              </w:rPr>
            </w:pPr>
            <w:r>
              <w:rPr>
                <w:rFonts w:ascii="Arial" w:cs="Arial" w:eastAsia="Arial" w:hAnsi="Arial"/>
                <w:sz w:val="14"/>
                <w:szCs w:val="14"/>
                <w:b w:val="1"/>
                <w:bCs w:val="1"/>
                <w:color w:val="auto"/>
              </w:rPr>
              <w:t>2018 vs 2017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Increase</w:t>
            </w:r>
          </w:p>
        </w:tc>
        <w:tc>
          <w:tcPr>
            <w:tcW w:w="110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30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4"/>
              </w:rPr>
              <w:t>(Decrease)</w:t>
            </w:r>
          </w:p>
        </w:tc>
        <w:tc>
          <w:tcPr>
            <w:tcW w:w="110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4"/>
              </w:rPr>
              <w:t>(Decrease)</w:t>
            </w:r>
          </w:p>
        </w:tc>
        <w:tc>
          <w:tcPr>
            <w:tcW w:w="110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1,401.4</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1,235.0</w:t>
            </w:r>
          </w:p>
        </w:tc>
        <w:tc>
          <w:tcPr>
            <w:tcW w:w="3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CooperSurgical</w:t>
            </w:r>
          </w:p>
        </w:tc>
        <w:tc>
          <w:tcPr>
            <w:tcW w:w="2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52.2</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137.4</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1,577.5</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w:t>
      </w:r>
    </w:p>
    <w:p>
      <w:pPr>
        <w:spacing w:after="0" w:line="171"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45405" cy="2855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3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46.8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5145405" cy="2855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3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73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132.1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392.6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1,235.0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2018:</w:t>
      </w:r>
    </w:p>
    <w:p>
      <w:pPr>
        <w:spacing w:after="0" w:line="17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our Biofinity, clariti and MyDay portfolios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Single-use sphere lenses growth was primarily attributed to clariti and MyDay lenses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Non-single-use spheres grew primarily on sales of Biofinity</w:t>
      </w:r>
    </w:p>
    <w:p>
      <w:pPr>
        <w:spacing w:after="0" w:line="17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sales of silicone hydrogel products in all categories were partially offset by lower sales of older hydrogel products. Total silicone hydrogel products grew 17% in the third quarter of fiscal 2018, representing 69% of net sales compared to 66% in the prior fiscal year, and grew 19% in the nine months ended July 31, 2018, representing 68% of net sales compared to 65% in the same prior year period</w:t>
      </w:r>
    </w:p>
    <w:p>
      <w:pPr>
        <w:spacing w:after="0" w:line="12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exchange rates positively increased sales by $52.8 million in the nine months ended July 31, 2018, primarily attributable to the Euro and British Pound</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 approximately 2% and 3% of net sales in the three and nine months ended July 31, 2018, respectively</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Sales growth was driven primarily by increases in the volume of lenses sold. Average realized prices by product did not materially influence sales growth</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three primary regions: the Americas, EMEA (Europe, Middle East and Africa) and Asia Pacific.</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Nine Months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2018 vs 2017</w:t>
            </w: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477.3</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1,235.0</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CooperVision's regional growth was primarily attributed to market gains of silicone hydrogel contact lenses and positive foreign exchange rates in EMEA.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CooperVision Net Sales by Category above for further discussion.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CooperSurgical supplies the family health care market with a diversified portfolio of products and services for use in surgical and other medical procedures that are performed primarily by obstetricians and gynecologists in hospitals, surgical centers, fertility clinics and the medical office. Fertility offerings include highly specialized products and services that target the IVF process with a goal to make fertility treatment safer, more efficient and convenient.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revenue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145405" cy="2855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5145405" cy="2855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The change in product mix was attributable to recent acquisitions, primarily PARAGARD which increased the revenue of office and surgical products.</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Periods Ended July 31,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5"/>
              </w:rPr>
              <w:t>Nine Months</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0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2018 vs 2017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80" w:type="dxa"/>
            <w:vAlign w:val="bottom"/>
          </w:tcPr>
          <w:p>
            <w:pPr>
              <w:jc w:val="right"/>
              <w:ind w:right="137"/>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159.1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Fertility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183.4</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342.5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2018:</w:t>
      </w:r>
    </w:p>
    <w:p>
      <w:pPr>
        <w:spacing w:after="0" w:line="171" w:lineRule="exact"/>
        <w:rPr>
          <w:sz w:val="20"/>
          <w:szCs w:val="20"/>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CooperSurgical’s net sales growth was primarily due to incremental revenues from the acquisition of PARAGARD IUD, which is categorized in office and surgical products</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periods, primarily due to increased sales of IVF equipment and consumables and incremental revenue from LifeGlobal, partially offset by a decrease in diagnostics revenue</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Office and surgical products increased compared to prior year periods due to continued growth in surgical products and recently acquired products, primarily PARAGARD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Unit growth and product mix positively influenced sales growth</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Profit Percentage of Net Sales</w:t>
            </w: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Nine Months</w:t>
            </w:r>
          </w:p>
        </w:tc>
        <w:tc>
          <w:tcPr>
            <w:tcW w:w="880" w:type="dxa"/>
            <w:vAlign w:val="bottom"/>
            <w:tcBorders>
              <w:bottom w:val="single" w:sz="8" w:color="auto"/>
            </w:tcBorders>
          </w:tcPr>
          <w:p>
            <w:pPr>
              <w:spacing w:after="0"/>
              <w:rPr>
                <w:sz w:val="16"/>
                <w:szCs w:val="16"/>
                <w:color w:val="auto"/>
              </w:rPr>
            </w:pPr>
          </w:p>
        </w:tc>
      </w:tr>
      <w:tr>
        <w:trPr>
          <w:trHeight w:val="229"/>
        </w:trPr>
        <w:tc>
          <w:tcPr>
            <w:tcW w:w="59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400" w:type="dxa"/>
            <w:vAlign w:val="bottom"/>
            <w:gridSpan w:val="3"/>
          </w:tcPr>
          <w:p>
            <w:pPr>
              <w:ind w:left="1040"/>
              <w:spacing w:after="0"/>
              <w:rPr>
                <w:sz w:val="20"/>
                <w:szCs w:val="20"/>
                <w:color w:val="auto"/>
              </w:rPr>
            </w:pPr>
            <w:r>
              <w:rPr>
                <w:rFonts w:ascii="Arial" w:cs="Arial" w:eastAsia="Arial" w:hAnsi="Arial"/>
                <w:sz w:val="14"/>
                <w:szCs w:val="14"/>
                <w:b w:val="1"/>
                <w:bCs w:val="1"/>
                <w:color w:val="auto"/>
              </w:rPr>
              <w:t>2017</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9"/>
                <w:szCs w:val="19"/>
                <w:color w:val="auto"/>
              </w:rPr>
            </w:pPr>
          </w:p>
        </w:tc>
        <w:tc>
          <w:tcPr>
            <w:tcW w:w="8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rPr>
              <w:t>66%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860" w:type="dxa"/>
            <w:vAlign w:val="bottom"/>
          </w:tcPr>
          <w:p>
            <w:pPr>
              <w:spacing w:after="0"/>
              <w:rPr>
                <w:sz w:val="21"/>
                <w:szCs w:val="21"/>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80" w:type="dxa"/>
            <w:vAlign w:val="bottom"/>
          </w:tcPr>
          <w:p>
            <w:pPr>
              <w:jc w:val="right"/>
              <w:ind w:right="494"/>
              <w:spacing w:after="0"/>
              <w:rPr>
                <w:sz w:val="20"/>
                <w:szCs w:val="20"/>
                <w:color w:val="auto"/>
              </w:rPr>
            </w:pPr>
            <w:r>
              <w:rPr>
                <w:rFonts w:ascii="Arial" w:cs="Arial" w:eastAsia="Arial" w:hAnsi="Arial"/>
                <w:sz w:val="18"/>
                <w:szCs w:val="18"/>
                <w:color w:val="auto"/>
              </w:rPr>
              <w:t>58%</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65%</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64%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CooperVision's gross profit in the three and nine months ended July 31, 2018, was positively impacted by the increase in sales of higher margin products including Biofinity and favorable impact to revenue from exchange rate fluctuations. This was offset by $1.9 million and $11.8 million of primarily product transition, integration, and costs associated with the impact of Hurricane Maria on our Puerto Rico manufacturing facility in the three and nine months ended July 31, 2018, respectively.</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CooperSurgical's gross margin in the three and nine months ended July 31, 2018, was positively impacted by the inclusion of our PARAGARD IUD product with higher gross margin; however, it was offset by:</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$12.7 million and $49.3 million, respectively, of inventory step-up relating to the PARAGARD and LifeGlobal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$3.6 million and $11.5 million, respectively, of primarily integration and acquisition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8"/>
        </w:trPr>
        <w:tc>
          <w:tcPr>
            <w:tcW w:w="4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168.9</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94"/>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44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70.7</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43.9</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37%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251.0</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208.7</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38%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line="20" w:lineRule="exact"/>
              <w:rPr>
                <w:sz w:val="1"/>
                <w:szCs w:val="1"/>
                <w:color w:val="auto"/>
              </w:rPr>
            </w:pPr>
          </w:p>
        </w:tc>
      </w:tr>
      <w:tr>
        <w:trPr>
          <w:trHeight w:val="437"/>
        </w:trPr>
        <w:tc>
          <w:tcPr>
            <w:tcW w:w="44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4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490.9</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432.3</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94"/>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44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190.6</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121.8</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724.7</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590.6</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37%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CooperVision's SGA increases in the three and nine months ended July 31, 2018 compared to fiscal 2017 were due to investments to support our long-term objectives, including increased headcount in sales, marketing and G&amp;A, investments in information technology and higher distribution expenses to support revenue growth. CooperVision's SGA in the three and nine months ended July 31, 2018 included $1.3 million and $6.7 million of integration and third-party consulting costs, respectively. CooperVision's SGA in the prior year periods included $6.3 million and $10.3 million of acquisition costs and legal costs primarily related to UPP in the three and nine months ended July 31, 2017, respectively.</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increases in CooperSurgical's SGA in the three and nine months ended July 31, 2018 compared to fiscal 2017 in absolute dollars and as a percentage of sales were primarily due to the addition of PARAGARD marketing expenses and sales headcount investment to support growth. CooperSurgical's SGA in the three and nine months ended July 31, 2018, included $11.0 million and $25.8 million, respectively, of primarily acquisition and integration expenses of acquired companies, and carrier screening and NIPT exit costs. CooperSurgical's SGA in the prior year periods included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$3.7 million and $10.1 million of primarily acquisitions and integration expenses from acquisition in the three and nine months ended July 31, 2017, respectively.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increases in Corporate SGA in the nine months ended July 31, 2018 compared to fiscal 2017 were primarily due to $6.2 million of compensation costs related to executives' retirements.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8"/>
        </w:trPr>
        <w:tc>
          <w:tcPr>
            <w:tcW w:w="40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line="20" w:lineRule="exact"/>
              <w:rPr>
                <w:sz w:val="1"/>
                <w:szCs w:val="1"/>
                <w:color w:val="auto"/>
              </w:rPr>
            </w:pPr>
          </w:p>
        </w:tc>
      </w:tr>
      <w:tr>
        <w:trPr>
          <w:trHeight w:val="437"/>
        </w:trPr>
        <w:tc>
          <w:tcPr>
            <w:tcW w:w="40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nine months ended July 31, 2018:</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CooperVision's R&amp;D increased mainly due to increased costs from acquisitions and increases in headcount. As a percentage of sales, R&amp;D expense remained flat. CooperVision's R&amp;D activities are primarily focused on the development of contact lenses and manufacturing technology and process enhancements.</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increases in CooperSurgical's R&amp;D were primarily due to increased investment and activities in developing new projects. As a percentage of sales, R&amp;D expense remained flat. CooperSurgical's R&amp;D activities include diagnostics, IVF product development and the design and upgrade of surgical procedure devices.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4"/>
                <w:szCs w:val="1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2018 vs 2017</w:t>
            </w:r>
          </w:p>
        </w:tc>
        <w:tc>
          <w:tcPr>
            <w:tcW w:w="0" w:type="dxa"/>
            <w:vAlign w:val="bottom"/>
          </w:tcPr>
          <w:p>
            <w:pPr>
              <w:spacing w:after="0"/>
              <w:rPr>
                <w:sz w:val="1"/>
                <w:szCs w:val="1"/>
                <w:color w:val="auto"/>
              </w:rPr>
            </w:pP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2018 vs 2017</w:t>
            </w:r>
          </w:p>
        </w:tc>
        <w:tc>
          <w:tcPr>
            <w:tcW w:w="0" w:type="dxa"/>
            <w:vAlign w:val="bottom"/>
          </w:tcPr>
          <w:p>
            <w:pPr>
              <w:spacing w:after="0" w:line="20" w:lineRule="exact"/>
              <w:rPr>
                <w:sz w:val="1"/>
                <w:szCs w:val="1"/>
                <w:color w:val="auto"/>
              </w:rPr>
            </w:pPr>
          </w:p>
        </w:tc>
      </w:tr>
      <w:tr>
        <w:trPr>
          <w:trHeight w:val="437"/>
        </w:trPr>
        <w:tc>
          <w:tcPr>
            <w:tcW w:w="41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77.3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increases in amortization expense in the three and nine months ended July 31, 2018 compared to prior year periods were primarily due to amortization of intangible assets acquired in recent acquisitions in CooperVision and CooperSurgical, primarily PARAGARD which increased amortization expense by $17.7 million and $53.2 million in the three and nine months ended July 31, 2018,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a clinical genetic testing company specializing in carrier screening, in fiscal 2016. In connection with the impairment charge, on June 1, 2018, CooperSurgical announced the exit of the carrier screening and NIPT product lines in fertility. We expect exit and restructuring charges, consisting primarily of compensation and benefits to terminated employees, to be approximately $10.0 - $15.0 million. We expect most of the exit and restructuring activities to be completed by the end of fiscal 2018. The net loss from both product lines are not material to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left="428"/>
              <w:spacing w:after="0"/>
              <w:rPr>
                <w:sz w:val="20"/>
                <w:szCs w:val="20"/>
                <w:color w:val="auto"/>
              </w:rPr>
            </w:pPr>
            <w:r>
              <w:rPr>
                <w:rFonts w:ascii="Arial" w:cs="Arial" w:eastAsia="Arial" w:hAnsi="Arial"/>
                <w:sz w:val="14"/>
                <w:szCs w:val="14"/>
                <w:b w:val="1"/>
                <w:bCs w:val="1"/>
                <w:color w:val="auto"/>
              </w:rPr>
              <w:t>% Net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left="368"/>
              <w:spacing w:after="0"/>
              <w:rPr>
                <w:sz w:val="20"/>
                <w:szCs w:val="20"/>
                <w:color w:val="auto"/>
              </w:rPr>
            </w:pPr>
            <w:r>
              <w:rPr>
                <w:rFonts w:ascii="Arial" w:cs="Arial" w:eastAsia="Arial" w:hAnsi="Arial"/>
                <w:sz w:val="14"/>
                <w:szCs w:val="14"/>
                <w:b w:val="1"/>
                <w:bCs w:val="1"/>
                <w:color w:val="auto"/>
              </w:rPr>
              <w:t>% Net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8"/>
        </w:trPr>
        <w:tc>
          <w:tcPr>
            <w:tcW w:w="398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408"/>
              <w:spacing w:after="0" w:line="158" w:lineRule="exact"/>
              <w:rPr>
                <w:sz w:val="20"/>
                <w:szCs w:val="20"/>
                <w:color w:val="auto"/>
              </w:rPr>
            </w:pPr>
            <w:r>
              <w:rPr>
                <w:rFonts w:ascii="Arial" w:cs="Arial" w:eastAsia="Arial" w:hAnsi="Arial"/>
                <w:sz w:val="14"/>
                <w:szCs w:val="14"/>
                <w:b w:val="1"/>
                <w:bCs w:val="1"/>
                <w:color w:val="auto"/>
                <w:w w:val="81"/>
              </w:rPr>
              <w:t>Sales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368"/>
              <w:spacing w:after="0" w:line="158" w:lineRule="exact"/>
              <w:rPr>
                <w:sz w:val="20"/>
                <w:szCs w:val="20"/>
                <w:color w:val="auto"/>
              </w:rPr>
            </w:pPr>
            <w:r>
              <w:rPr>
                <w:rFonts w:ascii="Arial" w:cs="Arial" w:eastAsia="Arial" w:hAnsi="Arial"/>
                <w:sz w:val="14"/>
                <w:szCs w:val="14"/>
                <w:b w:val="1"/>
                <w:bCs w:val="1"/>
                <w:color w:val="auto"/>
                <w:w w:val="87"/>
              </w:rPr>
              <w:t>Sales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115.6</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112.8</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rPr>
              <w:t>% Net</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 Net</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line="20" w:lineRule="exact"/>
              <w:rPr>
                <w:sz w:val="1"/>
                <w:szCs w:val="1"/>
                <w:color w:val="auto"/>
              </w:rPr>
            </w:pPr>
          </w:p>
        </w:tc>
      </w:tr>
      <w:tr>
        <w:trPr>
          <w:trHeight w:val="437"/>
        </w:trPr>
        <w:tc>
          <w:tcPr>
            <w:tcW w:w="39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8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left="408"/>
              <w:spacing w:after="0" w:line="158" w:lineRule="exact"/>
              <w:rPr>
                <w:sz w:val="20"/>
                <w:szCs w:val="20"/>
                <w:color w:val="auto"/>
              </w:rPr>
            </w:pPr>
            <w:r>
              <w:rPr>
                <w:rFonts w:ascii="Arial" w:cs="Arial" w:eastAsia="Arial" w:hAnsi="Arial"/>
                <w:sz w:val="14"/>
                <w:szCs w:val="14"/>
                <w:b w:val="1"/>
                <w:bCs w:val="1"/>
                <w:color w:val="auto"/>
                <w:w w:val="81"/>
              </w:rPr>
              <w:t>Sales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368"/>
              <w:spacing w:after="0" w:line="158" w:lineRule="exact"/>
              <w:rPr>
                <w:sz w:val="20"/>
                <w:szCs w:val="20"/>
                <w:color w:val="auto"/>
              </w:rPr>
            </w:pPr>
            <w:r>
              <w:rPr>
                <w:rFonts w:ascii="Arial" w:cs="Arial" w:eastAsia="Arial" w:hAnsi="Arial"/>
                <w:sz w:val="14"/>
                <w:szCs w:val="14"/>
                <w:b w:val="1"/>
                <w:bCs w:val="1"/>
                <w:color w:val="auto"/>
                <w:w w:val="87"/>
              </w:rPr>
              <w:t>Sales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4"/>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(37.5)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280.4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320.6</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CooperVision operating income increased due to the favorable effect of exchange rate fluctuations and improved sales of higher margin products including Biofinity. CooperSurgical operating income decreased due to higher operating expenses relating to acquisitions, including the PARAGARD inventory step up, amortization and impairment of intangibles. Corporate operating loss increased in the nine months ended July 31, 2018, primarily due to higher compensation costs related to executives' retirements. On a consolidated basis, operating income declined in the nine months ended July 31, 2018 due to CooperSurgical's lower operating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July 31,</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22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left="20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5"/>
              </w:rPr>
              <w:t>2018 vs 2017</w:t>
            </w:r>
          </w:p>
        </w:tc>
        <w:tc>
          <w:tcPr>
            <w:tcW w:w="0" w:type="dxa"/>
            <w:vAlign w:val="bottom"/>
          </w:tcPr>
          <w:p>
            <w:pPr>
              <w:spacing w:after="0"/>
              <w:rPr>
                <w:sz w:val="1"/>
                <w:szCs w:val="1"/>
                <w:color w:val="auto"/>
              </w:rPr>
            </w:pPr>
          </w:p>
        </w:tc>
      </w:tr>
      <w:tr>
        <w:trPr>
          <w:trHeight w:val="149"/>
        </w:trPr>
        <w:tc>
          <w:tcPr>
            <w:tcW w:w="5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Nine Months Ended July 31,</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2018 vs 2017</w:t>
            </w:r>
          </w:p>
        </w:tc>
        <w:tc>
          <w:tcPr>
            <w:tcW w:w="0" w:type="dxa"/>
            <w:vAlign w:val="bottom"/>
          </w:tcPr>
          <w:p>
            <w:pPr>
              <w:spacing w:after="0" w:line="20" w:lineRule="exact"/>
              <w:rPr>
                <w:sz w:val="1"/>
                <w:szCs w:val="1"/>
                <w:color w:val="auto"/>
              </w:rPr>
            </w:pPr>
          </w:p>
        </w:tc>
      </w:tr>
      <w:tr>
        <w:trPr>
          <w:trHeight w:val="487"/>
        </w:trPr>
        <w:tc>
          <w:tcPr>
            <w:tcW w:w="5320" w:type="dxa"/>
            <w:vAlign w:val="bottom"/>
            <w:gridSpan w:val="3"/>
            <w:vMerge w:val="continue"/>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interest expense in absolute dollars and as a percentage of sales reflects higher average debt balances as a result of debt incurred in connection with 2018 acquisitions mainly due to the $1.425 billion term loan entered into on November 1, 2017 to primarily fund the PARAGARD acquisition, as well as higher interest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Three Months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840" w:type="dxa"/>
            <w:vAlign w:val="bottom"/>
            <w:tcBorders>
              <w:bottom w:val="single" w:sz="8" w:color="auto"/>
            </w:tcBorders>
          </w:tcPr>
          <w:p>
            <w:pPr>
              <w:spacing w:after="0"/>
              <w:rPr>
                <w:sz w:val="16"/>
                <w:szCs w:val="16"/>
                <w:color w:val="auto"/>
              </w:rPr>
            </w:pPr>
          </w:p>
        </w:tc>
      </w:tr>
      <w:tr>
        <w:trPr>
          <w:trHeight w:val="229"/>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9"/>
                <w:szCs w:val="19"/>
                <w:color w:val="auto"/>
              </w:rPr>
            </w:pPr>
          </w:p>
        </w:tc>
        <w:tc>
          <w:tcPr>
            <w:tcW w:w="9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loss (gain)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160"/>
        <w:spacing w:after="0" w:line="438" w:lineRule="auto"/>
        <w:rPr>
          <w:sz w:val="20"/>
          <w:szCs w:val="20"/>
          <w:color w:val="auto"/>
        </w:rPr>
      </w:pPr>
      <w:r>
        <w:rPr>
          <w:rFonts w:ascii="Arial" w:cs="Arial" w:eastAsia="Arial" w:hAnsi="Arial"/>
          <w:sz w:val="18"/>
          <w:szCs w:val="18"/>
          <w:color w:val="auto"/>
        </w:rPr>
        <w:t xml:space="preserve">Foreign exchange loss (gain) primarily resulted from the revaluation and settlement of foreign currencies-denominated balances. </w:t>
      </w:r>
      <w:r>
        <w:rPr>
          <w:rFonts w:ascii="Arial" w:cs="Arial" w:eastAsia="Arial" w:hAnsi="Arial"/>
          <w:sz w:val="18"/>
          <w:szCs w:val="18"/>
          <w:b w:val="1"/>
          <w:bCs w:val="1"/>
          <w:color w:val="auto"/>
        </w:rPr>
        <w:t>Provision for Income Taxes</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effective tax rates were a benefit of 11.5% and expense of 3.8% for the third quarters of fiscal 2018 and 2017, respectively, and an expense of 82.1% and 4.4% for the first nine months of fiscal 2018 and 2017, respectively. The decrease in our effective tax rate for the third quarter of fiscal 2018 compared to the third quarter of fiscal 2017 was due primarily to a reduction in U.S. income related to acquisition and integration activities in CooperSurgical and a decrease of $5.3 million to the provisional tax expense recorded in the first quarter of fiscal 2018 relating to the 2017 Act. The increase in our effective tax rate for the first nine months of fiscal 2018 compared to the first nine months of fiscal 2017 was primarily due to the charge of $196.7 million related to the 2017 Act. Our effective tax rate for the first nine 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 Our effective tax rate for the first nine months of fiscal 2017 was lower than the U.S. statutory rate primarily because of a favorable mix of income from our foreign jurisdictions with lower tax rates and an excess tax benefit from share-based compensation.</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companies to recognize the effect of the tax law changes in the period of enactment. However, in December 2017, the SEC provided regulatory guidance for accounting referred to as SAB 118. Under the guidance in SAB 118, the income tax effects for which the accounting under ASC 740 is incomplete, are reported as a provisional amount based on a reasonable estimate. The reasonable estimate is subject to adjustment during a "measurement period," not to exceed one year, until the accounting is complete. The estimate is also subject to the finalization of management’s analysis related to certain matters, such as developing interpretations of the provision, changes to certain estimates and amounts related to the earnings and profits of certain subsidiaries and the filing of tax returns. The Company recorded a provisional charge for the first quarter of fiscal 2018 and has updated the charge in the third quarter of fiscal 2018, utilizing the most recent information and guidance available related to the calculation of the tax liability and the impact to its deferred tax assets and liabilities, including those recorded for foreign local and withholding taxes that the Company assessed as of July 31, 2018. The provisional charge may require further adjustments and changes to the Company’s estimates as new guidance is made available. Revisions to the provisional charge may be material to the Company's financial results and will be recorded in the quarter in which we complete the analysis.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Cooper has several share-based compensation plans that are described in our Annual Report on Form 10-K for the fiscal year ended October 31, 2017. The compensation expense and related income tax benefit recognized in our consolidated condensed financial statements for share-based awards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July 31,</w:t>
            </w:r>
          </w:p>
        </w:tc>
        <w:tc>
          <w:tcPr>
            <w:tcW w:w="1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9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16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16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1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19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cash flow was $235.3 million compared to $154.6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$52.3 million compared to $38.1 million in the prior year period</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Nine-Month Highlights</w:t>
      </w:r>
    </w:p>
    <w:p>
      <w:pPr>
        <w:spacing w:after="0" w:line="1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Operating cash flow was $432.3 million compared to $394.6 million in the prior year period</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were $150.2 million compared to $95.4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payments for acquisitions of $1,320.8 million, primarily PARAGARD, compared to $197.0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was no share repurchase activity during fiscal 2018, compared to $29.5 million of share repurchases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00" w:type="dxa"/>
            <w:vAlign w:val="bottom"/>
          </w:tcPr>
          <w:p>
            <w:pPr>
              <w:spacing w:after="0"/>
              <w:rPr>
                <w:sz w:val="14"/>
                <w:szCs w:val="14"/>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July 31, 2018</w:t>
            </w:r>
          </w:p>
        </w:tc>
        <w:tc>
          <w:tcPr>
            <w:tcW w:w="340" w:type="dxa"/>
            <w:vAlign w:val="bottom"/>
          </w:tcPr>
          <w:p>
            <w:pPr>
              <w:spacing w:after="0"/>
              <w:rPr>
                <w:sz w:val="14"/>
                <w:szCs w:val="14"/>
                <w:color w:val="auto"/>
              </w:rPr>
            </w:pPr>
          </w:p>
        </w:tc>
        <w:tc>
          <w:tcPr>
            <w:tcW w:w="1880" w:type="dxa"/>
            <w:vAlign w:val="bottom"/>
          </w:tcPr>
          <w:p>
            <w:pPr>
              <w:jc w:val="right"/>
              <w:ind w:right="512"/>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88.8</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6,256.9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4,858.7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557.1</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2,294.2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1,172.7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3,226.6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3,175.8</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Ratio of debt to equity</w:t>
            </w:r>
          </w:p>
        </w:tc>
        <w:tc>
          <w:tcPr>
            <w:tcW w:w="400" w:type="dxa"/>
            <w:vAlign w:val="bottom"/>
          </w:tcPr>
          <w:p>
            <w:pPr>
              <w:spacing w:after="0"/>
              <w:rPr>
                <w:sz w:val="21"/>
                <w:szCs w:val="21"/>
                <w:color w:val="auto"/>
              </w:rPr>
            </w:pP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0.71:1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0.37:1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 as a percentage of total capitalization</w:t>
            </w: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working capital at July 31, 2018 from the end of fiscal 2017 was primarily due to increase in cash ($66.8 million), accounts receivable ($59.0 million) from increased revenue, prepayments and other current assets ($84.3 million) primarily from the $42.0 million payment to UK Tax Authorities relating to DPT, inventories ($25.5 million) and decrease of accounts payable ($21.3 million). This was partially offset by the increase in accrued and other current liabilities ($60.6 million) and short term notes payable ($21.9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July 31, 2018, our inventory months on hand were 6.2 compared to 6.5 at October 31, 2017. The $25.5 million increase in inventories was primarily due to increase in finished goods and raw materials to support product launches and production levels. Our days sales outstanding (DSO) were 56 days at July 31, 2018, compared to 53 days at October 31, 2017 and 54 days at July 31, 2017. The increase in DSO was primarily due to higher accounts receivable from increased revenue.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reviewed our needs in the United States and have determined there is sufficient cash to fund working capital without repatriating cash from our foreign subsidiaries. For purposes of recording the provisional tax expense for the nine months ended July 31, 2018, we are no longer asserting that earnings from our foreign subsidiaries are indefinitely reinvested. However, the Company has not completed its analysis and will make a final decision within the measurement period. If the Company changes its assertion to not indefinitely reinvest foreign earnings, there will be more flexibility in using the cash from our foreign operations to fund future working capital in the United States.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Factoring Program - We may factor certain designated trade receivables with one or more third party financial institutions pursuant to a factoring agreement. These are non-recourse factoring arrangements to assist us in managing operating cash flow and meet the requirements to be accounted for as sales in accordance with the “Transfers and Servicing” guidance in ASC 860, where the Company’s continuing involvement subsequent to the transfer is limited to providing certain servicing and collection actions on behalf of the purchasers of the designated trade receivables. See Note 1. General of the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provided by operating activities increased by $37.7 million from $394.6 million in the first nine months of fiscal 2017 to $432.3 million in the first nine months of fiscal 2018. This increase in cash flow provided by operating activities primarily consists of an increase of $365.2 million in non-cash items, from $169.0 million in the first nine months of fiscal 2017 to $534.2 million in the first nine months of fiscal 2018. This increase was offset by a decrease in net income of $245.1 million from $284.3 million in the first nine months of fiscal 2017 to $39.2 million in the first nine months of fiscal 2018, primarily due to $196.7 million of provisional tax expense related to the 2017 Act and a decrease of $82.4 million in the net cash outflow from changes in operating capital, from $(58.7) million in the first nine months of fiscal 2017 to $(141.1) million in the first nine months of fiscal 2018.</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$365.2 million increase from non-cash items compared to the prior year period is primarily due to an increase in long-term liabilities of $171.7 million primarily from a provisional tax expense for the mandatory deemed repatriation of deferred foreign earnings under the 2017 Act, a $63.4 million increase in depreciation and amortization, a $50.2 million release of a fair value adjustment to inventory acquired mainly from PARAGARD, impairment of intangibles of $24.4 million, increase in deferred tax of $20.0 million primarily from changes to the deferred taxes resulting from the U.S. federal rate, and increase in share-based compensation expense of $6.2 million.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$82.4 million decrease in the net cash outflow from changes in operating capital compared to the prior year period is due to a $46.6 million increase in receivables, primarily due to increase in working capital, a $42.6 million increase in prepayments and other assets due to a $42.0 million payment to the U.K. Tax Authorities, and $19.6 million decrease in accounts payable, partially offset by $26.2 million increase in accrued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increased by $1,178.6 million to $1,471.0 million in the first nine months of fiscal 2018. The increase was driven by a $54.8 million increase in capital expenditures, primarily due to increase distribution and manufacturing capacity, and an increase in payments for business and asset acquisitions of $1,123.8 million. The increase in payments related to acquisitions was largely due to the acquisition of PARAGARD as discussed in Outlook above and in Note 2.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prior period, payments related to the acquisitions of Wallace and Grand Vista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increased by $1,268.6 million to $1,107.7 million in the first nine months of fiscal 2018. The increase was driven by a $1,021.8 million increase of net proceeds from long-term debt due to additional debt taken on to fund the PARAGARD acquisition and a $223.3 million change in short-term notes payable.</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As defined, in both the 2017 Term Loan Agreement and the 2016 Credit Agreement, we are required to maintain an Interest Coverage Ratio of at least 3.00 to 1.00, and a Total Leverage Ratio of no higher than 3.75 to 1.00.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July 31, 2018, we had $999.5 million available under the 2016 Credit Agreement. We are in compliance with our financial covenants including the Interest Coverage Ratio at 12.50 to 1.00 and the Total Leverage Ratio at 2.45 to 1.00 for both the 2017 Term Loan Agreement and the 2016 Credit Agreement.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We did not repurchase any shares during the nine months ended July 31, 2018. At July 31, 2018, we had remaining authorization to repurchase $563.5 million of our common stock.</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2017. There have been no material changes in our policies from those previously discussed in our Form 10-K for the fiscal year October 31, 2017.</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General.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FIPS™, and A Quality of Life Company™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our operations outside the United States have their local currency as their functional currency. We are exposed to risks caused by changes in foreign exchange, principally our British pound sterling, euro, Japanese yen, Danish krone, Swedish krona and Australian dollar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 rate. We may decrease this interest rate risk by hedging a portion of variable rate debt effectively converting it to fixed rate debt for varying periods. The Company did not have any derivative assets or liabilities that may include interest rate swaps, cross currency swaps or foreign currency forward contracts as of July 31, 2018 and October 31, 2017.</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1, 2016, we entered into a syndicated Revolving Credit and Term Loan Agreement (2016 Credit Agreement) with Keybank as administrative agent. The agreement provides for a multicurrency revolving credit facility in an aggregate principal amount of $1.0 billion and a term loan facility in the aggregate principal amount of $830.0 million. The 2016 Credit Agreement replaced our previous credit agreement and funds from the new term loan were used to repay the outstanding amounts under the previous credit agreement, to partially repay our other outstanding term loans and for general corporate purposes. At July 31, 2018, we had $999.5 million available under the revolving credit facility and $830.0 million outstanding under the term loan.</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1, 2017, in connection with the PARAGARD acquisition, we entered into a new five-year, $1.425 billion, senior unsecured term loan agreement (2017 Term Loan Agreement) by and among the Company, the lenders party thereto and DNB Bank ASA, New York Branch, as administrative agent which matures on November 1, 2022. The Company used part of the facility to fund the PARAGARD acquisition and used the remainder of the funds to partially repay outstanding borrowings under our revolving credit agreement. At July 31, 2018, we had $1.425 billion outstanding under the term loan.</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interest rates were to increase or decrease by 1% or 100 basis points, quarterly interest expense would increase or decrease by approximately $6.1 million based on average debt outstanding for the third fiscal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Financial Statements for additional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 2017, the Company acquired PARAGARD. Management is reviewing and evaluating its internal control procedures and the design of those control procedures related to the PARAGARD acquisition and will complete by the end of fiscal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described above, there has been no change in our internal control over financial reporting that occurred during our third quarter of fiscal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In July 2018, the Court approved the plaintiffs’ motion for preliminary approval of the settlement, and the Company paid the $3.0 million settlement amount into an escrow account. The settlement remains subject to final Court approval at a future hearing to be set by the Court.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Contingencies. Legal fees are expensed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October 31, 2017. Except for the risk factors set forth below, there have been no material changes in our risk factors from those previously discussed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 for the fiscal year October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President signed 2017 Act into law. Consistent with SEC guidance, the Company has made a reasonable estimate of the effects of the 2017 Act and recorded provisional income tax expense of $196.7 million in the financial statements through the third quarter of fiscal 2018. Compliance with the 2017 Act may require the collection of information not regularly produced within the Company, the use of estimates in our financial statements, and the exercise of significant judgment in accounting for its provisions. As regulations and guidance evolve with respect to the 2017 Act, and as we gather more information and perform additional analysis, our results may differ from previous estimates and may materially affect our financial position. For additional information regarding the 2017 Act, see Note 6. Income Taxes of the Consolidated Financial Statements.</w:t>
      </w:r>
    </w:p>
    <w:p>
      <w:pPr>
        <w:spacing w:after="0" w:line="17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expend excessive costs</w:t>
      </w:r>
      <w:r>
        <w:rPr>
          <w:rFonts w:ascii="Arial" w:cs="Arial" w:eastAsia="Arial" w:hAnsi="Arial"/>
          <w:sz w:val="17"/>
          <w:szCs w:val="17"/>
          <w:color w:val="auto"/>
        </w:rPr>
        <w:t>.</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 cannot assure that there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91"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will not be associated excessive costs or disruptions in portions of our business in the course of our maintenance, support and/or upgrade of these systems.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in the midst of a multiyear process of implementing a new enterprise resource planning (ERP) system at CooperVision.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60"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July 31, 2018.</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 Repurchase Program was approved by the Company’s Board of Directors in December 2011 (2012 Share Repurchase Program). The program as amended in December 2012 and December 2013 provides authorization for a total of $500.0 million. In March 2017, the program was amended and approved by the Company's Board of Directors for an increase of $500.0 million, providing authorization for a total of $1.0 billion.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At July 31, 2018, approximately $563.5 million remained authorized under the 2012 Share Repurchase Program.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9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60" w:type="dxa"/>
            <w:vAlign w:val="bottom"/>
            <w:gridSpan w:val="4"/>
          </w:tcPr>
          <w:p>
            <w:pPr>
              <w:ind w:left="1080"/>
              <w:spacing w:after="0"/>
              <w:rPr>
                <w:sz w:val="20"/>
                <w:szCs w:val="20"/>
                <w:color w:val="auto"/>
              </w:rPr>
            </w:pPr>
            <w:r>
              <w:rPr>
                <w:rFonts w:ascii="Arial" w:cs="Arial" w:eastAsia="Arial" w:hAnsi="Arial"/>
                <w:sz w:val="18"/>
                <w:szCs w:val="18"/>
                <w:color w:val="auto"/>
              </w:rPr>
              <w:t>THE COOPER COMPANIES, INC. AND SUBSIDIARIES</w:t>
            </w:r>
          </w:p>
        </w:tc>
      </w:tr>
      <w:tr>
        <w:trPr>
          <w:trHeight w:val="797"/>
        </w:trPr>
        <w:tc>
          <w:tcPr>
            <w:tcW w:w="16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6"/>
        </w:trPr>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Exhibit</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1640" w:type="dxa"/>
            <w:vAlign w:val="bottom"/>
            <w:gridSpan w:val="4"/>
          </w:tcPr>
          <w:p>
            <w:pPr>
              <w:ind w:left="40"/>
              <w:spacing w:after="0" w:line="190" w:lineRule="exact"/>
              <w:rPr>
                <w:sz w:val="20"/>
                <w:szCs w:val="20"/>
                <w:color w:val="auto"/>
              </w:rPr>
            </w:pPr>
            <w:r>
              <w:rPr>
                <w:rFonts w:ascii="Arial" w:cs="Arial" w:eastAsia="Arial" w:hAnsi="Arial"/>
                <w:sz w:val="18"/>
                <w:szCs w:val="18"/>
                <w:color w:val="auto"/>
              </w:rPr>
              <w:t>Number</w:t>
            </w:r>
          </w:p>
        </w:tc>
        <w:tc>
          <w:tcPr>
            <w:tcW w:w="8300" w:type="dxa"/>
            <w:vAlign w:val="bottom"/>
            <w:gridSpan w:val="5"/>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gridSpan w:val="5"/>
          </w:tcPr>
          <w:p>
            <w:pPr>
              <w:spacing w:after="0"/>
              <w:rPr>
                <w:sz w:val="20"/>
                <w:szCs w:val="20"/>
                <w:color w:val="auto"/>
              </w:rPr>
            </w:pPr>
            <w:r>
              <w:rPr>
                <w:rFonts w:ascii="Arial" w:cs="Arial" w:eastAsia="Arial" w:hAnsi="Arial"/>
                <w:sz w:val="18"/>
                <w:szCs w:val="18"/>
                <w:color w:val="auto"/>
              </w:rPr>
              <w:t>Calculation of Earnings Per Share</w:t>
            </w:r>
          </w:p>
        </w:tc>
      </w:tr>
      <w:tr>
        <w:trPr>
          <w:trHeight w:val="36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the Chief Executive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gridSpan w:val="5"/>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of the Chief Financial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the Chief Executive Officer, pursuant to 18 U.S.C. Section 1350</w:t>
              </w:r>
            </w:hyperlink>
          </w:p>
        </w:tc>
        <w:tc>
          <w:tcPr>
            <w:tcW w:w="24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gridSpan w:val="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the Chief Financial Officer, pursuant to 18 U.S.C. Section 1350</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640" w:hanging="1443"/>
        <w:spacing w:after="0" w:line="255" w:lineRule="auto"/>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three and nine months periods ended July 31, 2018, formatted in Extensible Business Reporting Language (XBRL): (i) Consolidated Statements of Income for the three and nine months ended July 31, 2018 and 2017, (ii) Consolidated Statements of Comprehensive Income (Loss) for the three and nine months ended July 31, 2018 and 2017, (iii) Consolidated Condensed Balance Sheets at July 31, 2018 and October 31, 2017, (iv) Consolidated Condensed Statements of Cash Flows for the nine months ended July 31, 2018 and 2017 and (v) related notes to consolidated condensed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information called for in this Exhibit is provided in Note 7. Earnings Per Share to the Consolidated Condensed Financial Statements in this report</w:t>
      </w:r>
    </w:p>
    <w:p>
      <w:pPr>
        <w:spacing w:after="0" w:line="279"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47</w:t>
      </w:r>
    </w:p>
    <w:p>
      <w:pPr>
        <w:sectPr>
          <w:pgSz w:w="11900" w:h="16838" w:orient="portrait"/>
          <w:cols w:equalWidth="0" w:num="1">
            <w:col w:w="11400"/>
          </w:cols>
          <w:pgMar w:left="240" w:top="391"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August 31, 2018</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Financial Officer &amp; Treasurer</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August 31, 2018</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Accounting Officer &amp; Senior Vice President, Finance &amp; Tax (Principal</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391"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31, 2018</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22555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August 31, 2018</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31750</wp:posOffset>
            </wp:positionV>
            <wp:extent cx="253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Chief Financial Officer and</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33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Quarterly Report on Form 10-Q of The Cooper Companies, Inc. (the "Company") for the quarterly period ended July 31,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31, 2018</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20"/>
          <w:szCs w:val="20"/>
          <w:color w:val="auto"/>
        </w:rPr>
        <w:t>the Quarterly Report on Form 10-Q of The Cooper Companies, Inc. (the "Company") for the quarterly period ended July 31,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31, 2018</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lvl w:ilvl="1">
      <w:lvlJc w:val="left"/>
      <w:lvlText w:val="%2"/>
      <w:numFmt w:val="decimal"/>
      <w:start w:val="10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2019-12-28T19:39:10Z</dcterms:created>
  <dcterms:modified xsi:type="dcterms:W3CDTF">2019-12-28T19:39:10Z</dcterms:modified>
</cp:coreProperties>
</file>