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sectPr>
      </w:pPr>
    </w:p>
    <w:p>
      <w:pPr>
        <w:spacing w:after="0" w:line="81"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For the quarterly period ended July 31, 2023</w:t>
      </w:r>
    </w:p>
    <w:p>
      <w:pPr>
        <w:sectPr>
          <w:pgSz w:w="11900" w:h="16838" w:orient="portrait"/>
          <w:cols w:equalWidth="0" w:num="1">
            <w:col w:w="11240"/>
          </w:cols>
          <w:pgMar w:left="320" w:top="1084" w:right="339" w:bottom="1440" w:gutter="0" w:footer="0" w:header="0"/>
          <w:type w:val="continuous"/>
        </w:sectPr>
      </w:pPr>
    </w:p>
    <w:p>
      <w:pPr>
        <w:spacing w:after="0" w:line="110"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spacing w:after="0" w:line="26"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20" w:lineRule="exact"/>
        <w:rPr>
          <w:sz w:val="24"/>
          <w:szCs w:val="24"/>
          <w:color w:val="auto"/>
        </w:rPr>
      </w:pPr>
    </w:p>
    <w:p>
      <w:pPr>
        <w:sectPr>
          <w:pgSz w:w="11900" w:h="16838" w:orient="portrait"/>
          <w:cols w:equalWidth="0" w:num="2">
            <w:col w:w="6100" w:space="640"/>
            <w:col w:w="450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type w:val="continuous"/>
        </w:sectPr>
      </w:pPr>
    </w:p>
    <w:p>
      <w:pPr>
        <w:spacing w:after="0" w:line="178"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45" w:lineRule="exact"/>
        <w:rPr>
          <w:sz w:val="24"/>
          <w:szCs w:val="24"/>
          <w:color w:val="auto"/>
        </w:rPr>
      </w:pPr>
    </w:p>
    <w:p>
      <w:pPr>
        <w:sectPr>
          <w:pgSz w:w="11900" w:h="16838" w:orient="portrait"/>
          <w:cols w:equalWidth="0" w:num="2">
            <w:col w:w="7480" w:space="720"/>
            <w:col w:w="3040"/>
          </w:cols>
          <w:pgMar w:left="320" w:top="1084" w:right="339" w:bottom="1440" w:gutter="0" w:footer="0" w:header="0"/>
          <w:type w:val="continuous"/>
        </w:sectPr>
      </w:pPr>
    </w:p>
    <w:p>
      <w:pPr>
        <w:spacing w:after="0" w:line="5"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(State or other jurisdiction of</w:t>
      </w:r>
    </w:p>
    <w:p>
      <w:pPr>
        <w:spacing w:after="0" w:line="6"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360" w:space="720"/>
            <w:col w:w="3160"/>
          </w:cols>
          <w:pgMar w:left="320" w:top="1084" w:right="339" w:bottom="1440" w:gutter="0" w:footer="0" w:header="0"/>
          <w:type w:val="continuous"/>
        </w:sectPr>
      </w:pPr>
    </w:p>
    <w:p>
      <w:pPr>
        <w:ind w:left="4100"/>
        <w:spacing w:after="0"/>
        <w:rPr>
          <w:sz w:val="20"/>
          <w:szCs w:val="20"/>
          <w:color w:val="auto"/>
        </w:rPr>
      </w:pPr>
      <w:r>
        <w:rPr>
          <w:rFonts w:ascii="Arial" w:cs="Arial" w:eastAsia="Arial" w:hAnsi="Arial"/>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Ramon, California 94583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120"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3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60"/>
        <w:spacing w:after="0" w:line="26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August 25, 2023, 49,524,149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0" w:type="dxa"/>
            <w:vAlign w:val="bottom"/>
            <w:gridSpan w:val="7"/>
          </w:tcPr>
          <w:p>
            <w:pPr>
              <w:ind w:left="120"/>
              <w:spacing w:after="0"/>
              <w:rPr>
                <w:sz w:val="20"/>
                <w:szCs w:val="20"/>
                <w:color w:val="auto"/>
              </w:rPr>
            </w:pPr>
            <w:r>
              <w:rPr>
                <w:rFonts w:ascii="Arial" w:cs="Arial" w:eastAsia="Arial" w:hAnsi="Arial"/>
                <w:sz w:val="17"/>
                <w:szCs w:val="17"/>
                <w:color w:val="auto"/>
              </w:rPr>
              <w:t>INDEX</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73"/>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0" w:type="dxa"/>
            <w:vAlign w:val="bottom"/>
            <w:tcBorders>
              <w:bottom w:val="single" w:sz="8" w:color="auto"/>
            </w:tcBorders>
            <w:gridSpan w:val="4"/>
          </w:tcPr>
          <w:p>
            <w:pPr>
              <w:ind w:left="500"/>
              <w:spacing w:after="0"/>
              <w:rPr>
                <w:sz w:val="20"/>
                <w:szCs w:val="20"/>
                <w:color w:val="auto"/>
              </w:rPr>
            </w:pPr>
            <w:r>
              <w:rPr>
                <w:rFonts w:ascii="Arial" w:cs="Arial" w:eastAsia="Arial" w:hAnsi="Arial"/>
                <w:sz w:val="17"/>
                <w:szCs w:val="17"/>
                <w:color w:val="auto"/>
              </w:rPr>
              <w:t>Page No.</w:t>
            </w:r>
          </w:p>
        </w:tc>
      </w:tr>
      <w:tr>
        <w:trPr>
          <w:trHeight w:val="162"/>
        </w:trPr>
        <w:tc>
          <w:tcPr>
            <w:tcW w:w="1320" w:type="dxa"/>
            <w:vAlign w:val="bottom"/>
            <w:gridSpan w:val="3"/>
          </w:tcPr>
          <w:p>
            <w:pPr>
              <w:spacing w:after="0" w:line="162" w:lineRule="exact"/>
              <w:rPr>
                <w:sz w:val="20"/>
                <w:szCs w:val="20"/>
                <w:color w:val="auto"/>
              </w:rPr>
            </w:pPr>
            <w:r>
              <w:rPr>
                <w:rFonts w:ascii="Arial" w:cs="Arial" w:eastAsia="Arial" w:hAnsi="Arial"/>
                <w:sz w:val="17"/>
                <w:szCs w:val="17"/>
                <w:color w:val="auto"/>
              </w:rPr>
              <w:t>PART I.</w:t>
            </w:r>
          </w:p>
        </w:tc>
        <w:tc>
          <w:tcPr>
            <w:tcW w:w="2140" w:type="dxa"/>
            <w:vAlign w:val="bottom"/>
            <w:tcBorders>
              <w:bottom w:val="single" w:sz="8" w:color="0000FF"/>
            </w:tcBorders>
            <w:gridSpan w:val="7"/>
          </w:tcPr>
          <w:p>
            <w:pPr>
              <w:spacing w:after="0" w:line="162" w:lineRule="exact"/>
              <w:rPr>
                <w:sz w:val="20"/>
                <w:szCs w:val="20"/>
                <w:color w:val="auto"/>
              </w:rPr>
            </w:pPr>
            <w:r>
              <w:rPr>
                <w:rFonts w:ascii="Arial" w:cs="Arial" w:eastAsia="Arial" w:hAnsi="Arial"/>
                <w:sz w:val="17"/>
                <w:szCs w:val="17"/>
                <w:color w:val="0000FF"/>
                <w:w w:val="99"/>
              </w:rPr>
              <w:t>FINANCIAL INFORMATION</w:t>
            </w:r>
          </w:p>
        </w:tc>
        <w:tc>
          <w:tcPr>
            <w:tcW w:w="6160" w:type="dxa"/>
            <w:vAlign w:val="bottom"/>
            <w:gridSpan w:val="11"/>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220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89"/>
              </w:rPr>
              <w:t>Unaudited Financial Statements</w:t>
            </w:r>
          </w:p>
        </w:tc>
        <w:tc>
          <w:tcPr>
            <w:tcW w:w="610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5"/>
          </w:tcPr>
          <w:p>
            <w:pPr>
              <w:spacing w:after="0"/>
              <w:rPr>
                <w:sz w:val="20"/>
                <w:szCs w:val="20"/>
                <w:color w:val="auto"/>
              </w:rPr>
            </w:pPr>
            <w:r>
              <w:rPr>
                <w:rFonts w:ascii="Arial" w:cs="Arial" w:eastAsia="Arial" w:hAnsi="Arial"/>
                <w:sz w:val="17"/>
                <w:szCs w:val="17"/>
                <w:color w:val="0000FF"/>
                <w:w w:val="89"/>
              </w:rPr>
              <w:t>Consolidated Condensed Statements of Income and Comprehensive Income</w:t>
            </w:r>
          </w:p>
        </w:tc>
        <w:tc>
          <w:tcPr>
            <w:tcW w:w="298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5"/>
          </w:tcPr>
          <w:p>
            <w:pPr>
              <w:spacing w:after="0"/>
              <w:rPr>
                <w:sz w:val="20"/>
                <w:szCs w:val="20"/>
                <w:color w:val="auto"/>
              </w:rPr>
            </w:pPr>
            <w:r>
              <w:rPr>
                <w:rFonts w:ascii="Arial" w:cs="Arial" w:eastAsia="Arial" w:hAnsi="Arial"/>
                <w:sz w:val="17"/>
                <w:szCs w:val="17"/>
                <w:color w:val="0000FF"/>
              </w:rPr>
              <w:t>Consolidated Condensed Balance Sheets</w:t>
            </w:r>
          </w:p>
        </w:tc>
        <w:tc>
          <w:tcPr>
            <w:tcW w:w="298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4</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7"/>
          </w:tcPr>
          <w:p>
            <w:pPr>
              <w:spacing w:after="0"/>
              <w:rPr>
                <w:sz w:val="20"/>
                <w:szCs w:val="20"/>
                <w:color w:val="auto"/>
              </w:rPr>
            </w:pPr>
            <w:r>
              <w:rPr>
                <w:rFonts w:ascii="Arial" w:cs="Arial" w:eastAsia="Arial" w:hAnsi="Arial"/>
                <w:sz w:val="17"/>
                <w:szCs w:val="17"/>
                <w:color w:val="0000FF"/>
              </w:rPr>
              <w:t>Consolidated Condensed Statements of Stockholders' Equity</w:t>
            </w: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5</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13"/>
          </w:tcPr>
          <w:p>
            <w:pPr>
              <w:spacing w:after="0"/>
              <w:rPr>
                <w:sz w:val="20"/>
                <w:szCs w:val="20"/>
                <w:color w:val="auto"/>
              </w:rPr>
            </w:pPr>
            <w:r>
              <w:rPr>
                <w:rFonts w:ascii="Arial" w:cs="Arial" w:eastAsia="Arial" w:hAnsi="Arial"/>
                <w:sz w:val="17"/>
                <w:szCs w:val="17"/>
                <w:color w:val="0000FF"/>
              </w:rPr>
              <w:t>Consolidated Condensed Statements of Cash Flows</w:t>
            </w:r>
          </w:p>
        </w:tc>
        <w:tc>
          <w:tcPr>
            <w:tcW w:w="4040" w:type="dxa"/>
            <w:vAlign w:val="bottom"/>
            <w:gridSpan w:val="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7"/>
          </w:tcPr>
          <w:p>
            <w:pPr>
              <w:spacing w:after="0"/>
              <w:rPr>
                <w:sz w:val="20"/>
                <w:szCs w:val="20"/>
                <w:color w:val="auto"/>
              </w:rPr>
            </w:pPr>
            <w:r>
              <w:rPr>
                <w:rFonts w:ascii="Arial" w:cs="Arial" w:eastAsia="Arial" w:hAnsi="Arial"/>
                <w:sz w:val="17"/>
                <w:szCs w:val="17"/>
                <w:color w:val="0000FF"/>
              </w:rPr>
              <w:t>Notes to Consolidated Condensed Financial Statements</w:t>
            </w: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8300" w:type="dxa"/>
            <w:vAlign w:val="bottom"/>
            <w:gridSpan w:val="18"/>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16</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612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 About Market Risk</w:t>
            </w: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gridSpan w:val="5"/>
          </w:tcPr>
          <w:p>
            <w:pPr>
              <w:spacing w:after="0"/>
              <w:rPr>
                <w:sz w:val="20"/>
                <w:szCs w:val="20"/>
                <w:color w:val="auto"/>
              </w:rPr>
            </w:pPr>
            <w:r>
              <w:rPr>
                <w:rFonts w:ascii="Arial" w:cs="Arial" w:eastAsia="Arial" w:hAnsi="Arial"/>
                <w:sz w:val="17"/>
                <w:szCs w:val="17"/>
                <w:color w:val="0000FF"/>
                <w:w w:val="87"/>
              </w:rPr>
              <w:t>Controls and Procedures</w:t>
            </w:r>
          </w:p>
        </w:tc>
        <w:tc>
          <w:tcPr>
            <w:tcW w:w="2380" w:type="dxa"/>
            <w:vAlign w:val="bottom"/>
            <w:gridSpan w:val="7"/>
          </w:tcPr>
          <w:p>
            <w:pPr>
              <w:spacing w:after="0"/>
              <w:rPr>
                <w:sz w:val="24"/>
                <w:szCs w:val="24"/>
                <w:color w:val="auto"/>
              </w:rPr>
            </w:pPr>
          </w:p>
        </w:tc>
        <w:tc>
          <w:tcPr>
            <w:tcW w:w="4240" w:type="dxa"/>
            <w:vAlign w:val="bottom"/>
            <w:gridSpan w:val="6"/>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gridSpan w:val="3"/>
          </w:tcPr>
          <w:p>
            <w:pPr>
              <w:spacing w:after="0"/>
              <w:rPr>
                <w:sz w:val="20"/>
                <w:szCs w:val="20"/>
                <w:color w:val="auto"/>
              </w:rPr>
            </w:pPr>
            <w:r>
              <w:rPr>
                <w:rFonts w:ascii="Arial" w:cs="Arial" w:eastAsia="Arial" w:hAnsi="Arial"/>
                <w:sz w:val="17"/>
                <w:szCs w:val="17"/>
                <w:color w:val="auto"/>
              </w:rPr>
              <w:t>PART II.</w:t>
            </w:r>
          </w:p>
        </w:tc>
        <w:tc>
          <w:tcPr>
            <w:tcW w:w="8300" w:type="dxa"/>
            <w:vAlign w:val="bottom"/>
            <w:gridSpan w:val="18"/>
          </w:tcPr>
          <w:p>
            <w:pPr>
              <w:spacing w:after="0"/>
              <w:rPr>
                <w:sz w:val="20"/>
                <w:szCs w:val="20"/>
                <w:color w:val="auto"/>
              </w:rPr>
            </w:pPr>
            <w:r>
              <w:rPr>
                <w:rFonts w:ascii="Arial" w:cs="Arial" w:eastAsia="Arial" w:hAnsi="Arial"/>
                <w:sz w:val="17"/>
                <w:szCs w:val="17"/>
                <w:color w:val="0000FF"/>
              </w:rPr>
              <w:t>OTHER INFORMATION</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78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Legal Proceedings</w:t>
            </w:r>
          </w:p>
        </w:tc>
        <w:tc>
          <w:tcPr>
            <w:tcW w:w="6520" w:type="dxa"/>
            <w:vAlign w:val="bottom"/>
            <w:gridSpan w:val="1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60" w:type="dxa"/>
            <w:vAlign w:val="bottom"/>
            <w:gridSpan w:val="3"/>
          </w:tcPr>
          <w:p>
            <w:pPr>
              <w:spacing w:after="0"/>
              <w:rPr>
                <w:sz w:val="20"/>
                <w:szCs w:val="20"/>
                <w:color w:val="auto"/>
              </w:rPr>
            </w:pPr>
            <w:r>
              <w:rPr>
                <w:rFonts w:ascii="Arial" w:cs="Arial" w:eastAsia="Arial" w:hAnsi="Arial"/>
                <w:sz w:val="17"/>
                <w:szCs w:val="17"/>
                <w:color w:val="0000FF"/>
                <w:w w:val="88"/>
              </w:rPr>
              <w:t>Risk Factors</w:t>
            </w:r>
          </w:p>
        </w:tc>
        <w:tc>
          <w:tcPr>
            <w:tcW w:w="380" w:type="dxa"/>
            <w:vAlign w:val="bottom"/>
          </w:tcPr>
          <w:p>
            <w:pPr>
              <w:spacing w:after="0"/>
              <w:rPr>
                <w:sz w:val="24"/>
                <w:szCs w:val="24"/>
                <w:color w:val="auto"/>
              </w:rPr>
            </w:pPr>
          </w:p>
        </w:tc>
        <w:tc>
          <w:tcPr>
            <w:tcW w:w="7060" w:type="dxa"/>
            <w:vAlign w:val="bottom"/>
            <w:gridSpan w:val="1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8300" w:type="dxa"/>
            <w:vAlign w:val="bottom"/>
            <w:gridSpan w:val="18"/>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20" w:type="dxa"/>
            <w:vAlign w:val="bottom"/>
            <w:gridSpan w:val="13"/>
          </w:tcPr>
          <w:p>
            <w:pPr>
              <w:spacing w:after="0"/>
              <w:rPr>
                <w:sz w:val="20"/>
                <w:szCs w:val="20"/>
                <w:color w:val="auto"/>
              </w:rPr>
            </w:pPr>
            <w:r>
              <w:rPr>
                <w:rFonts w:ascii="Arial" w:cs="Arial" w:eastAsia="Arial" w:hAnsi="Arial"/>
                <w:sz w:val="17"/>
                <w:szCs w:val="17"/>
                <w:color w:val="0000FF"/>
              </w:rPr>
              <w:t>Defaults Upon Senior Securities</w:t>
            </w:r>
          </w:p>
        </w:tc>
        <w:tc>
          <w:tcPr>
            <w:tcW w:w="4180" w:type="dxa"/>
            <w:vAlign w:val="bottom"/>
            <w:gridSpan w:val="5"/>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gridSpan w:val="5"/>
          </w:tcPr>
          <w:p>
            <w:pPr>
              <w:spacing w:after="0"/>
              <w:rPr>
                <w:sz w:val="20"/>
                <w:szCs w:val="20"/>
                <w:color w:val="auto"/>
              </w:rPr>
            </w:pPr>
            <w:r>
              <w:rPr>
                <w:rFonts w:ascii="Arial" w:cs="Arial" w:eastAsia="Arial" w:hAnsi="Arial"/>
                <w:sz w:val="17"/>
                <w:szCs w:val="17"/>
                <w:color w:val="0000FF"/>
                <w:w w:val="89"/>
              </w:rPr>
              <w:t>Mine Safety Disclosures</w:t>
            </w:r>
          </w:p>
        </w:tc>
        <w:tc>
          <w:tcPr>
            <w:tcW w:w="520" w:type="dxa"/>
            <w:vAlign w:val="bottom"/>
            <w:gridSpan w:val="3"/>
          </w:tcPr>
          <w:p>
            <w:pPr>
              <w:spacing w:after="0"/>
              <w:rPr>
                <w:sz w:val="24"/>
                <w:szCs w:val="24"/>
                <w:color w:val="auto"/>
              </w:rPr>
            </w:pPr>
          </w:p>
        </w:tc>
        <w:tc>
          <w:tcPr>
            <w:tcW w:w="6100" w:type="dxa"/>
            <w:vAlign w:val="bottom"/>
            <w:gridSpan w:val="10"/>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2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680" w:type="dxa"/>
            <w:vAlign w:val="bottom"/>
            <w:gridSpan w:val="5"/>
          </w:tcPr>
          <w:p>
            <w:pPr>
              <w:spacing w:after="0"/>
              <w:rPr>
                <w:sz w:val="20"/>
                <w:szCs w:val="20"/>
                <w:color w:val="auto"/>
              </w:rPr>
            </w:pPr>
            <w:r>
              <w:rPr>
                <w:rFonts w:ascii="Arial" w:cs="Arial" w:eastAsia="Arial" w:hAnsi="Arial"/>
                <w:sz w:val="17"/>
                <w:szCs w:val="17"/>
                <w:color w:val="0000FF"/>
              </w:rPr>
              <w:t>Other Information</w:t>
            </w:r>
          </w:p>
        </w:tc>
        <w:tc>
          <w:tcPr>
            <w:tcW w:w="6620" w:type="dxa"/>
            <w:vAlign w:val="bottom"/>
            <w:gridSpan w:val="13"/>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40" w:type="dxa"/>
            <w:vAlign w:val="bottom"/>
            <w:gridSpan w:val="4"/>
          </w:tcPr>
          <w:p>
            <w:pPr>
              <w:spacing w:after="0"/>
              <w:rPr>
                <w:sz w:val="20"/>
                <w:szCs w:val="20"/>
                <w:color w:val="auto"/>
              </w:rPr>
            </w:pPr>
            <w:r>
              <w:rPr>
                <w:rFonts w:ascii="Arial" w:cs="Arial" w:eastAsia="Arial" w:hAnsi="Arial"/>
                <w:sz w:val="17"/>
                <w:szCs w:val="17"/>
                <w:color w:val="0000FF"/>
              </w:rPr>
              <w:t>Exhibits</w:t>
            </w:r>
          </w:p>
        </w:tc>
        <w:tc>
          <w:tcPr>
            <w:tcW w:w="7060" w:type="dxa"/>
            <w:vAlign w:val="bottom"/>
            <w:gridSpan w:val="1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30</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31</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ind w:left="4160"/>
        <w:spacing w:after="0"/>
        <w:rPr>
          <w:sz w:val="20"/>
          <w:szCs w:val="20"/>
          <w:color w:val="auto"/>
        </w:rPr>
      </w:pPr>
      <w:r>
        <w:rPr>
          <w:rFonts w:ascii="Arial" w:cs="Arial" w:eastAsia="Arial" w:hAnsi="Arial"/>
          <w:sz w:val="17"/>
          <w:szCs w:val="17"/>
          <w:b w:val="1"/>
          <w:bCs w:val="1"/>
          <w:color w:val="auto"/>
        </w:rPr>
        <w:t>PART I. FINANCIAL INFORMATION</w:t>
      </w:r>
    </w:p>
    <w:p>
      <w:pPr>
        <w:spacing w:after="0" w:line="25"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Item 1. Unaudited Financial Statements</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Income and Comprehensive Income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Periods Ended July 31,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except for earnings per share)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5"/>
              </w:rPr>
              <w:t>Three Months</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Nine Months</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w w:val="95"/>
              </w:rPr>
              <w:t>2022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2023</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930.2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2,666.1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2,460.3</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sales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320.2</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914.7</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857.3</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610.0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1,603.0</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3"/>
              </w:rPr>
              <w:t>375.2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342.7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1,113.6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984.2</w:t>
            </w: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w:t>
            </w: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intangibles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139.7</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151.6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404.1</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26.8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79.0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3"/>
              </w:rPr>
              <w:t>118.8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117.3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306.5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402.9</w:t>
            </w: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 (Note 6)</w:t>
            </w: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4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1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85.3</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209.7</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share (Note 7):</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7"/>
                <w:szCs w:val="17"/>
                <w:color w:val="auto"/>
              </w:rPr>
              <w:t>Basic</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Number of shares used to compute earnings per share: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9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ind w:left="360"/>
              <w:spacing w:after="0"/>
              <w:rPr>
                <w:sz w:val="20"/>
                <w:szCs w:val="20"/>
                <w:color w:val="auto"/>
              </w:rPr>
            </w:pPr>
            <w:r>
              <w:rPr>
                <w:rFonts w:ascii="Arial" w:cs="Arial" w:eastAsia="Arial" w:hAnsi="Arial"/>
                <w:sz w:val="17"/>
                <w:szCs w:val="17"/>
                <w:color w:val="auto"/>
              </w:rPr>
              <w:t>Diluted</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7"/>
                <w:szCs w:val="17"/>
                <w:color w:val="auto"/>
              </w:rPr>
              <w:t>Cash flow hedges</w:t>
            </w:r>
          </w:p>
        </w:tc>
        <w:tc>
          <w:tcPr>
            <w:tcW w:w="940" w:type="dxa"/>
            <w:vAlign w:val="bottom"/>
          </w:tcPr>
          <w:p>
            <w:pPr>
              <w:jc w:val="right"/>
              <w:ind w:right="755"/>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14.6</w:t>
            </w:r>
          </w:p>
        </w:tc>
        <w:tc>
          <w:tcPr>
            <w:tcW w:w="140" w:type="dxa"/>
            <w:vAlign w:val="bottom"/>
          </w:tcPr>
          <w:p>
            <w:pPr>
              <w:spacing w:after="0"/>
              <w:rPr>
                <w:sz w:val="19"/>
                <w:szCs w:val="19"/>
                <w:color w:val="auto"/>
              </w:rPr>
            </w:pPr>
          </w:p>
        </w:tc>
        <w:tc>
          <w:tcPr>
            <w:tcW w:w="500" w:type="dxa"/>
            <w:vAlign w:val="bottom"/>
          </w:tcPr>
          <w:p>
            <w:pPr>
              <w:jc w:val="right"/>
              <w:ind w:right="29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(11.9)</w:t>
            </w:r>
          </w:p>
        </w:tc>
        <w:tc>
          <w:tcPr>
            <w:tcW w:w="16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Foreign currency translation adjustment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(178.1)</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134.3</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301.7</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Balance Sheets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7"/>
                <w:szCs w:val="17"/>
                <w:b w:val="1"/>
                <w:bCs w:val="1"/>
                <w:color w:val="auto"/>
              </w:rPr>
              <w:t>July 31, 2023</w:t>
            </w:r>
          </w:p>
        </w:tc>
        <w:tc>
          <w:tcPr>
            <w:tcW w:w="200" w:type="dxa"/>
            <w:vAlign w:val="bottom"/>
          </w:tcPr>
          <w:p>
            <w:pPr>
              <w:spacing w:after="0"/>
              <w:rPr>
                <w:sz w:val="20"/>
                <w:szCs w:val="20"/>
                <w:color w:val="auto"/>
              </w:rPr>
            </w:pPr>
          </w:p>
        </w:tc>
        <w:tc>
          <w:tcPr>
            <w:tcW w:w="1660" w:type="dxa"/>
            <w:vAlign w:val="bottom"/>
          </w:tcPr>
          <w:p>
            <w:pPr>
              <w:jc w:val="right"/>
              <w:ind w:right="235"/>
              <w:spacing w:after="0"/>
              <w:rPr>
                <w:sz w:val="20"/>
                <w:szCs w:val="20"/>
                <w:color w:val="auto"/>
              </w:rPr>
            </w:pPr>
            <w:r>
              <w:rPr>
                <w:rFonts w:ascii="Arial" w:cs="Arial" w:eastAsia="Arial" w:hAnsi="Arial"/>
                <w:sz w:val="17"/>
                <w:szCs w:val="17"/>
                <w:b w:val="1"/>
                <w:bCs w:val="1"/>
                <w:color w:val="auto"/>
                <w:w w:val="96"/>
              </w:rPr>
              <w:t>October 31, 2022</w:t>
            </w:r>
          </w:p>
        </w:tc>
        <w:tc>
          <w:tcPr>
            <w:tcW w:w="0" w:type="dxa"/>
            <w:vAlign w:val="bottom"/>
          </w:tcPr>
          <w:p>
            <w:pPr>
              <w:spacing w:after="0"/>
              <w:rPr>
                <w:sz w:val="1"/>
                <w:szCs w:val="1"/>
                <w:color w:val="auto"/>
              </w:rPr>
            </w:pPr>
          </w:p>
        </w:tc>
      </w:tr>
      <w:tr>
        <w:trPr>
          <w:trHeight w:val="21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171"/>
        </w:trPr>
        <w:tc>
          <w:tcPr>
            <w:tcW w:w="7400" w:type="dxa"/>
            <w:vAlign w:val="bottom"/>
          </w:tcPr>
          <w:p>
            <w:pPr>
              <w:ind w:left="360"/>
              <w:spacing w:after="0" w:line="172" w:lineRule="exact"/>
              <w:rPr>
                <w:sz w:val="20"/>
                <w:szCs w:val="20"/>
                <w:color w:val="auto"/>
              </w:rPr>
            </w:pPr>
            <w:r>
              <w:rPr>
                <w:rFonts w:ascii="Arial" w:cs="Arial" w:eastAsia="Arial" w:hAnsi="Arial"/>
                <w:sz w:val="17"/>
                <w:szCs w:val="17"/>
                <w:color w:val="auto"/>
                <w:w w:val="93"/>
              </w:rPr>
              <w:t>Trade accounts receivable, net of allowance for credit losses of $27.6 at July 31, 2023, and $20.7 at</w:t>
            </w:r>
          </w:p>
        </w:tc>
        <w:tc>
          <w:tcPr>
            <w:tcW w:w="2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629.9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7"/>
                <w:szCs w:val="17"/>
                <w:color w:val="auto"/>
              </w:rPr>
              <w:t>557.8</w:t>
            </w:r>
          </w:p>
        </w:tc>
        <w:tc>
          <w:tcPr>
            <w:tcW w:w="0" w:type="dxa"/>
            <w:vAlign w:val="bottom"/>
          </w:tcPr>
          <w:p>
            <w:pPr>
              <w:spacing w:after="0"/>
              <w:rPr>
                <w:sz w:val="1"/>
                <w:szCs w:val="1"/>
                <w:color w:val="auto"/>
              </w:rPr>
            </w:pPr>
          </w:p>
        </w:tc>
      </w:tr>
      <w:tr>
        <w:trPr>
          <w:trHeight w:val="218"/>
        </w:trPr>
        <w:tc>
          <w:tcPr>
            <w:tcW w:w="7400" w:type="dxa"/>
            <w:vAlign w:val="bottom"/>
          </w:tcPr>
          <w:p>
            <w:pPr>
              <w:ind w:left="360"/>
              <w:spacing w:after="0"/>
              <w:rPr>
                <w:sz w:val="20"/>
                <w:szCs w:val="20"/>
                <w:color w:val="auto"/>
              </w:rPr>
            </w:pPr>
            <w:r>
              <w:rPr>
                <w:rFonts w:ascii="Arial" w:cs="Arial" w:eastAsia="Arial" w:hAnsi="Arial"/>
                <w:sz w:val="17"/>
                <w:szCs w:val="17"/>
                <w:color w:val="auto"/>
              </w:rPr>
              <w:t>October 31, 2022</w:t>
            </w:r>
          </w:p>
        </w:tc>
        <w:tc>
          <w:tcPr>
            <w:tcW w:w="2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Inventories (Note 3)</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628.7</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Prepaid expense and other current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1,533.6</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1,535.0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1,432.9</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3,609.7</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Other intangibles, net (Note 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1,770.6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1,885.1</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2,443.1</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587.9</w:t>
            </w:r>
          </w:p>
        </w:tc>
        <w:tc>
          <w:tcPr>
            <w:tcW w:w="0" w:type="dxa"/>
            <w:vAlign w:val="bottom"/>
          </w:tcPr>
          <w:p>
            <w:pPr>
              <w:spacing w:after="0"/>
              <w:rPr>
                <w:sz w:val="1"/>
                <w:szCs w:val="1"/>
                <w:color w:val="auto"/>
              </w:rPr>
            </w:pPr>
          </w:p>
        </w:tc>
      </w:tr>
      <w:tr>
        <w:trPr>
          <w:trHeight w:val="254"/>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Short-term debt (Note 5)</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79.6</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412.6</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Employee compensation and benefits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152.1</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 current liabilities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1,280.2</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Long-term debt (Note 5)</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2,514.7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2,350.8</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Long-term tax payable</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90.5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pension liability and other</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4,317.6</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7"/>
                <w:szCs w:val="17"/>
                <w:color w:val="auto"/>
              </w:rPr>
              <w:t>Contingencies (Note 10)</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w w:val="98"/>
              </w:rPr>
              <w:t>Preferred stock, $10 cents par value, 1.0 shares authorized, zero shares issued or outstanding</w:t>
            </w:r>
          </w:p>
        </w:tc>
        <w:tc>
          <w:tcPr>
            <w:tcW w:w="2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8"/>
        </w:trPr>
        <w:tc>
          <w:tcPr>
            <w:tcW w:w="7400" w:type="dxa"/>
            <w:vAlign w:val="bottom"/>
            <w:shd w:val="clear" w:color="auto" w:fill="CCEEFF"/>
          </w:tcPr>
          <w:p>
            <w:pPr>
              <w:ind w:left="360"/>
              <w:spacing w:after="0" w:line="178" w:lineRule="exact"/>
              <w:rPr>
                <w:sz w:val="20"/>
                <w:szCs w:val="20"/>
                <w:color w:val="auto"/>
              </w:rPr>
            </w:pPr>
            <w:r>
              <w:rPr>
                <w:rFonts w:ascii="Arial" w:cs="Arial" w:eastAsia="Arial" w:hAnsi="Arial"/>
                <w:sz w:val="17"/>
                <w:szCs w:val="17"/>
                <w:color w:val="auto"/>
                <w:w w:val="94"/>
              </w:rPr>
              <w:t>Common stock, $10 cents par value, 120.0 shares authorized, 53.9 issued and 49.5 outstanding at</w:t>
            </w:r>
          </w:p>
        </w:tc>
        <w:tc>
          <w:tcPr>
            <w:tcW w:w="28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July 31, 2023, and 53.8 issued and 49.3 outstanding at October 31, 2022</w:t>
            </w:r>
          </w:p>
        </w:tc>
        <w:tc>
          <w:tcPr>
            <w:tcW w:w="28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1,817.4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1,765.5</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Retained earnings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6,791.6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6,584.9</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Treasury stock at cost: 4.4 shares at July 31, 2023, and 4.5 shares at October 31, 2022</w:t>
            </w:r>
          </w:p>
        </w:tc>
        <w:tc>
          <w:tcPr>
            <w:tcW w:w="2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(714.5)</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Cooper stockholders’ equity</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7,174.5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Stockholders’ equity (Note 9)</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7,528.5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7,174.7</w:t>
            </w:r>
          </w:p>
        </w:tc>
        <w:tc>
          <w:tcPr>
            <w:tcW w:w="0" w:type="dxa"/>
            <w:vAlign w:val="bottom"/>
          </w:tcPr>
          <w:p>
            <w:pPr>
              <w:spacing w:after="0"/>
              <w:rPr>
                <w:sz w:val="1"/>
                <w:szCs w:val="1"/>
                <w:color w:val="auto"/>
              </w:rPr>
            </w:pPr>
          </w:p>
        </w:tc>
      </w:tr>
      <w:tr>
        <w:trPr>
          <w:trHeight w:val="255"/>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Stockholders' Equity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3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Shares</w:t>
            </w:r>
          </w:p>
        </w:tc>
        <w:tc>
          <w:tcPr>
            <w:tcW w:w="13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84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840" w:type="dxa"/>
            <w:vAlign w:val="bottom"/>
            <w:gridSpan w:val="2"/>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7"/>
                <w:szCs w:val="7"/>
                <w:color w:val="auto"/>
              </w:rPr>
            </w:pPr>
          </w:p>
        </w:tc>
        <w:tc>
          <w:tcPr>
            <w:tcW w:w="106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center"/>
              <w:ind w:right="96"/>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7"/>
        </w:trPr>
        <w:tc>
          <w:tcPr>
            <w:tcW w:w="28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jc w:val="right"/>
              <w:ind w:right="160"/>
              <w:spacing w:after="0" w:line="145" w:lineRule="exact"/>
              <w:rPr>
                <w:sz w:val="20"/>
                <w:szCs w:val="20"/>
                <w:color w:val="auto"/>
              </w:rPr>
            </w:pPr>
            <w:r>
              <w:rPr>
                <w:rFonts w:ascii="Arial" w:cs="Arial" w:eastAsia="Arial" w:hAnsi="Arial"/>
                <w:sz w:val="14"/>
                <w:szCs w:val="14"/>
                <w:b w:val="1"/>
                <w:bCs w:val="1"/>
                <w:color w:val="auto"/>
                <w:w w:val="95"/>
              </w:rPr>
              <w:t>Comprehensive</w:t>
            </w:r>
          </w:p>
        </w:tc>
        <w:tc>
          <w:tcPr>
            <w:tcW w:w="8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7"/>
        </w:trPr>
        <w:tc>
          <w:tcPr>
            <w:tcW w:w="28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November 1, 2021</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$ 1,715.2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$ 6,202.1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(639.6)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6,942.0</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95.3</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178"/>
        </w:trPr>
        <w:tc>
          <w:tcPr>
            <w:tcW w:w="284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color w:val="auto"/>
                <w:w w:val="92"/>
              </w:rPr>
              <w:t>Other comprehensive income (loss), net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 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20"/>
              <w:spacing w:after="0" w:line="172" w:lineRule="exact"/>
              <w:rPr>
                <w:sz w:val="20"/>
                <w:szCs w:val="20"/>
                <w:color w:val="auto"/>
              </w:rPr>
            </w:pPr>
            <w:r>
              <w:rPr>
                <w:rFonts w:ascii="Arial" w:cs="Arial" w:eastAsia="Arial" w:hAnsi="Arial"/>
                <w:sz w:val="17"/>
                <w:szCs w:val="17"/>
                <w:color w:val="auto"/>
              </w:rPr>
              <w:t>Issuance of common stock for 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line="176" w:lineRule="exact"/>
              <w:rPr>
                <w:sz w:val="20"/>
                <w:szCs w:val="20"/>
                <w:color w:val="auto"/>
              </w:rPr>
            </w:pPr>
            <w:r>
              <w:rPr>
                <w:rFonts w:ascii="Arial" w:cs="Arial" w:eastAsia="Arial" w:hAnsi="Arial"/>
                <w:sz w:val="17"/>
                <w:szCs w:val="17"/>
                <w:color w:val="auto"/>
                <w:w w:val="92"/>
              </w:rPr>
              <w:t>plans, net and employee stock purchase</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8"/>
        </w:trPr>
        <w:tc>
          <w:tcPr>
            <w:tcW w:w="2840" w:type="dxa"/>
            <w:vAlign w:val="bottom"/>
          </w:tcPr>
          <w:p>
            <w:pPr>
              <w:ind w:left="20"/>
              <w:spacing w:after="0"/>
              <w:rPr>
                <w:sz w:val="20"/>
                <w:szCs w:val="20"/>
                <w:color w:val="auto"/>
              </w:rPr>
            </w:pPr>
            <w:r>
              <w:rPr>
                <w:rFonts w:ascii="Arial" w:cs="Arial" w:eastAsia="Arial" w:hAnsi="Arial"/>
                <w:sz w:val="17"/>
                <w:szCs w:val="17"/>
                <w:color w:val="auto"/>
              </w:rPr>
              <w:t>plan</w:t>
            </w: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4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w w:val="94"/>
              </w:rPr>
              <w:t>Dividends on common stock ($0.03 per</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36"/>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repurchase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17"/>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Balance at January 31, 2022</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$ 1,719.2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(377.2)</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$ 6,295.9</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 (717.4)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6,926.1</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0" w:type="dxa"/>
            <w:vAlign w:val="bottom"/>
          </w:tcPr>
          <w:p>
            <w:pPr>
              <w:spacing w:after="0"/>
              <w:rPr>
                <w:sz w:val="1"/>
                <w:szCs w:val="1"/>
                <w:color w:val="auto"/>
              </w:rPr>
            </w:pPr>
          </w:p>
        </w:tc>
      </w:tr>
      <w:tr>
        <w:trPr>
          <w:trHeight w:val="171"/>
        </w:trPr>
        <w:tc>
          <w:tcPr>
            <w:tcW w:w="2840" w:type="dxa"/>
            <w:vAlign w:val="bottom"/>
          </w:tcPr>
          <w:p>
            <w:pPr>
              <w:ind w:left="20"/>
              <w:spacing w:after="0" w:line="172" w:lineRule="exact"/>
              <w:rPr>
                <w:sz w:val="20"/>
                <w:szCs w:val="20"/>
                <w:color w:val="auto"/>
              </w:rPr>
            </w:pPr>
            <w:r>
              <w:rPr>
                <w:rFonts w:ascii="Arial" w:cs="Arial" w:eastAsia="Arial" w:hAnsi="Arial"/>
                <w:sz w:val="17"/>
                <w:szCs w:val="17"/>
                <w:color w:val="auto"/>
                <w:w w:val="92"/>
              </w:rPr>
              <w:t>Other comprehensive income (loss), net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(57.3)</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18"/>
        </w:trPr>
        <w:tc>
          <w:tcPr>
            <w:tcW w:w="2840" w:type="dxa"/>
            <w:vAlign w:val="bottom"/>
          </w:tcPr>
          <w:p>
            <w:pPr>
              <w:ind w:left="20"/>
              <w:spacing w:after="0"/>
              <w:rPr>
                <w:sz w:val="20"/>
                <w:szCs w:val="20"/>
                <w:color w:val="auto"/>
              </w:rPr>
            </w:pPr>
            <w:r>
              <w:rPr>
                <w:rFonts w:ascii="Arial" w:cs="Arial" w:eastAsia="Arial" w:hAnsi="Arial"/>
                <w:sz w:val="17"/>
                <w:szCs w:val="17"/>
                <w:color w:val="auto"/>
              </w:rPr>
              <w:t>of tax</w:t>
            </w: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4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rPr>
              <w:t>Issuance of common stock for stock</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w w:val="92"/>
              </w:rPr>
              <w:t>plans, net and employee stock purchase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w:t>
            </w: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29"/>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April 30, 2022</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$ 1,736.8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(434.5)</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$ 6,422.5</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(716.6)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7,013.8</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98.4</w:t>
            </w:r>
          </w:p>
        </w:tc>
        <w:tc>
          <w:tcPr>
            <w:tcW w:w="0" w:type="dxa"/>
            <w:vAlign w:val="bottom"/>
          </w:tcPr>
          <w:p>
            <w:pPr>
              <w:spacing w:after="0"/>
              <w:rPr>
                <w:sz w:val="1"/>
                <w:szCs w:val="1"/>
                <w:color w:val="auto"/>
              </w:rPr>
            </w:pPr>
          </w:p>
        </w:tc>
      </w:tr>
      <w:tr>
        <w:trPr>
          <w:trHeight w:val="178"/>
        </w:trPr>
        <w:tc>
          <w:tcPr>
            <w:tcW w:w="284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color w:val="auto"/>
                <w:w w:val="92"/>
              </w:rPr>
              <w:t>Other comprehensive income (loss), net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 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20"/>
              <w:spacing w:after="0" w:line="172" w:lineRule="exact"/>
              <w:rPr>
                <w:sz w:val="20"/>
                <w:szCs w:val="20"/>
                <w:color w:val="auto"/>
              </w:rPr>
            </w:pPr>
            <w:r>
              <w:rPr>
                <w:rFonts w:ascii="Arial" w:cs="Arial" w:eastAsia="Arial" w:hAnsi="Arial"/>
                <w:sz w:val="17"/>
                <w:szCs w:val="17"/>
                <w:color w:val="auto"/>
              </w:rPr>
              <w:t>Issuance of common stock for 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line="176" w:lineRule="exact"/>
              <w:rPr>
                <w:sz w:val="20"/>
                <w:szCs w:val="20"/>
                <w:color w:val="auto"/>
              </w:rPr>
            </w:pPr>
            <w:r>
              <w:rPr>
                <w:rFonts w:ascii="Arial" w:cs="Arial" w:eastAsia="Arial" w:hAnsi="Arial"/>
                <w:sz w:val="17"/>
                <w:szCs w:val="17"/>
                <w:color w:val="auto"/>
                <w:w w:val="92"/>
              </w:rPr>
              <w:t>plans, net and employee stock purchase</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2840" w:type="dxa"/>
            <w:vAlign w:val="bottom"/>
          </w:tcPr>
          <w:p>
            <w:pPr>
              <w:ind w:left="20"/>
              <w:spacing w:after="0"/>
              <w:rPr>
                <w:sz w:val="20"/>
                <w:szCs w:val="20"/>
                <w:color w:val="auto"/>
              </w:rPr>
            </w:pPr>
            <w:r>
              <w:rPr>
                <w:rFonts w:ascii="Arial" w:cs="Arial" w:eastAsia="Arial" w:hAnsi="Arial"/>
                <w:sz w:val="17"/>
                <w:szCs w:val="17"/>
                <w:color w:val="auto"/>
              </w:rPr>
              <w:t>plan</w:t>
            </w: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4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w w:val="98"/>
              </w:rPr>
              <w:t>Dividends on common stock (0.03 per</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55"/>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July 31, 2022</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$ 1,751.0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$ 6,519.4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(715.6)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7,083.1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Stockholders' Equity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3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Shares</w:t>
            </w:r>
          </w:p>
        </w:tc>
        <w:tc>
          <w:tcPr>
            <w:tcW w:w="138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80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840" w:type="dxa"/>
            <w:vAlign w:val="bottom"/>
            <w:gridSpan w:val="2"/>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7"/>
                <w:szCs w:val="7"/>
                <w:color w:val="auto"/>
              </w:rPr>
            </w:pPr>
          </w:p>
        </w:tc>
        <w:tc>
          <w:tcPr>
            <w:tcW w:w="106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center"/>
              <w:ind w:right="96"/>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November 1, 2022</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$ 1,765.5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$ 6,584.9</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 (714.5)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7,174.7</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84.6</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84.6</w:t>
            </w:r>
          </w:p>
        </w:tc>
        <w:tc>
          <w:tcPr>
            <w:tcW w:w="0" w:type="dxa"/>
            <w:vAlign w:val="bottom"/>
          </w:tcPr>
          <w:p>
            <w:pPr>
              <w:spacing w:after="0"/>
              <w:rPr>
                <w:sz w:val="1"/>
                <w:szCs w:val="1"/>
                <w:color w:val="auto"/>
              </w:rPr>
            </w:pPr>
          </w:p>
        </w:tc>
      </w:tr>
      <w:tr>
        <w:trPr>
          <w:trHeight w:val="178"/>
        </w:trPr>
        <w:tc>
          <w:tcPr>
            <w:tcW w:w="280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color w:val="auto"/>
                <w:w w:val="91"/>
              </w:rPr>
              <w:t>Other comprehensive income (loss), net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20"/>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 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20"/>
              <w:spacing w:after="0" w:line="172" w:lineRule="exact"/>
              <w:rPr>
                <w:sz w:val="20"/>
                <w:szCs w:val="20"/>
                <w:color w:val="auto"/>
              </w:rPr>
            </w:pPr>
            <w:r>
              <w:rPr>
                <w:rFonts w:ascii="Arial" w:cs="Arial" w:eastAsia="Arial" w:hAnsi="Arial"/>
                <w:sz w:val="17"/>
                <w:szCs w:val="17"/>
                <w:color w:val="auto"/>
              </w:rPr>
              <w:t>Issuance of common stock for 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7"/>
                <w:szCs w:val="17"/>
                <w:color w:val="auto"/>
                <w:w w:val="90"/>
              </w:rPr>
              <w:t>plans, net and employee stock purchase</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plan</w:t>
            </w: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0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w w:val="93"/>
              </w:rPr>
              <w:t>Dividends on common stock ($0.03 per</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7"/>
                <w:szCs w:val="17"/>
                <w:color w:val="auto"/>
                <w:w w:val="99"/>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29"/>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31, 2023</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$ 1,779.2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(403.8)</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$ 6,668.0</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 (713.3)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7,335.7</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178"/>
        </w:trPr>
        <w:tc>
          <w:tcPr>
            <w:tcW w:w="280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color w:val="auto"/>
                <w:w w:val="91"/>
              </w:rPr>
              <w:t>Other comprehensive income (loss), net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0"/>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 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20"/>
              <w:spacing w:after="0" w:line="172" w:lineRule="exact"/>
              <w:rPr>
                <w:sz w:val="20"/>
                <w:szCs w:val="20"/>
                <w:color w:val="auto"/>
              </w:rPr>
            </w:pPr>
            <w:r>
              <w:rPr>
                <w:rFonts w:ascii="Arial" w:cs="Arial" w:eastAsia="Arial" w:hAnsi="Arial"/>
                <w:sz w:val="17"/>
                <w:szCs w:val="17"/>
                <w:color w:val="auto"/>
              </w:rPr>
              <w:t>Issuance of common stock for 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7"/>
                <w:szCs w:val="17"/>
                <w:color w:val="auto"/>
                <w:w w:val="90"/>
              </w:rPr>
              <w:t>plans, net and employee stock purchase</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plan</w:t>
            </w: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Balance at April 30, 2023</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$ 1,800.7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(423.8)</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$ 6,707.8</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3"/>
              </w:rPr>
              <w:t>$ (712.3)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7,378.0</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0" w:type="dxa"/>
            <w:vAlign w:val="bottom"/>
          </w:tcPr>
          <w:p>
            <w:pPr>
              <w:spacing w:after="0"/>
              <w:rPr>
                <w:sz w:val="1"/>
                <w:szCs w:val="1"/>
                <w:color w:val="auto"/>
              </w:rPr>
            </w:pPr>
          </w:p>
        </w:tc>
      </w:tr>
      <w:tr>
        <w:trPr>
          <w:trHeight w:val="171"/>
        </w:trPr>
        <w:tc>
          <w:tcPr>
            <w:tcW w:w="2800" w:type="dxa"/>
            <w:vAlign w:val="bottom"/>
          </w:tcPr>
          <w:p>
            <w:pPr>
              <w:ind w:left="20"/>
              <w:spacing w:after="0" w:line="172" w:lineRule="exact"/>
              <w:rPr>
                <w:sz w:val="20"/>
                <w:szCs w:val="20"/>
                <w:color w:val="auto"/>
              </w:rPr>
            </w:pPr>
            <w:r>
              <w:rPr>
                <w:rFonts w:ascii="Arial" w:cs="Arial" w:eastAsia="Arial" w:hAnsi="Arial"/>
                <w:sz w:val="17"/>
                <w:szCs w:val="17"/>
                <w:color w:val="auto"/>
                <w:w w:val="91"/>
              </w:rPr>
              <w:t>Other comprehensive income (loss), net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of tax</w:t>
            </w: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0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rPr>
              <w:t>Issuance of common stock for stock</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w w:val="90"/>
              </w:rPr>
              <w:t>plans, net and employee stock purchase</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0"/>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20"/>
              <w:spacing w:after="0" w:line="172" w:lineRule="exact"/>
              <w:rPr>
                <w:sz w:val="20"/>
                <w:szCs w:val="20"/>
                <w:color w:val="auto"/>
              </w:rPr>
            </w:pPr>
            <w:r>
              <w:rPr>
                <w:rFonts w:ascii="Arial" w:cs="Arial" w:eastAsia="Arial" w:hAnsi="Arial"/>
                <w:sz w:val="17"/>
                <w:szCs w:val="17"/>
                <w:color w:val="auto"/>
                <w:w w:val="93"/>
              </w:rPr>
              <w:t>Dividends on common stock ($0.03 per</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share)</w:t>
            </w: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7"/>
                <w:szCs w:val="17"/>
                <w:color w:val="auto"/>
              </w:rPr>
              <w:t>Balance at July 31, 2023</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$ 1,817.4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(374.8)</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$ 6,791.6</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3"/>
              </w:rPr>
              <w:t>$ (711.3)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7,528.5</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Nine Months Ended July 31,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2022</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Net income</w:t>
            </w:r>
          </w:p>
        </w:tc>
        <w:tc>
          <w:tcPr>
            <w:tcW w:w="1140" w:type="dxa"/>
            <w:vAlign w:val="bottom"/>
          </w:tcPr>
          <w:p>
            <w:pPr>
              <w:jc w:val="right"/>
              <w:ind w:right="95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209.7</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320.2</w:t>
            </w:r>
          </w:p>
        </w:tc>
      </w:tr>
      <w:tr>
        <w:trPr>
          <w:trHeight w:val="236"/>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257.1</w:t>
            </w: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Settlement of contingent consideration</w:t>
            </w:r>
          </w:p>
        </w:tc>
        <w:tc>
          <w:tcPr>
            <w:tcW w:w="1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(40.7)</w:t>
            </w:r>
          </w:p>
        </w:tc>
      </w:tr>
      <w:tr>
        <w:trPr>
          <w:trHeight w:val="236"/>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 in fair value of contingent consideration</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27"/>
        </w:trPr>
        <w:tc>
          <w:tcPr>
            <w:tcW w:w="7440" w:type="dxa"/>
            <w:vAlign w:val="bottom"/>
          </w:tcPr>
          <w:p>
            <w:pPr>
              <w:ind w:left="360"/>
              <w:spacing w:after="0"/>
              <w:rPr>
                <w:sz w:val="20"/>
                <w:szCs w:val="20"/>
                <w:color w:val="auto"/>
              </w:rPr>
            </w:pPr>
            <w:r>
              <w:rPr>
                <w:rFonts w:ascii="Arial" w:cs="Arial" w:eastAsia="Arial" w:hAnsi="Arial"/>
                <w:sz w:val="17"/>
                <w:szCs w:val="17"/>
                <w:color w:val="auto"/>
              </w:rPr>
              <w:t>Accrual for acquisition termination fee</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changes in operating capital</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2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 non-cash items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561.7</w:t>
            </w:r>
          </w:p>
        </w:tc>
      </w:tr>
      <w:tr>
        <w:trPr>
          <w:trHeight w:val="205"/>
        </w:trPr>
        <w:tc>
          <w:tcPr>
            <w:tcW w:w="744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4"/>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Purchases of property, plant and equipment</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w:t>
            </w: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Acquisitions of businesses and assets, net of cash acquired, and other</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(1,636.5)</w:t>
            </w:r>
          </w:p>
        </w:tc>
      </w:tr>
      <w:tr>
        <w:trPr>
          <w:trHeight w:val="236"/>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sale of interest in a subsidiary</w:t>
            </w:r>
          </w:p>
        </w:tc>
        <w:tc>
          <w:tcPr>
            <w:tcW w:w="1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r>
      <w:tr>
        <w:trPr>
          <w:trHeight w:val="21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activities</w:t>
            </w:r>
          </w:p>
        </w:tc>
        <w:tc>
          <w:tcPr>
            <w:tcW w:w="1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(288.2)</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(1,731.5)</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Proceeds from long-term debt, net of issuance costs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1,652.0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1,499.5</w:t>
            </w:r>
          </w:p>
        </w:tc>
      </w:tr>
      <w:tr>
        <w:trPr>
          <w:trHeight w:val="236"/>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Repayments of long-term debt</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(1,490.4)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(549.6)</w:t>
            </w: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Net (repayments of) proceeds from short-term debt</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462.7</w:t>
            </w:r>
          </w:p>
        </w:tc>
      </w:tr>
      <w:tr>
        <w:trPr>
          <w:trHeight w:val="236"/>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proceeds (payments) related to share-based compensation awards</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Dividends on common stock</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 of common stock</w:t>
            </w:r>
          </w:p>
        </w:tc>
        <w:tc>
          <w:tcPr>
            <w:tcW w:w="1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Issuance of common stock for employee stock purchase plan</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6"/>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Settlement of contingent consideration</w:t>
            </w:r>
          </w:p>
        </w:tc>
        <w:tc>
          <w:tcPr>
            <w:tcW w:w="1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7"/>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(167.4)</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1,327.8</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r>
      <w:tr>
        <w:trPr>
          <w:trHeight w:val="229"/>
        </w:trPr>
        <w:tc>
          <w:tcPr>
            <w:tcW w:w="744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114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246.6</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cash flow information:</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140" w:type="dxa"/>
            <w:vAlign w:val="bottom"/>
          </w:tcPr>
          <w:p>
            <w:pPr>
              <w:jc w:val="right"/>
              <w:ind w:right="95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117.3</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246.3</w:t>
            </w:r>
          </w:p>
        </w:tc>
      </w:tr>
      <w:tr>
        <w:trPr>
          <w:trHeight w:val="236"/>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included in other current assets</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3"/>
        </w:trPr>
        <w:tc>
          <w:tcPr>
            <w:tcW w:w="7440" w:type="dxa"/>
            <w:vAlign w:val="bottom"/>
          </w:tcPr>
          <w:p>
            <w:pPr>
              <w:ind w:left="20"/>
              <w:spacing w:after="0"/>
              <w:rPr>
                <w:sz w:val="20"/>
                <w:szCs w:val="20"/>
                <w:color w:val="auto"/>
              </w:rPr>
            </w:pPr>
            <w:r>
              <w:rPr>
                <w:rFonts w:ascii="Arial" w:cs="Arial" w:eastAsia="Arial" w:hAnsi="Arial"/>
                <w:sz w:val="17"/>
                <w:szCs w:val="17"/>
                <w:color w:val="auto"/>
              </w:rPr>
              <w:t>Total cash, cash equivalents, and restricted cash</w:t>
            </w:r>
          </w:p>
        </w:tc>
        <w:tc>
          <w:tcPr>
            <w:tcW w:w="114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246.6</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 General</w:t>
      </w:r>
    </w:p>
    <w:p>
      <w:pPr>
        <w:spacing w:after="0" w:line="254"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21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2022. The Consolidated Condensed Financial Statements include all adjustments (consisting only of normal recurring adjustments) and accruals necessary in the judgment of management for a fair presentation of the results for the interim periods presented.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54"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There have been no material changes to our significant accounting policies described in our Annual Report on Form 10-K for the fiscal year ended October 31,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w:t>
      </w:r>
    </w:p>
    <w:p>
      <w:pPr>
        <w:spacing w:after="0" w:line="254"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In November 2021, the FASB issued ASU 2021-10, </w:t>
      </w:r>
      <w:r>
        <w:rPr>
          <w:rFonts w:ascii="Arial" w:cs="Arial" w:eastAsia="Arial" w:hAnsi="Arial"/>
          <w:sz w:val="17"/>
          <w:szCs w:val="17"/>
          <w:i w:val="1"/>
          <w:iCs w:val="1"/>
          <w:color w:val="auto"/>
        </w:rPr>
        <w:t>Government Assistance (Topic 832): Disclosures by Business Entities about Government Assistance</w:t>
      </w:r>
      <w:r>
        <w:rPr>
          <w:rFonts w:ascii="Arial" w:cs="Arial" w:eastAsia="Arial" w:hAnsi="Arial"/>
          <w:sz w:val="17"/>
          <w:szCs w:val="17"/>
          <w:color w:val="auto"/>
        </w:rPr>
        <w:t>. This update requires annual disclosures about transactions with a government that are accounted for by applying a grant or contribution accounting model by analogy. This standard is effective for fiscal years beginning after December 15, 2021, and should be applied either prospectively or retrospectively. Early adoption is permitted. The Company adopted this guidance prospectively on November 1, 2022, and it did not have a material impact on the Consolidated Condensed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848</w:t>
      </w:r>
      <w:r>
        <w:rPr>
          <w:rFonts w:ascii="Arial" w:cs="Arial" w:eastAsia="Arial" w:hAnsi="Arial"/>
          <w:sz w:val="15"/>
          <w:szCs w:val="15"/>
          <w:color w:val="auto"/>
        </w:rPr>
        <w:t xml:space="preserve">): </w:t>
      </w:r>
      <w:r>
        <w:rPr>
          <w:rFonts w:ascii="Arial" w:cs="Arial" w:eastAsia="Arial" w:hAnsi="Arial"/>
          <w:sz w:val="15"/>
          <w:szCs w:val="15"/>
          <w:i w:val="1"/>
          <w:iCs w:val="1"/>
          <w:color w:val="auto"/>
        </w:rPr>
        <w:t>Facilitation of the Effects of Reference Rate Reform on Financial Reporting</w:t>
      </w:r>
    </w:p>
    <w:p>
      <w:pPr>
        <w:spacing w:after="0" w:line="4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and subsequent amendment to the initial guidance: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(collectively, “Topic 848”). Topic 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In December 2022, the FASB issued ASU 2022-06, </w:t>
      </w:r>
      <w:r>
        <w:rPr>
          <w:rFonts w:ascii="Arial" w:cs="Arial" w:eastAsia="Arial" w:hAnsi="Arial"/>
          <w:sz w:val="16"/>
          <w:szCs w:val="16"/>
          <w:i w:val="1"/>
          <w:iCs w:val="1"/>
          <w:color w:val="auto"/>
        </w:rPr>
        <w:t>Reference Rate Reform (Topic 848): Deferral of the Sunset Date</w:t>
      </w:r>
      <w:r>
        <w:rPr>
          <w:rFonts w:ascii="Arial" w:cs="Arial" w:eastAsia="Arial" w:hAnsi="Arial"/>
          <w:sz w:val="16"/>
          <w:szCs w:val="16"/>
          <w:color w:val="auto"/>
        </w:rPr>
        <w:t xml:space="preserve"> </w:t>
      </w:r>
      <w:r>
        <w:rPr>
          <w:rFonts w:ascii="Arial" w:cs="Arial" w:eastAsia="Arial" w:hAnsi="Arial"/>
          <w:sz w:val="16"/>
          <w:szCs w:val="16"/>
          <w:i w:val="1"/>
          <w:iCs w:val="1"/>
          <w:color w:val="auto"/>
        </w:rPr>
        <w:t>of Topic 848</w:t>
      </w:r>
      <w:r>
        <w:rPr>
          <w:rFonts w:ascii="Arial" w:cs="Arial" w:eastAsia="Arial" w:hAnsi="Arial"/>
          <w:sz w:val="16"/>
          <w:szCs w:val="16"/>
          <w:color w:val="auto"/>
        </w:rPr>
        <w:t>. ASU 2022-06 defers the sunset date of Topic 848 from December 31, 2022, to December 31, 2024. Effective February 1, 2023,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transitioned its credit agreements from LIBOR to the Secured Overnight Financing Rate ("SOFR"). The Company adopted this guidance prospectively on February 1, 2023, and it did not have a material impact on the Consolidated Condensed Financial Statements.</w:t>
      </w:r>
    </w:p>
    <w:p>
      <w:pPr>
        <w:spacing w:after="0" w:line="206" w:lineRule="exact"/>
        <w:rPr>
          <w:sz w:val="20"/>
          <w:szCs w:val="20"/>
          <w:color w:val="auto"/>
        </w:rPr>
      </w:pPr>
    </w:p>
    <w:p>
      <w:pPr>
        <w:ind w:right="760"/>
        <w:spacing w:after="0" w:line="274" w:lineRule="auto"/>
        <w:rPr>
          <w:sz w:val="20"/>
          <w:szCs w:val="20"/>
          <w:color w:val="auto"/>
        </w:rPr>
      </w:pPr>
      <w:r>
        <w:rPr>
          <w:rFonts w:ascii="Arial" w:cs="Arial" w:eastAsia="Arial" w:hAnsi="Arial"/>
          <w:sz w:val="17"/>
          <w:szCs w:val="17"/>
          <w:color w:val="auto"/>
        </w:rPr>
        <w:t>No other recently issued accounting pronouncements had or are expected to have a material impact on the Company's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2. Acquisitions and Joint Venture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All acquisitions were funded by cash generated from operations or facility borrowings.</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On November 1, 2022, CooperVision completed the acquisition of a privately-held U.S.-based company that provides a broad portfolio of technologically advanced contact lens products, including scleral and hybrid lenses. The purchase price of the acquisition was $33.0 million. Based upon preliminary valuations, assets acquired primarily comprised $12.6 million of customer relationship related intangibles, $7.6 million of technology, $5.1 million of net assets and $7.7 million of goodwill. The goodwill is not deductible for tax purposes. The purchase price allocation is preliminary, and the Company is in the process of finalizing information primarily related to the effect on taxes and the corresponding impact on goodwill.</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On April 6, 2022, CooperSurgical entered into an asset purchase agreement to acquire Cook Medical's Reproductive Health business, a manufacturer of minimally invasive medical devices focused on the fertility, obstetrics and gynecology markets. The aggregate consideration payable under the agreement was $875.0 million in cash, with $675.0 million payable at the closing and the remaining $200.0 million payable in $50.0 million installments following each of the first, second, third and fourth anniversaries of the closing. During the second quarter of fiscal 2023, CooperSurgical determined that the fulfillment of certain closing conditions related to regulatory approvals was no longer probable and accrued $45.0 million in expenses for a termination fee under the asset purchase agreement. The termination fee is recorded in "selling, general and administrative expense" on the Consolidated Condensed Statements of Income and Comprehensive Income and was paid on August 9, 2023.</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w:t>
      </w:r>
    </w:p>
    <w:p>
      <w:pPr>
        <w:spacing w:after="0" w:line="268"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On January 19, 2021, CooperVision acquired all of the remaining equity interests of SightGlass Vision, Inc. (SGV), a privately-held medical device company that developed spectacle lenses for myopia management. The transaction included potential payments of future consideration that were contingent upon the achievement of the regulatory approval milestone (the regulatory approval payment) and the acquired business reaching certain revenue thresholds over a specified period (the revenue payments). The undiscounted range of the contingent consideration was zero to $139.1 million payable to the other former equity interest owners.</w:t>
      </w:r>
    </w:p>
    <w:p>
      <w:pPr>
        <w:spacing w:after="0" w:line="2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March 2022, the entities amended the terms of the contingent consideration, which resulted in CooperVision paying $42.9 million to the former equity interest owners in exchange for the elimination of the revenue payments to such former equity interest owners. CooperVision recognized a net gain of $12.2 million during fiscal 2022.</w:t>
      </w:r>
    </w:p>
    <w:p>
      <w:pPr>
        <w:spacing w:after="0" w:line="207"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Further, CooperVision and Essilor International SAS (Essilor) executed a Contribution Agreement and a Stock Purchase Agreement (the “Agreements”) in March 2022. Essilor paid CooperVision $52.1 million in exchange for a 50% interest in SGV and their proportionate share of the revenue payments. As part of the Agreements, each party contributed their interest in SGV and $10 million in cash to form a new joint venture. CooperVision then remeasured the fair value of its retained equity investment in the joint venture at $90.0 million which resulted in a $56.9 million gain in Other (income) expense on deconsolidation of SGV in fiscal 2022.</w:t>
      </w:r>
    </w:p>
    <w:p>
      <w:pPr>
        <w:spacing w:after="0" w:line="21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During the nine months ended July 31, 2023, CooperVision determined that approval would not be achieved within the timeline set forth in the contractual terms of the regulatory approval payment and released the remaining $31.8 million contingent consideration liability.</w:t>
      </w:r>
    </w:p>
    <w:p>
      <w:pPr>
        <w:spacing w:after="0" w:line="202"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Further information regarding the joint venture is included in our notes to our consolidated financial statements in our Annual Report on Form 10-K for the fiscal year ended October 31,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gridSpan w:val="4"/>
          </w:tcPr>
          <w:p>
            <w:pPr>
              <w:spacing w:after="0"/>
              <w:rPr>
                <w:sz w:val="20"/>
                <w:szCs w:val="20"/>
                <w:color w:val="auto"/>
              </w:rPr>
            </w:pPr>
            <w:r>
              <w:rPr>
                <w:rFonts w:ascii="Arial" w:cs="Arial" w:eastAsia="Arial" w:hAnsi="Arial"/>
                <w:sz w:val="17"/>
                <w:szCs w:val="17"/>
                <w:b w:val="1"/>
                <w:bCs w:val="1"/>
                <w:color w:val="auto"/>
              </w:rPr>
              <w:t>Note 3. Inventories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18"/>
        </w:trPr>
        <w:tc>
          <w:tcPr>
            <w:tcW w:w="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(In millions)</w:t>
            </w:r>
          </w:p>
        </w:tc>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7"/>
                <w:szCs w:val="17"/>
                <w:b w:val="1"/>
                <w:bCs w:val="1"/>
                <w:color w:val="auto"/>
              </w:rPr>
              <w:t>July 31, 2023</w:t>
            </w:r>
          </w:p>
        </w:tc>
        <w:tc>
          <w:tcPr>
            <w:tcW w:w="180" w:type="dxa"/>
            <w:vAlign w:val="bottom"/>
          </w:tcPr>
          <w:p>
            <w:pPr>
              <w:spacing w:after="0"/>
              <w:rPr>
                <w:sz w:val="24"/>
                <w:szCs w:val="24"/>
                <w:color w:val="auto"/>
              </w:rPr>
            </w:pPr>
          </w:p>
        </w:tc>
        <w:tc>
          <w:tcPr>
            <w:tcW w:w="1560" w:type="dxa"/>
            <w:vAlign w:val="bottom"/>
          </w:tcPr>
          <w:p>
            <w:pPr>
              <w:jc w:val="right"/>
              <w:ind w:right="175"/>
              <w:spacing w:after="0"/>
              <w:rPr>
                <w:sz w:val="20"/>
                <w:szCs w:val="20"/>
                <w:color w:val="auto"/>
              </w:rPr>
            </w:pPr>
            <w:r>
              <w:rPr>
                <w:rFonts w:ascii="Arial" w:cs="Arial" w:eastAsia="Arial" w:hAnsi="Arial"/>
                <w:sz w:val="17"/>
                <w:szCs w:val="17"/>
                <w:b w:val="1"/>
                <w:bCs w:val="1"/>
                <w:color w:val="auto"/>
                <w:w w:val="94"/>
              </w:rPr>
              <w:t>October 31, 2022</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173.7</w:t>
            </w:r>
          </w:p>
        </w:tc>
      </w:tr>
      <w:tr>
        <w:trPr>
          <w:trHeight w:val="223"/>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Arial" w:cs="Arial" w:eastAsia="Arial" w:hAnsi="Arial"/>
                <w:sz w:val="17"/>
                <w:szCs w:val="17"/>
                <w:color w:val="auto"/>
              </w:rPr>
              <w:t>Work-in-process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439.8</w:t>
            </w:r>
          </w:p>
        </w:tc>
      </w:tr>
      <w:tr>
        <w:trPr>
          <w:trHeight w:val="230"/>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Arial" w:cs="Arial" w:eastAsia="Arial" w:hAnsi="Arial"/>
                <w:sz w:val="17"/>
                <w:szCs w:val="17"/>
                <w:color w:val="auto"/>
              </w:rPr>
              <w:t>Total inventories</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89"/>
              </w:rPr>
              <w:t>Note 4. Intangible Assets</w:t>
            </w:r>
          </w:p>
        </w:tc>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2"/>
        </w:trPr>
        <w:tc>
          <w:tcPr>
            <w:tcW w:w="4280" w:type="dxa"/>
            <w:vAlign w:val="bottom"/>
            <w:gridSpan w:val="5"/>
          </w:tcPr>
          <w:p>
            <w:pPr>
              <w:spacing w:after="0"/>
              <w:rPr>
                <w:sz w:val="20"/>
                <w:szCs w:val="20"/>
                <w:color w:val="auto"/>
              </w:rPr>
            </w:pPr>
            <w:r>
              <w:rPr>
                <w:rFonts w:ascii="Arial" w:cs="Arial" w:eastAsia="Arial" w:hAnsi="Arial"/>
                <w:sz w:val="17"/>
                <w:szCs w:val="17"/>
                <w:b w:val="1"/>
                <w:bCs w:val="1"/>
                <w:color w:val="auto"/>
              </w:rPr>
              <w:t>Intangible assets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ind w:left="700"/>
              <w:spacing w:after="0"/>
              <w:rPr>
                <w:sz w:val="20"/>
                <w:szCs w:val="20"/>
                <w:color w:val="auto"/>
              </w:rPr>
            </w:pPr>
            <w:r>
              <w:rPr>
                <w:rFonts w:ascii="Arial" w:cs="Arial" w:eastAsia="Arial" w:hAnsi="Arial"/>
                <w:sz w:val="17"/>
                <w:szCs w:val="17"/>
                <w:b w:val="1"/>
                <w:bCs w:val="1"/>
                <w:color w:val="auto"/>
              </w:rPr>
              <w:t>July 31, 2023</w:t>
            </w:r>
          </w:p>
        </w:tc>
        <w:tc>
          <w:tcPr>
            <w:tcW w:w="140" w:type="dxa"/>
            <w:vAlign w:val="bottom"/>
          </w:tcPr>
          <w:p>
            <w:pPr>
              <w:spacing w:after="0"/>
              <w:rPr>
                <w:sz w:val="24"/>
                <w:szCs w:val="24"/>
                <w:color w:val="auto"/>
              </w:rPr>
            </w:pPr>
          </w:p>
        </w:tc>
        <w:tc>
          <w:tcPr>
            <w:tcW w:w="2340" w:type="dxa"/>
            <w:vAlign w:val="bottom"/>
            <w:gridSpan w:val="5"/>
          </w:tcPr>
          <w:p>
            <w:pPr>
              <w:jc w:val="right"/>
              <w:ind w:right="535"/>
              <w:spacing w:after="0"/>
              <w:rPr>
                <w:sz w:val="20"/>
                <w:szCs w:val="20"/>
                <w:color w:val="auto"/>
              </w:rPr>
            </w:pPr>
            <w:r>
              <w:rPr>
                <w:rFonts w:ascii="Arial" w:cs="Arial" w:eastAsia="Arial" w:hAnsi="Arial"/>
                <w:sz w:val="17"/>
                <w:szCs w:val="17"/>
                <w:b w:val="1"/>
                <w:bCs w:val="1"/>
                <w:color w:val="auto"/>
              </w:rPr>
              <w:t>October 31, 2022</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0"/>
              </w:rPr>
              <w:t>Weighted Average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85"/>
              </w:rPr>
              <w:t>Gross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85"/>
              </w:rPr>
              <w:t>Gross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2"/>
              </w:rPr>
              <w:t>Amortization Period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restart"/>
          </w:tcPr>
          <w:p>
            <w:pPr>
              <w:jc w:val="right"/>
              <w:ind w:right="115"/>
              <w:spacing w:after="0"/>
              <w:rPr>
                <w:sz w:val="20"/>
                <w:szCs w:val="20"/>
                <w:color w:val="auto"/>
              </w:rPr>
            </w:pPr>
            <w:r>
              <w:rPr>
                <w:rFonts w:ascii="Arial" w:cs="Arial" w:eastAsia="Arial" w:hAnsi="Arial"/>
                <w:sz w:val="17"/>
                <w:szCs w:val="17"/>
                <w:b w:val="1"/>
                <w:bCs w:val="1"/>
                <w:color w:val="auto"/>
                <w:w w:val="93"/>
              </w:rPr>
              <w:t>Accumulated</w:t>
            </w:r>
          </w:p>
        </w:tc>
        <w:tc>
          <w:tcPr>
            <w:tcW w:w="100" w:type="dxa"/>
            <w:vAlign w:val="bottom"/>
          </w:tcPr>
          <w:p>
            <w:pPr>
              <w:spacing w:after="0"/>
              <w:rPr>
                <w:sz w:val="3"/>
                <w:szCs w:val="3"/>
                <w:color w:val="auto"/>
              </w:rPr>
            </w:pPr>
          </w:p>
        </w:tc>
        <w:tc>
          <w:tcPr>
            <w:tcW w:w="15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6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(In millions)</w:t>
            </w:r>
          </w:p>
        </w:tc>
        <w:tc>
          <w:tcPr>
            <w:tcW w:w="160" w:type="dxa"/>
            <w:vAlign w:val="bottom"/>
          </w:tcPr>
          <w:p>
            <w:pPr>
              <w:spacing w:after="0"/>
              <w:rPr>
                <w:sz w:val="14"/>
                <w:szCs w:val="14"/>
                <w:color w:val="auto"/>
              </w:rPr>
            </w:pPr>
          </w:p>
        </w:tc>
        <w:tc>
          <w:tcPr>
            <w:tcW w:w="980" w:type="dxa"/>
            <w:vAlign w:val="bottom"/>
          </w:tcPr>
          <w:p>
            <w:pPr>
              <w:jc w:val="center"/>
              <w:ind w:right="75"/>
              <w:spacing w:after="0" w:line="171" w:lineRule="exact"/>
              <w:rPr>
                <w:sz w:val="20"/>
                <w:szCs w:val="20"/>
                <w:color w:val="auto"/>
              </w:rPr>
            </w:pPr>
            <w:r>
              <w:rPr>
                <w:rFonts w:ascii="Arial" w:cs="Arial" w:eastAsia="Arial" w:hAnsi="Arial"/>
                <w:sz w:val="17"/>
                <w:szCs w:val="17"/>
                <w:b w:val="1"/>
                <w:bCs w:val="1"/>
                <w:color w:val="auto"/>
                <w:w w:val="94"/>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71" w:lineRule="exact"/>
              <w:rPr>
                <w:sz w:val="20"/>
                <w:szCs w:val="20"/>
                <w:color w:val="auto"/>
              </w:rPr>
            </w:pPr>
            <w:r>
              <w:rPr>
                <w:rFonts w:ascii="Arial" w:cs="Arial" w:eastAsia="Arial" w:hAnsi="Arial"/>
                <w:sz w:val="17"/>
                <w:szCs w:val="17"/>
                <w:b w:val="1"/>
                <w:bCs w:val="1"/>
                <w:color w:val="auto"/>
                <w:w w:val="94"/>
              </w:rPr>
              <w:t>Carrying</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5"/>
              <w:spacing w:after="0" w:line="155" w:lineRule="exact"/>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60"/>
              <w:spacing w:after="0" w:line="155" w:lineRule="exact"/>
              <w:rPr>
                <w:sz w:val="20"/>
                <w:szCs w:val="20"/>
                <w:color w:val="auto"/>
              </w:rPr>
            </w:pPr>
            <w:r>
              <w:rPr>
                <w:rFonts w:ascii="Arial" w:cs="Arial" w:eastAsia="Arial" w:hAnsi="Arial"/>
                <w:sz w:val="17"/>
                <w:szCs w:val="17"/>
                <w:b w:val="1"/>
                <w:bCs w:val="1"/>
                <w:color w:val="auto"/>
              </w:rPr>
              <w:t>Amortization</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line="155" w:lineRule="exact"/>
              <w:rPr>
                <w:sz w:val="20"/>
                <w:szCs w:val="20"/>
                <w:color w:val="auto"/>
              </w:rPr>
            </w:pPr>
            <w:r>
              <w:rPr>
                <w:rFonts w:ascii="Arial" w:cs="Arial" w:eastAsia="Arial" w:hAnsi="Arial"/>
                <w:sz w:val="17"/>
                <w:szCs w:val="17"/>
                <w:b w:val="1"/>
                <w:bCs w:val="1"/>
                <w:color w:val="auto"/>
                <w:w w:val="93"/>
              </w:rPr>
              <w:t>Amount</w:t>
            </w:r>
          </w:p>
        </w:tc>
        <w:tc>
          <w:tcPr>
            <w:tcW w:w="140" w:type="dxa"/>
            <w:vAlign w:val="bottom"/>
          </w:tcPr>
          <w:p>
            <w:pPr>
              <w:spacing w:after="0"/>
              <w:rPr>
                <w:sz w:val="15"/>
                <w:szCs w:val="15"/>
                <w:color w:val="auto"/>
              </w:rPr>
            </w:pPr>
          </w:p>
        </w:tc>
        <w:tc>
          <w:tcPr>
            <w:tcW w:w="1220" w:type="dxa"/>
            <w:vAlign w:val="bottom"/>
            <w:gridSpan w:val="2"/>
          </w:tcPr>
          <w:p>
            <w:pPr>
              <w:jc w:val="right"/>
              <w:ind w:right="115"/>
              <w:spacing w:after="0" w:line="155" w:lineRule="exact"/>
              <w:rPr>
                <w:sz w:val="20"/>
                <w:szCs w:val="20"/>
                <w:color w:val="auto"/>
              </w:rPr>
            </w:pPr>
            <w:r>
              <w:rPr>
                <w:rFonts w:ascii="Arial" w:cs="Arial" w:eastAsia="Arial" w:hAnsi="Arial"/>
                <w:sz w:val="17"/>
                <w:szCs w:val="17"/>
                <w:b w:val="1"/>
                <w:bCs w:val="1"/>
                <w:color w:val="auto"/>
                <w:w w:val="96"/>
              </w:rPr>
              <w:t>Amortization</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Intangible assets with definite lives: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4"/>
          </w:tcPr>
          <w:p>
            <w:pPr>
              <w:ind w:left="120"/>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1,107.3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332.0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1,092.7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287.0</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26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Composite intangible asset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4"/>
          </w:tcPr>
          <w:p>
            <w:pPr>
              <w:ind w:left="120"/>
              <w:spacing w:after="0"/>
              <w:rPr>
                <w:sz w:val="20"/>
                <w:szCs w:val="20"/>
                <w:color w:val="auto"/>
              </w:rPr>
            </w:pPr>
            <w:r>
              <w:rPr>
                <w:rFonts w:ascii="Arial" w:cs="Arial" w:eastAsia="Arial" w:hAnsi="Arial"/>
                <w:sz w:val="17"/>
                <w:szCs w:val="17"/>
                <w:color w:val="auto"/>
              </w:rPr>
              <w:t>Technology</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317.5</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26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Trademarks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7"/>
                <w:szCs w:val="17"/>
                <w:color w:val="auto"/>
              </w:rPr>
              <w:t>License and distribution rights and 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23.8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1,044.7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color w:val="auto"/>
              </w:rPr>
              <w:t>Less: accumulated amortization and translation</w:t>
            </w: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1,166.3</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1,044.7</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CCEEFF"/>
            </w:tcBorders>
            <w:vMerge w:val="continue"/>
          </w:tcPr>
          <w:p>
            <w:pPr>
              <w:spacing w:after="0"/>
              <w:rPr>
                <w:sz w:val="14"/>
                <w:szCs w:val="14"/>
                <w:color w:val="auto"/>
              </w:rPr>
            </w:pPr>
          </w:p>
        </w:tc>
        <w:tc>
          <w:tcPr>
            <w:tcW w:w="4260" w:type="dxa"/>
            <w:vAlign w:val="bottom"/>
            <w:tcBorders>
              <w:bottom w:val="single" w:sz="8" w:color="CCEEFF"/>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Intangible assets with definite lives, net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4"/>
          </w:tcPr>
          <w:p>
            <w:pPr>
              <w:spacing w:after="0" w:line="229" w:lineRule="exact"/>
              <w:rPr>
                <w:sz w:val="20"/>
                <w:szCs w:val="20"/>
                <w:color w:val="auto"/>
              </w:rPr>
            </w:pPr>
            <w:r>
              <w:rPr>
                <w:rFonts w:ascii="Arial" w:cs="Arial" w:eastAsia="Arial" w:hAnsi="Arial"/>
                <w:sz w:val="17"/>
                <w:szCs w:val="17"/>
                <w:color w:val="auto"/>
              </w:rPr>
              <w:t xml:space="preserve">Intangible assets with indefinite lives, net </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Total other intangibles,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420" w:type="dxa"/>
            <w:vAlign w:val="bottom"/>
            <w:gridSpan w:val="7"/>
          </w:tcPr>
          <w:p>
            <w:pPr>
              <w:spacing w:after="0"/>
              <w:rPr>
                <w:sz w:val="20"/>
                <w:szCs w:val="20"/>
                <w:color w:val="auto"/>
              </w:rPr>
            </w:pPr>
            <w:r>
              <w:rPr>
                <w:rFonts w:ascii="Arial" w:cs="Arial" w:eastAsia="Arial" w:hAnsi="Arial"/>
                <w:sz w:val="22"/>
                <w:szCs w:val="22"/>
                <w:i w:val="1"/>
                <w:iCs w:val="1"/>
                <w:color w:val="auto"/>
                <w:w w:val="94"/>
                <w:vertAlign w:val="superscript"/>
              </w:rPr>
              <w:t>(1)</w:t>
            </w:r>
            <w:r>
              <w:rPr>
                <w:rFonts w:ascii="Arial" w:cs="Arial" w:eastAsia="Arial" w:hAnsi="Arial"/>
                <w:sz w:val="17"/>
                <w:szCs w:val="17"/>
                <w:i w:val="1"/>
                <w:iCs w:val="1"/>
                <w:color w:val="auto"/>
                <w:w w:val="94"/>
              </w:rPr>
              <w:t xml:space="preserve"> Intangible assets with indefinite lives include technology and trademarks.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280" w:type="dxa"/>
            <w:vAlign w:val="bottom"/>
            <w:gridSpan w:val="5"/>
          </w:tcPr>
          <w:p>
            <w:pPr>
              <w:spacing w:after="0"/>
              <w:rPr>
                <w:sz w:val="20"/>
                <w:szCs w:val="20"/>
                <w:color w:val="auto"/>
              </w:rPr>
            </w:pPr>
            <w:r>
              <w:rPr>
                <w:rFonts w:ascii="Arial" w:cs="Arial" w:eastAsia="Arial" w:hAnsi="Arial"/>
                <w:sz w:val="17"/>
                <w:szCs w:val="17"/>
                <w:color w:val="auto"/>
                <w:w w:val="96"/>
              </w:rPr>
              <w:t>Balances include foreign currency translation adjustments.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180" w:type="dxa"/>
            <w:vAlign w:val="bottom"/>
            <w:gridSpan w:val="14"/>
          </w:tcPr>
          <w:p>
            <w:pPr>
              <w:spacing w:after="0"/>
              <w:rPr>
                <w:sz w:val="20"/>
                <w:szCs w:val="20"/>
                <w:color w:val="auto"/>
              </w:rPr>
            </w:pPr>
            <w:r>
              <w:rPr>
                <w:rFonts w:ascii="Arial" w:cs="Arial" w:eastAsia="Arial" w:hAnsi="Arial"/>
                <w:sz w:val="17"/>
                <w:szCs w:val="17"/>
                <w:color w:val="auto"/>
                <w:w w:val="92"/>
              </w:rPr>
              <w:t>As of July 31, 2023, the estimate of future amortization expenses for intangible assets with definite lives is as follows: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Arial" w:cs="Arial" w:eastAsia="Arial" w:hAnsi="Arial"/>
                <w:sz w:val="17"/>
                <w:szCs w:val="17"/>
                <w:b w:val="1"/>
                <w:bCs w:val="1"/>
                <w:color w:val="auto"/>
              </w:rPr>
              <w:t>Fiscal Years: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595"/>
              <w:spacing w:after="0"/>
              <w:rPr>
                <w:sz w:val="20"/>
                <w:szCs w:val="20"/>
                <w:color w:val="auto"/>
              </w:rPr>
            </w:pPr>
            <w:r>
              <w:rPr>
                <w:rFonts w:ascii="Arial" w:cs="Arial" w:eastAsia="Arial" w:hAnsi="Arial"/>
                <w:sz w:val="17"/>
                <w:szCs w:val="17"/>
                <w:b w:val="1"/>
                <w:bCs w:val="1"/>
                <w:color w:val="auto"/>
                <w:w w:val="92"/>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Remainder of 2023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1,049.2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7"/>
                <w:szCs w:val="17"/>
                <w:color w:val="auto"/>
              </w:rPr>
              <w:t>Total remaining amortization for intangible assets with definite lives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1,761.2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Company performed its annual impairment assessment in the third quarter of fiscal 2023 and there was no impairment of goodwill or intangible assets recorded in the nine months ended July 31, 2023. Further information regarding our annual impairment assessment is included in our notes to our consolidated financial statements in our Annual Report on Form 10-K for the fiscal year ended October 31, 2022.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0"/>
              </w:rPr>
              <w:t>Note 5. Financing Arrangements</w:t>
            </w:r>
          </w:p>
        </w:tc>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462"/>
        </w:trPr>
        <w:tc>
          <w:tcPr>
            <w:tcW w:w="7640" w:type="dxa"/>
            <w:vAlign w:val="bottom"/>
            <w:gridSpan w:val="4"/>
          </w:tcPr>
          <w:p>
            <w:pPr>
              <w:spacing w:after="0"/>
              <w:rPr>
                <w:sz w:val="20"/>
                <w:szCs w:val="20"/>
                <w:color w:val="auto"/>
              </w:rPr>
            </w:pPr>
            <w:r>
              <w:rPr>
                <w:rFonts w:ascii="Arial" w:cs="Arial" w:eastAsia="Arial" w:hAnsi="Arial"/>
                <w:sz w:val="17"/>
                <w:szCs w:val="17"/>
                <w:color w:val="auto"/>
              </w:rPr>
              <w:t>The Company had outstanding debt as follows: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63"/>
        </w:trPr>
        <w:tc>
          <w:tcPr>
            <w:tcW w:w="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Arial" w:cs="Arial" w:eastAsia="Arial" w:hAnsi="Arial"/>
                <w:sz w:val="17"/>
                <w:szCs w:val="17"/>
                <w:b w:val="1"/>
                <w:bCs w:val="1"/>
                <w:color w:val="auto"/>
              </w:rPr>
              <w:t>(In millions)</w:t>
            </w:r>
          </w:p>
        </w:tc>
        <w:tc>
          <w:tcPr>
            <w:tcW w:w="26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7"/>
                <w:szCs w:val="17"/>
                <w:b w:val="1"/>
                <w:bCs w:val="1"/>
                <w:color w:val="auto"/>
              </w:rPr>
              <w:t>July 31, 2023</w:t>
            </w:r>
          </w:p>
        </w:tc>
        <w:tc>
          <w:tcPr>
            <w:tcW w:w="180" w:type="dxa"/>
            <w:vAlign w:val="bottom"/>
          </w:tcPr>
          <w:p>
            <w:pPr>
              <w:spacing w:after="0"/>
              <w:rPr>
                <w:sz w:val="24"/>
                <w:szCs w:val="24"/>
                <w:color w:val="auto"/>
              </w:rPr>
            </w:pPr>
          </w:p>
        </w:tc>
        <w:tc>
          <w:tcPr>
            <w:tcW w:w="1560" w:type="dxa"/>
            <w:vAlign w:val="bottom"/>
          </w:tcPr>
          <w:p>
            <w:pPr>
              <w:jc w:val="right"/>
              <w:ind w:right="175"/>
              <w:spacing w:after="0"/>
              <w:rPr>
                <w:sz w:val="20"/>
                <w:szCs w:val="20"/>
                <w:color w:val="auto"/>
              </w:rPr>
            </w:pPr>
            <w:r>
              <w:rPr>
                <w:rFonts w:ascii="Arial" w:cs="Arial" w:eastAsia="Arial" w:hAnsi="Arial"/>
                <w:sz w:val="17"/>
                <w:szCs w:val="17"/>
                <w:b w:val="1"/>
                <w:bCs w:val="1"/>
                <w:color w:val="auto"/>
                <w:w w:val="94"/>
              </w:rPr>
              <w:t>October 31, 2022</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Overdraft and other credit facilities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r>
      <w:tr>
        <w:trPr>
          <w:trHeight w:val="223"/>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Arial" w:cs="Arial" w:eastAsia="Arial" w:hAnsi="Arial"/>
                <w:sz w:val="17"/>
                <w:szCs w:val="17"/>
                <w:color w:val="auto"/>
              </w:rPr>
              <w:t>Term loans</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338.0</w:t>
            </w:r>
          </w:p>
        </w:tc>
      </w:tr>
      <w:tr>
        <w:trPr>
          <w:trHeight w:val="230"/>
        </w:trPr>
        <w:tc>
          <w:tcPr>
            <w:tcW w:w="20" w:type="dxa"/>
            <w:vAlign w:val="bottom"/>
            <w:tcBorders>
              <w:top w:val="single" w:sz="8" w:color="CCEEFF"/>
            </w:tcBorders>
            <w:shd w:val="clear" w:color="auto" w:fill="CCEEFF"/>
          </w:tcPr>
          <w:p>
            <w:pPr>
              <w:spacing w:after="0"/>
              <w:rPr>
                <w:sz w:val="19"/>
                <w:szCs w:val="19"/>
                <w:color w:val="auto"/>
              </w:rPr>
            </w:pPr>
          </w:p>
        </w:tc>
        <w:tc>
          <w:tcPr>
            <w:tcW w:w="7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Short-term debt, excluding financing leases</w:t>
            </w:r>
          </w:p>
        </w:tc>
        <w:tc>
          <w:tcPr>
            <w:tcW w:w="2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395.7</w:t>
            </w:r>
          </w:p>
        </w:tc>
      </w:tr>
      <w:tr>
        <w:trPr>
          <w:trHeight w:val="223"/>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Financing lease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412.6</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Revolving credit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Arial" w:cs="Arial" w:eastAsia="Arial" w:hAnsi="Arial"/>
                <w:sz w:val="17"/>
                <w:szCs w:val="17"/>
                <w:color w:val="auto"/>
              </w:rPr>
              <w:t>Term loans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2,350.0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2,350.0</w:t>
            </w:r>
          </w:p>
        </w:tc>
      </w:tr>
      <w:tr>
        <w:trPr>
          <w:trHeight w:val="236"/>
        </w:trPr>
        <w:tc>
          <w:tcPr>
            <w:tcW w:w="20" w:type="dxa"/>
            <w:vAlign w:val="bottom"/>
            <w:shd w:val="clear" w:color="auto" w:fill="CCEEFF"/>
          </w:tcPr>
          <w:p>
            <w:pPr>
              <w:spacing w:after="0"/>
              <w:rPr>
                <w:sz w:val="20"/>
                <w:szCs w:val="20"/>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3"/>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Less: unamortized debt issuance cost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debt, excluding financing leases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2,347.1</w:t>
            </w:r>
          </w:p>
        </w:tc>
      </w:tr>
      <w:tr>
        <w:trPr>
          <w:trHeight w:val="223"/>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Financing lease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2,350.8</w:t>
            </w:r>
          </w:p>
        </w:tc>
      </w:tr>
      <w:tr>
        <w:trPr>
          <w:trHeight w:val="229"/>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Arial" w:cs="Arial" w:eastAsia="Arial" w:hAnsi="Arial"/>
                <w:sz w:val="17"/>
                <w:szCs w:val="17"/>
                <w:color w:val="auto"/>
              </w:rPr>
              <w:t>Total debt</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2,763.4</w:t>
            </w: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Additional information regarding our indebtedness is included in our notes to our consolidated financial statements in our Annual Report on Form 10-K for the fiscal year ended October 31, 2022, which was filed with the Securities and Exchange Commission on December 9, 2022. The carrying value of the Company's revolving credit facility and term loans approximates fair value based on current market rates (Level 2). As of July 31, 2023, the Company was in compliance with all debt covenants. On February 1, 2023, the Company amended its credit agreements to transition the interest rates applicable to the loans denominated in U.S. Dollars from LIBOR to SOFR, as defined in the credit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Term Loan Agreement</w:t>
      </w:r>
    </w:p>
    <w:p>
      <w:pPr>
        <w:spacing w:after="0" w:line="25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On July 31, 2023, the Company had $1.5 billion outstanding under the 2021 Term Loan Facility and the weighted average interest rate was 6.21%.</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364-Day Term Loan Agreement</w:t>
      </w:r>
    </w:p>
    <w:p>
      <w:pPr>
        <w:spacing w:after="0" w:line="25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November 2, 2021, the Company entered into a 364-day, $840.0 million, term loan agreement by and among the Company, the lenders party thereto and The Bank of Nova Scotia, as administrative agent, which matured on November 1, 2022. The Company used part of the funds to partially repay outstanding borrowings under the 2020 Revolving Credit Facility and for general corporate purposes. The loan was fully repaid by the maturity date.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Revolving Credit and Term Loan Agreement</w:t>
      </w:r>
    </w:p>
    <w:p>
      <w:pPr>
        <w:spacing w:after="0" w:line="254"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Company has an uncommitted option to increase the revolving credit facility or establish a new term loan in an aggregate amount up to $1.605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On July 31, 2023, the Company had $850.0 million outstanding under the 2020 Term Loan Facility and $163.5 million outstanding under the 2020 Revolving Credit Facility. The interest rate on the 2020 Term Loan Facility and the weighted average interest rate on the 2020 Revolving Credit Facility was 6.21% at July 31, 2023.</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6. Income Taxes</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effective tax rates for the three months ended July 31, 2023, and July 31, 2022, were 28.2% and 16.1%, respectively. The effective tax rates for the nine months ended July 31, 2023, and July 31, 2022, were 31.6% and 20.5%, respectively. The increases were primarily due to changes in the geographic composition of pre-tax earnings, an increase in the UK statutory tax rate from 19% to 25%, capitalization of research and experimental expenditures for fiscal 2023 as required by the 2017 Tax Cuts and Jobs Act, and changes in unrecognized tax benefits.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0"/>
              </w:rPr>
              <w:t>Note 7. Earnings Per Share</w:t>
            </w:r>
          </w:p>
        </w:tc>
        <w:tc>
          <w:tcPr>
            <w:tcW w:w="266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Arial" w:cs="Arial" w:eastAsia="Arial" w:hAnsi="Arial"/>
                <w:sz w:val="17"/>
                <w:szCs w:val="17"/>
                <w:b w:val="1"/>
                <w:bCs w:val="1"/>
                <w:color w:val="auto"/>
              </w:rPr>
              <w:t>Periods Ended July 31,</w:t>
            </w: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Arial" w:cs="Arial" w:eastAsia="Arial" w:hAnsi="Arial"/>
                <w:sz w:val="17"/>
                <w:szCs w:val="17"/>
                <w:b w:val="1"/>
                <w:bCs w:val="1"/>
                <w:color w:val="auto"/>
              </w:rPr>
              <w:t>(In millions, except per share amounts)</w:t>
            </w:r>
          </w:p>
        </w:tc>
        <w:tc>
          <w:tcPr>
            <w:tcW w:w="34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80" w:type="dxa"/>
            <w:vAlign w:val="bottom"/>
            <w:tcBorders>
              <w:top w:val="single" w:sz="8" w:color="auto"/>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i w:val="1"/>
                <w:iCs w:val="1"/>
                <w:color w:val="auto"/>
              </w:rPr>
              <w:t>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46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6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Weighted average common shares</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gridSpan w:val="2"/>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40" w:type="dxa"/>
            <w:vAlign w:val="bottom"/>
            <w:gridSpan w:val="3"/>
          </w:tcPr>
          <w:p>
            <w:pPr>
              <w:ind w:left="120"/>
              <w:spacing w:after="0"/>
              <w:rPr>
                <w:sz w:val="20"/>
                <w:szCs w:val="20"/>
                <w:color w:val="auto"/>
              </w:rPr>
            </w:pPr>
            <w:r>
              <w:rPr>
                <w:rFonts w:ascii="Arial" w:cs="Arial" w:eastAsia="Arial" w:hAnsi="Arial"/>
                <w:sz w:val="17"/>
                <w:szCs w:val="17"/>
                <w:color w:val="auto"/>
              </w:rPr>
              <w:t>Basic earnings per share</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7"/>
                <w:szCs w:val="17"/>
                <w:i w:val="1"/>
                <w:iCs w:val="1"/>
                <w:color w:val="auto"/>
              </w:rPr>
              <w:t>Diluted:</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
          </w:tcPr>
          <w:p>
            <w:pPr>
              <w:ind w:left="120"/>
              <w:spacing w:after="0"/>
              <w:rPr>
                <w:sz w:val="20"/>
                <w:szCs w:val="20"/>
                <w:color w:val="auto"/>
              </w:rPr>
            </w:pPr>
            <w:r>
              <w:rPr>
                <w:rFonts w:ascii="Arial" w:cs="Arial" w:eastAsia="Arial" w:hAnsi="Arial"/>
                <w:sz w:val="17"/>
                <w:szCs w:val="17"/>
                <w:color w:val="auto"/>
              </w:rPr>
              <w:t>Weighted average common shares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Effect of dilutive stock plans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ind w:left="120"/>
              <w:spacing w:after="0"/>
              <w:rPr>
                <w:sz w:val="20"/>
                <w:szCs w:val="20"/>
                <w:color w:val="auto"/>
              </w:rPr>
            </w:pPr>
            <w:r>
              <w:rPr>
                <w:rFonts w:ascii="Arial" w:cs="Arial" w:eastAsia="Arial" w:hAnsi="Arial"/>
                <w:sz w:val="17"/>
                <w:szCs w:val="17"/>
                <w:color w:val="auto"/>
              </w:rPr>
              <w:t>Diluted weighted average common shares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Diluted earnings per share</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7"/>
                <w:szCs w:val="17"/>
                <w:b w:val="1"/>
                <w:bCs w:val="1"/>
                <w:color w:val="auto"/>
              </w:rPr>
              <w:t>Periods Ended July 31,</w:t>
            </w:r>
          </w:p>
        </w:tc>
        <w:tc>
          <w:tcPr>
            <w:tcW w:w="2340" w:type="dxa"/>
            <w:vAlign w:val="bottom"/>
            <w:tcBorders>
              <w:bottom w:val="single" w:sz="8" w:color="auto"/>
            </w:tcBorders>
            <w:gridSpan w:val="3"/>
          </w:tcPr>
          <w:p>
            <w:pPr>
              <w:ind w:left="1300"/>
              <w:spacing w:after="0"/>
              <w:rPr>
                <w:sz w:val="20"/>
                <w:szCs w:val="20"/>
                <w:color w:val="auto"/>
              </w:rPr>
            </w:pPr>
            <w:r>
              <w:rPr>
                <w:rFonts w:ascii="Arial" w:cs="Arial" w:eastAsia="Arial" w:hAnsi="Arial"/>
                <w:sz w:val="17"/>
                <w:szCs w:val="17"/>
                <w:b w:val="1"/>
                <w:bCs w:val="1"/>
                <w:color w:val="auto"/>
                <w:w w:val="91"/>
              </w:rPr>
              <w:t>Three Months</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bottom w:val="single" w:sz="8" w:color="auto"/>
            </w:tcBorders>
            <w:gridSpan w:val="3"/>
          </w:tcPr>
          <w:p>
            <w:pPr>
              <w:ind w:left="1320"/>
              <w:spacing w:after="0"/>
              <w:rPr>
                <w:sz w:val="20"/>
                <w:szCs w:val="20"/>
                <w:color w:val="auto"/>
              </w:rPr>
            </w:pPr>
            <w:r>
              <w:rPr>
                <w:rFonts w:ascii="Arial" w:cs="Arial" w:eastAsia="Arial" w:hAnsi="Arial"/>
                <w:sz w:val="17"/>
                <w:szCs w:val="17"/>
                <w:b w:val="1"/>
                <w:bCs w:val="1"/>
                <w:color w:val="auto"/>
                <w:w w:val="92"/>
              </w:rPr>
              <w:t>Nine Months</w:t>
            </w:r>
          </w:p>
        </w:tc>
        <w:tc>
          <w:tcPr>
            <w:tcW w:w="1300" w:type="dxa"/>
            <w:vAlign w:val="bottom"/>
            <w:tcBorders>
              <w:bottom w:val="single" w:sz="8" w:color="auto"/>
            </w:tcBorders>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392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thousands, except exercise prices)</w:t>
            </w:r>
          </w:p>
        </w:tc>
        <w:tc>
          <w:tcPr>
            <w:tcW w:w="1740" w:type="dxa"/>
            <w:vAlign w:val="bottom"/>
          </w:tcPr>
          <w:p>
            <w:pPr>
              <w:jc w:val="right"/>
              <w:ind w:right="615"/>
              <w:spacing w:after="0" w:line="176" w:lineRule="exact"/>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jc w:val="right"/>
              <w:ind w:right="615"/>
              <w:spacing w:after="0" w:line="176"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5"/>
                <w:szCs w:val="15"/>
                <w:color w:val="auto"/>
              </w:rPr>
            </w:pPr>
          </w:p>
        </w:tc>
        <w:tc>
          <w:tcPr>
            <w:tcW w:w="1740" w:type="dxa"/>
            <w:vAlign w:val="bottom"/>
          </w:tcPr>
          <w:p>
            <w:pPr>
              <w:jc w:val="right"/>
              <w:ind w:right="615"/>
              <w:spacing w:after="0" w:line="176"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jc w:val="right"/>
              <w:ind w:right="615"/>
              <w:spacing w:after="0" w:line="176" w:lineRule="exact"/>
              <w:rPr>
                <w:sz w:val="20"/>
                <w:szCs w:val="20"/>
                <w:color w:val="auto"/>
              </w:rPr>
            </w:pPr>
            <w:r>
              <w:rPr>
                <w:rFonts w:ascii="Arial" w:cs="Arial" w:eastAsia="Arial" w:hAnsi="Arial"/>
                <w:sz w:val="17"/>
                <w:szCs w:val="17"/>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272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option shares excluded</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r>
      <w:tr>
        <w:trPr>
          <w:trHeight w:val="223"/>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Exercise prices</w:t>
            </w:r>
          </w:p>
        </w:tc>
        <w:tc>
          <w:tcPr>
            <w:tcW w:w="1740" w:type="dxa"/>
            <w:vAlign w:val="bottom"/>
          </w:tcPr>
          <w:p>
            <w:pPr>
              <w:jc w:val="right"/>
              <w:spacing w:after="0"/>
              <w:rPr>
                <w:sz w:val="20"/>
                <w:szCs w:val="20"/>
                <w:color w:val="auto"/>
              </w:rPr>
            </w:pPr>
            <w:r>
              <w:rPr>
                <w:rFonts w:ascii="Arial" w:cs="Arial" w:eastAsia="Arial" w:hAnsi="Arial"/>
                <w:sz w:val="17"/>
                <w:szCs w:val="17"/>
                <w:color w:val="auto"/>
              </w:rPr>
              <w:t>$329.83 - $406.17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w w:val="89"/>
              </w:rPr>
              <w:t>$304.54 - $406.17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$300.12 - $406.17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w w:val="91"/>
              </w:rPr>
              <w:t>$304.54 - $406.17</w:t>
            </w:r>
          </w:p>
        </w:tc>
      </w:tr>
      <w:tr>
        <w:trPr>
          <w:trHeight w:val="236"/>
        </w:trPr>
        <w:tc>
          <w:tcPr>
            <w:tcW w:w="2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stock units excluded</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8. Share-Based Compensation</w:t>
      </w:r>
    </w:p>
    <w:p>
      <w:pPr>
        <w:spacing w:after="0" w:line="187" w:lineRule="exact"/>
        <w:rPr>
          <w:sz w:val="20"/>
          <w:szCs w:val="20"/>
          <w:color w:val="auto"/>
        </w:rPr>
      </w:pPr>
    </w:p>
    <w:p>
      <w:pPr>
        <w:ind w:right="20"/>
        <w:spacing w:after="0" w:line="207" w:lineRule="exact"/>
        <w:rPr>
          <w:sz w:val="20"/>
          <w:szCs w:val="20"/>
          <w:color w:val="auto"/>
        </w:rPr>
      </w:pPr>
      <w:r>
        <w:rPr>
          <w:rFonts w:ascii="Arial" w:cs="Arial" w:eastAsia="Arial" w:hAnsi="Arial"/>
          <w:sz w:val="17"/>
          <w:szCs w:val="17"/>
          <w:color w:val="auto"/>
        </w:rPr>
        <w:t>The Company has several stock plans that are described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October 31, 2022. The compensation expense and related income tax benefit recognized in our Consolidated Condensed Statements of Income and Comprehensive Income for share-based awards, including the Employee Stock Purchase Plan,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7"/>
                <w:szCs w:val="17"/>
                <w:b w:val="1"/>
                <w:bCs w:val="1"/>
                <w:color w:val="auto"/>
              </w:rPr>
              <w:t>Periods Ended July 31,</w:t>
            </w: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Nine Months</w:t>
            </w:r>
          </w:p>
        </w:tc>
        <w:tc>
          <w:tcPr>
            <w:tcW w:w="1060" w:type="dxa"/>
            <w:vAlign w:val="bottom"/>
            <w:tcBorders>
              <w:bottom w:val="single" w:sz="8" w:color="auto"/>
            </w:tcBorders>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458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 expense</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30"/>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Total share-based compensation expense</w:t>
            </w: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Related income tax benefit</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Long-Term Incentive Plan (2023 Plan)</w:t>
      </w:r>
    </w:p>
    <w:p>
      <w:pPr>
        <w:spacing w:after="0" w:line="26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 March 2023, we received stockholder approval of the 2023 Plan, which replaces the 2007 Long-Term Incentive Plan (2007 Plan). The 2023 Plan authorizes either our Board of Directors, or a designated committee thereof composed of two or more Non-Employee Directors, to grant to eligible individuals up to 1,365,000 shares in the form of specified equity awards including stock options, restricted stock units (RSUs) and performance share units (PSUs), subject to adjustment for future stock splits, stock dividends, expirations, forfeitures, and similar events. In addition, the 2023 Plan includes any shares which were available for issuance under the 2007 Plan at the time of stockholder approval of this plan and shares which become available as a result of the forfeiture or expiration of awards made under the 2007 Plan. The 2023 Plan provides for awards of stock options, RSUs and PSUs on substantially the same terms as the 2007 Plan, described in our Annual Report on Form 10-K for the fiscal year ended October 31, 2022.</w:t>
      </w:r>
    </w:p>
    <w:p>
      <w:pPr>
        <w:spacing w:after="0" w:line="204"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As of July 31, 2023, 1,372,724 shares remained available under the 2023 Plan for future grants. The amount of available shares includes shares which may be distributed under performance shares.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9. Stockholders' Equity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Changes in Accumulated Other Comprehensive Loss: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Foreign Currency</w:t>
            </w:r>
          </w:p>
        </w:tc>
        <w:tc>
          <w:tcPr>
            <w:tcW w:w="100" w:type="dxa"/>
            <w:vAlign w:val="bottom"/>
          </w:tcPr>
          <w:p>
            <w:pPr>
              <w:spacing w:after="0"/>
              <w:rPr>
                <w:sz w:val="16"/>
                <w:szCs w:val="16"/>
                <w:color w:val="auto"/>
              </w:rPr>
            </w:pP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2"/>
              </w:rPr>
              <w:t>Minimum Pension</w:t>
            </w:r>
          </w:p>
        </w:tc>
        <w:tc>
          <w:tcPr>
            <w:tcW w:w="240" w:type="dxa"/>
            <w:vAlign w:val="bottom"/>
          </w:tcPr>
          <w:p>
            <w:pPr>
              <w:spacing w:after="0"/>
              <w:rPr>
                <w:sz w:val="16"/>
                <w:szCs w:val="16"/>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93"/>
              </w:rPr>
              <w:t>Derivative</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millions)</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71" w:lineRule="exact"/>
              <w:rPr>
                <w:sz w:val="20"/>
                <w:szCs w:val="20"/>
                <w:color w:val="auto"/>
              </w:rPr>
            </w:pPr>
            <w:r>
              <w:rPr>
                <w:rFonts w:ascii="Arial" w:cs="Arial" w:eastAsia="Arial" w:hAnsi="Arial"/>
                <w:sz w:val="17"/>
                <w:szCs w:val="17"/>
                <w:b w:val="1"/>
                <w:bCs w:val="1"/>
                <w:color w:val="auto"/>
                <w:w w:val="91"/>
              </w:rPr>
              <w:t>Translation</w:t>
            </w: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ind w:right="5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20"/>
              <w:spacing w:after="0" w:line="155" w:lineRule="exact"/>
              <w:rPr>
                <w:sz w:val="20"/>
                <w:szCs w:val="20"/>
                <w:color w:val="auto"/>
              </w:rPr>
            </w:pPr>
            <w:r>
              <w:rPr>
                <w:rFonts w:ascii="Arial" w:cs="Arial" w:eastAsia="Arial" w:hAnsi="Arial"/>
                <w:sz w:val="17"/>
                <w:szCs w:val="17"/>
                <w:b w:val="1"/>
                <w:bCs w:val="1"/>
                <w:color w:val="auto"/>
                <w:w w:val="91"/>
              </w:rPr>
              <w:t>Adjustment</w:t>
            </w:r>
          </w:p>
        </w:tc>
        <w:tc>
          <w:tcPr>
            <w:tcW w:w="100" w:type="dxa"/>
            <w:vAlign w:val="bottom"/>
          </w:tcPr>
          <w:p>
            <w:pPr>
              <w:spacing w:after="0"/>
              <w:rPr>
                <w:sz w:val="15"/>
                <w:szCs w:val="15"/>
                <w:color w:val="auto"/>
              </w:rPr>
            </w:pPr>
          </w:p>
        </w:tc>
        <w:tc>
          <w:tcPr>
            <w:tcW w:w="1560" w:type="dxa"/>
            <w:vAlign w:val="bottom"/>
            <w:gridSpan w:val="2"/>
          </w:tcPr>
          <w:p>
            <w:pPr>
              <w:jc w:val="center"/>
              <w:ind w:right="220"/>
              <w:spacing w:after="0" w:line="155" w:lineRule="exact"/>
              <w:rPr>
                <w:sz w:val="20"/>
                <w:szCs w:val="20"/>
                <w:color w:val="auto"/>
              </w:rPr>
            </w:pPr>
            <w:r>
              <w:rPr>
                <w:rFonts w:ascii="Arial" w:cs="Arial" w:eastAsia="Arial" w:hAnsi="Arial"/>
                <w:sz w:val="17"/>
                <w:szCs w:val="17"/>
                <w:b w:val="1"/>
                <w:bCs w:val="1"/>
                <w:color w:val="auto"/>
                <w:w w:val="96"/>
              </w:rPr>
              <w:t>Liability</w:t>
            </w:r>
          </w:p>
        </w:tc>
        <w:tc>
          <w:tcPr>
            <w:tcW w:w="240" w:type="dxa"/>
            <w:vAlign w:val="bottom"/>
          </w:tcPr>
          <w:p>
            <w:pPr>
              <w:spacing w:after="0"/>
              <w:rPr>
                <w:sz w:val="15"/>
                <w:szCs w:val="15"/>
                <w:color w:val="auto"/>
              </w:rPr>
            </w:pPr>
          </w:p>
        </w:tc>
        <w:tc>
          <w:tcPr>
            <w:tcW w:w="1460" w:type="dxa"/>
            <w:vAlign w:val="bottom"/>
            <w:gridSpan w:val="2"/>
          </w:tcPr>
          <w:p>
            <w:pPr>
              <w:jc w:val="center"/>
              <w:ind w:right="340"/>
              <w:spacing w:after="0" w:line="155" w:lineRule="exact"/>
              <w:rPr>
                <w:sz w:val="20"/>
                <w:szCs w:val="20"/>
                <w:color w:val="auto"/>
              </w:rPr>
            </w:pPr>
            <w:r>
              <w:rPr>
                <w:rFonts w:ascii="Arial" w:cs="Arial" w:eastAsia="Arial" w:hAnsi="Arial"/>
                <w:sz w:val="17"/>
                <w:szCs w:val="17"/>
                <w:b w:val="1"/>
                <w:bCs w:val="1"/>
                <w:color w:val="auto"/>
                <w:w w:val="90"/>
              </w:rPr>
              <w:t>Instruments</w:t>
            </w: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Gross change in value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effect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Balance at July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(498.6)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Balance at October 31, 2022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(555.0)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94.4</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(466.8)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change in value</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Tax effect</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July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73"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In December 2011, the Company's Board of Directors authorized the 2012 Share Repurchase Program (2012 Program) and through subsequent amendments, the most recent being in March 2017, the total repurchase authorization was increased from $500.0 million to $1.0 billion of the Company's common stock. As of July 31, 2023, $256.4 million remains authorized for repurchase under the 2012 Program.</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July 31, 2023, there were no share repurchases under the 2012 Program.</w:t>
      </w:r>
    </w:p>
    <w:p>
      <w:pPr>
        <w:spacing w:after="0" w:line="169" w:lineRule="exact"/>
        <w:rPr>
          <w:sz w:val="20"/>
          <w:szCs w:val="20"/>
          <w:color w:val="auto"/>
        </w:rPr>
      </w:pPr>
    </w:p>
    <w:p>
      <w:pPr>
        <w:jc w:val="both"/>
        <w:ind w:right="60"/>
        <w:spacing w:after="0" w:line="290" w:lineRule="auto"/>
        <w:rPr>
          <w:sz w:val="20"/>
          <w:szCs w:val="20"/>
          <w:color w:val="auto"/>
        </w:rPr>
      </w:pPr>
      <w:r>
        <w:rPr>
          <w:rFonts w:ascii="Arial" w:cs="Arial" w:eastAsia="Arial" w:hAnsi="Arial"/>
          <w:sz w:val="17"/>
          <w:szCs w:val="17"/>
          <w:color w:val="auto"/>
        </w:rPr>
        <w:t>During the three months ended July 31, 2022, there were no share repurchases under the 2012 Program. During the nine months ended July 31, 2022, the Company repurchased 191.2 thousand shares of its common stock for $78.5 million, at an average purchase price of $410.41 per share.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3"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The Company paid a semiannual dividend of approximately $1.5 million or 3 cents per share, on February 10, 2023, to stockholders of record on January 23, 2023, and approximately $1.5 million or 3 cents per share, on August 11, 2023, to stockholders of record on July 27, 2023. The Company paid a semiannual dividend of approximately $1.5 million or 3 cents per share, on February 9, 2022, to stockholders of record on January 21, 2022 and approximately $1.5 million or 3 cents per share, on August 11, 2022, to stockholders of record on July 27, 2022.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10. Contingencies</w:t>
      </w:r>
    </w:p>
    <w:p>
      <w:pPr>
        <w:spacing w:after="0" w:line="25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 xml:space="preserve">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Legal fees are expensed as incurred.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4"/>
          </w:tcPr>
          <w:p>
            <w:pPr>
              <w:spacing w:after="0"/>
              <w:rPr>
                <w:sz w:val="20"/>
                <w:szCs w:val="20"/>
                <w:color w:val="auto"/>
              </w:rPr>
            </w:pPr>
            <w:r>
              <w:rPr>
                <w:rFonts w:ascii="Arial" w:cs="Arial" w:eastAsia="Arial" w:hAnsi="Arial"/>
                <w:sz w:val="17"/>
                <w:szCs w:val="17"/>
                <w:b w:val="1"/>
                <w:bCs w:val="1"/>
                <w:color w:val="auto"/>
              </w:rPr>
              <w:t>Note 11. Business Segment Information</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820" w:type="dxa"/>
            <w:vAlign w:val="bottom"/>
            <w:gridSpan w:val="8"/>
          </w:tcPr>
          <w:p>
            <w:pPr>
              <w:spacing w:after="0"/>
              <w:rPr>
                <w:sz w:val="20"/>
                <w:szCs w:val="20"/>
                <w:color w:val="auto"/>
              </w:rPr>
            </w:pPr>
            <w:r>
              <w:rPr>
                <w:rFonts w:ascii="Arial" w:cs="Arial" w:eastAsia="Arial" w:hAnsi="Arial"/>
                <w:sz w:val="17"/>
                <w:szCs w:val="17"/>
                <w:color w:val="auto"/>
                <w:w w:val="98"/>
              </w:rPr>
              <w:t>The following tables present revenue and other financial information by reportable segment:</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620" w:type="dxa"/>
            <w:vAlign w:val="bottom"/>
            <w:gridSpan w:val="4"/>
          </w:tcPr>
          <w:p>
            <w:pPr>
              <w:spacing w:after="0"/>
              <w:rPr>
                <w:sz w:val="20"/>
                <w:szCs w:val="20"/>
                <w:color w:val="auto"/>
              </w:rPr>
            </w:pPr>
            <w:r>
              <w:rPr>
                <w:rFonts w:ascii="Arial" w:cs="Arial" w:eastAsia="Arial" w:hAnsi="Arial"/>
                <w:sz w:val="17"/>
                <w:szCs w:val="17"/>
                <w:color w:val="auto"/>
              </w:rPr>
              <w:t>Segment information:</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4600" w:type="dxa"/>
            <w:vAlign w:val="bottom"/>
            <w:gridSpan w:val="3"/>
          </w:tcPr>
          <w:p>
            <w:pPr>
              <w:spacing w:after="0"/>
              <w:rPr>
                <w:sz w:val="20"/>
                <w:szCs w:val="20"/>
                <w:color w:val="auto"/>
              </w:rPr>
            </w:pPr>
            <w:r>
              <w:rPr>
                <w:rFonts w:ascii="Arial" w:cs="Arial" w:eastAsia="Arial" w:hAnsi="Arial"/>
                <w:sz w:val="17"/>
                <w:szCs w:val="17"/>
                <w:b w:val="1"/>
                <w:bCs w:val="1"/>
                <w:color w:val="auto"/>
              </w:rPr>
              <w:t>Periods Ended July 31,</w:t>
            </w: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0" w:type="dxa"/>
            <w:vAlign w:val="bottom"/>
            <w:gridSpan w:val="3"/>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34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CooperVision net sales by category: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3"/>
          </w:tcPr>
          <w:p>
            <w:pPr>
              <w:ind w:left="660"/>
              <w:spacing w:after="0"/>
              <w:rPr>
                <w:sz w:val="20"/>
                <w:szCs w:val="20"/>
                <w:color w:val="auto"/>
              </w:rPr>
            </w:pPr>
            <w:r>
              <w:rPr>
                <w:rFonts w:ascii="Arial" w:cs="Arial" w:eastAsia="Arial" w:hAnsi="Arial"/>
                <w:sz w:val="17"/>
                <w:szCs w:val="17"/>
                <w:color w:val="auto"/>
              </w:rPr>
              <w:t>Toric lens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215.7</w:t>
            </w:r>
          </w:p>
        </w:tc>
        <w:tc>
          <w:tcPr>
            <w:tcW w:w="100" w:type="dxa"/>
            <w:vAlign w:val="bottom"/>
          </w:tcPr>
          <w:p>
            <w:pPr>
              <w:spacing w:after="0"/>
              <w:rPr>
                <w:sz w:val="19"/>
                <w:szCs w:val="19"/>
                <w:color w:val="auto"/>
              </w:rPr>
            </w:pPr>
          </w:p>
        </w:tc>
        <w:tc>
          <w:tcPr>
            <w:tcW w:w="540" w:type="dxa"/>
            <w:vAlign w:val="bottom"/>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185.9</w:t>
            </w:r>
          </w:p>
        </w:tc>
        <w:tc>
          <w:tcPr>
            <w:tcW w:w="14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611.8</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553.7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660"/>
              <w:spacing w:after="0"/>
              <w:rPr>
                <w:sz w:val="20"/>
                <w:szCs w:val="20"/>
                <w:color w:val="auto"/>
              </w:rPr>
            </w:pPr>
            <w:r>
              <w:rPr>
                <w:rFonts w:ascii="Arial" w:cs="Arial" w:eastAsia="Arial" w:hAnsi="Arial"/>
                <w:sz w:val="17"/>
                <w:szCs w:val="17"/>
                <w:color w:val="auto"/>
              </w:rPr>
              <w:t>Multifocal lens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3"/>
          </w:tcPr>
          <w:p>
            <w:pPr>
              <w:ind w:left="660"/>
              <w:spacing w:after="0"/>
              <w:rPr>
                <w:sz w:val="20"/>
                <w:szCs w:val="20"/>
                <w:color w:val="auto"/>
              </w:rPr>
            </w:pPr>
            <w:r>
              <w:rPr>
                <w:rFonts w:ascii="Arial" w:cs="Arial" w:eastAsia="Arial" w:hAnsi="Arial"/>
                <w:sz w:val="17"/>
                <w:szCs w:val="17"/>
                <w:color w:val="auto"/>
              </w:rPr>
              <w:t>Single-use sphere lens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163.8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491.9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660"/>
              <w:spacing w:after="0"/>
              <w:rPr>
                <w:sz w:val="20"/>
                <w:szCs w:val="20"/>
                <w:color w:val="auto"/>
              </w:rPr>
            </w:pPr>
            <w:r>
              <w:rPr>
                <w:rFonts w:ascii="Arial" w:cs="Arial" w:eastAsia="Arial" w:hAnsi="Arial"/>
                <w:sz w:val="17"/>
                <w:szCs w:val="17"/>
                <w:color w:val="auto"/>
              </w:rPr>
              <w:t>Non single-use sphere, other</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441.1</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436.1</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CooperVision net sales</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566.3</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1,800.8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CooperSurgical net sales by category: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3"/>
          </w:tcPr>
          <w:p>
            <w:pPr>
              <w:ind w:left="660"/>
              <w:spacing w:after="0"/>
              <w:rPr>
                <w:sz w:val="20"/>
                <w:szCs w:val="20"/>
                <w:color w:val="auto"/>
              </w:rPr>
            </w:pPr>
            <w:r>
              <w:rPr>
                <w:rFonts w:ascii="Arial" w:cs="Arial" w:eastAsia="Arial" w:hAnsi="Arial"/>
                <w:sz w:val="17"/>
                <w:szCs w:val="17"/>
                <w:color w:val="auto"/>
              </w:rPr>
              <w:t>Office and surgical</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178.4</w:t>
            </w:r>
          </w:p>
        </w:tc>
        <w:tc>
          <w:tcPr>
            <w:tcW w:w="100" w:type="dxa"/>
            <w:vAlign w:val="bottom"/>
          </w:tcPr>
          <w:p>
            <w:pPr>
              <w:spacing w:after="0"/>
              <w:rPr>
                <w:sz w:val="19"/>
                <w:szCs w:val="19"/>
                <w:color w:val="auto"/>
              </w:rPr>
            </w:pPr>
          </w:p>
        </w:tc>
        <w:tc>
          <w:tcPr>
            <w:tcW w:w="540" w:type="dxa"/>
            <w:vAlign w:val="bottom"/>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165.4</w:t>
            </w:r>
          </w:p>
        </w:tc>
        <w:tc>
          <w:tcPr>
            <w:tcW w:w="14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506.6</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455.9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660"/>
              <w:spacing w:after="0"/>
              <w:rPr>
                <w:sz w:val="20"/>
                <w:szCs w:val="20"/>
                <w:color w:val="auto"/>
              </w:rPr>
            </w:pPr>
            <w:r>
              <w:rPr>
                <w:rFonts w:ascii="Arial" w:cs="Arial" w:eastAsia="Arial" w:hAnsi="Arial"/>
                <w:sz w:val="17"/>
                <w:szCs w:val="17"/>
                <w:color w:val="auto"/>
              </w:rPr>
              <w:t>Fertility</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358.7</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322.9</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CooperSurgical net sales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778.8</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Total net sales</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rPr>
              <w:t>Operating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46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CooperVision</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3"/>
          </w:tcPr>
          <w:p>
            <w:pPr>
              <w:ind w:left="340"/>
              <w:spacing w:after="0"/>
              <w:rPr>
                <w:sz w:val="20"/>
                <w:szCs w:val="20"/>
                <w:color w:val="auto"/>
              </w:rPr>
            </w:pPr>
            <w:r>
              <w:rPr>
                <w:rFonts w:ascii="Arial" w:cs="Arial" w:eastAsia="Arial" w:hAnsi="Arial"/>
                <w:sz w:val="17"/>
                <w:szCs w:val="17"/>
                <w:color w:val="auto"/>
              </w:rPr>
              <w:t>CooperSurgical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Corporate</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7"/>
                <w:szCs w:val="17"/>
                <w:color w:val="auto"/>
              </w:rPr>
              <w:t>Total operating income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140.6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404.1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Other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Arial" w:cs="Arial" w:eastAsia="Arial" w:hAnsi="Arial"/>
                <w:sz w:val="17"/>
                <w:szCs w:val="17"/>
                <w:b w:val="1"/>
                <w:bCs w:val="1"/>
                <w:color w:val="auto"/>
              </w:rPr>
              <w:t>July 31, 2023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75"/>
              <w:spacing w:after="0"/>
              <w:rPr>
                <w:sz w:val="20"/>
                <w:szCs w:val="20"/>
                <w:color w:val="auto"/>
              </w:rPr>
            </w:pPr>
            <w:r>
              <w:rPr>
                <w:rFonts w:ascii="Arial" w:cs="Arial" w:eastAsia="Arial" w:hAnsi="Arial"/>
                <w:sz w:val="17"/>
                <w:szCs w:val="17"/>
                <w:b w:val="1"/>
                <w:bCs w:val="1"/>
                <w:color w:val="auto"/>
                <w:w w:val="94"/>
              </w:rPr>
              <w:t>October 31, 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identifiable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Arial" w:cs="Arial" w:eastAsia="Arial" w:hAnsi="Arial"/>
                <w:sz w:val="17"/>
                <w:szCs w:val="17"/>
                <w:color w:val="auto"/>
              </w:rPr>
              <w:t>CooperVision</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7,042.4</w:t>
            </w:r>
          </w:p>
        </w:tc>
        <w:tc>
          <w:tcPr>
            <w:tcW w:w="16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6,778.9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CooperSurgical</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4,392.9</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4,407.8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Corporate</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262.0</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305.6</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11,697.3</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rPr>
              <w:t>Geographic information:</w:t>
            </w: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45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Periods Ended July 31,</w:t>
            </w: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780"/>
              <w:spacing w:after="0"/>
              <w:rPr>
                <w:sz w:val="20"/>
                <w:szCs w:val="20"/>
                <w:color w:val="auto"/>
              </w:rPr>
            </w:pPr>
            <w:r>
              <w:rPr>
                <w:rFonts w:ascii="Arial" w:cs="Arial" w:eastAsia="Arial" w:hAnsi="Arial"/>
                <w:sz w:val="17"/>
                <w:szCs w:val="17"/>
                <w:b w:val="1"/>
                <w:bCs w:val="1"/>
                <w:color w:val="auto"/>
                <w:w w:val="98"/>
              </w:rPr>
              <w:t>Three Months</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6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340" w:type="dxa"/>
            <w:vAlign w:val="bottom"/>
          </w:tcPr>
          <w:p>
            <w:pPr>
              <w:spacing w:after="0"/>
              <w:rPr>
                <w:sz w:val="15"/>
                <w:szCs w:val="15"/>
                <w:color w:val="auto"/>
              </w:rPr>
            </w:pPr>
          </w:p>
        </w:tc>
        <w:tc>
          <w:tcPr>
            <w:tcW w:w="1220" w:type="dxa"/>
            <w:vAlign w:val="bottom"/>
          </w:tcPr>
          <w:p>
            <w:pPr>
              <w:ind w:left="260"/>
              <w:spacing w:after="0" w:line="176" w:lineRule="exact"/>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275"/>
              <w:spacing w:after="0" w:line="176" w:lineRule="exact"/>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95"/>
              <w:spacing w:after="0" w:line="176" w:lineRule="exact"/>
              <w:rPr>
                <w:sz w:val="20"/>
                <w:szCs w:val="20"/>
                <w:color w:val="auto"/>
              </w:rPr>
            </w:pPr>
            <w:r>
              <w:rPr>
                <w:rFonts w:ascii="Arial" w:cs="Arial" w:eastAsia="Arial" w:hAnsi="Arial"/>
                <w:sz w:val="17"/>
                <w:szCs w:val="17"/>
                <w:b w:val="1"/>
                <w:bCs w:val="1"/>
                <w:color w:val="auto"/>
              </w:rPr>
              <w:t>2023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 to unaffiliated customers by country of domicile: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ind w:left="660"/>
              <w:spacing w:after="0"/>
              <w:rPr>
                <w:sz w:val="20"/>
                <w:szCs w:val="20"/>
                <w:color w:val="auto"/>
              </w:rPr>
            </w:pPr>
            <w:r>
              <w:rPr>
                <w:rFonts w:ascii="Arial" w:cs="Arial" w:eastAsia="Arial" w:hAnsi="Arial"/>
                <w:sz w:val="17"/>
                <w:szCs w:val="17"/>
                <w:color w:val="auto"/>
              </w:rPr>
              <w:t>United States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Pr>
          <w:p>
            <w:pPr>
              <w:ind w:left="760"/>
              <w:spacing w:after="0"/>
              <w:rPr>
                <w:sz w:val="20"/>
                <w:szCs w:val="20"/>
                <w:color w:val="auto"/>
              </w:rPr>
            </w:pPr>
            <w:r>
              <w:rPr>
                <w:rFonts w:ascii="Arial" w:cs="Arial" w:eastAsia="Arial" w:hAnsi="Arial"/>
                <w:sz w:val="17"/>
                <w:szCs w:val="17"/>
                <w:color w:val="auto"/>
              </w:rPr>
              <w:t>462.5</w:t>
            </w:r>
          </w:p>
        </w:tc>
        <w:tc>
          <w:tcPr>
            <w:tcW w:w="140" w:type="dxa"/>
            <w:vAlign w:val="bottom"/>
          </w:tcPr>
          <w:p>
            <w:pPr>
              <w:spacing w:after="0"/>
              <w:rPr>
                <w:sz w:val="19"/>
                <w:szCs w:val="19"/>
                <w:color w:val="auto"/>
              </w:rPr>
            </w:pPr>
          </w:p>
        </w:tc>
        <w:tc>
          <w:tcPr>
            <w:tcW w:w="540" w:type="dxa"/>
            <w:vAlign w:val="bottom"/>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418.0</w:t>
            </w:r>
          </w:p>
        </w:tc>
        <w:tc>
          <w:tcPr>
            <w:tcW w:w="14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1,340.4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1,202.1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Europe</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279.7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777.4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ind w:left="660"/>
              <w:spacing w:after="0"/>
              <w:rPr>
                <w:sz w:val="20"/>
                <w:szCs w:val="20"/>
                <w:color w:val="auto"/>
              </w:rPr>
            </w:pPr>
            <w:r>
              <w:rPr>
                <w:rFonts w:ascii="Arial" w:cs="Arial" w:eastAsia="Arial" w:hAnsi="Arial"/>
                <w:sz w:val="17"/>
                <w:szCs w:val="17"/>
                <w:color w:val="auto"/>
              </w:rPr>
              <w:t>Rest of world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188.0</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169.1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548.3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508.3</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930.2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843.4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2,666.1</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58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26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7"/>
                <w:szCs w:val="17"/>
                <w:b w:val="1"/>
                <w:bCs w:val="1"/>
                <w:color w:val="auto"/>
              </w:rPr>
              <w:t>July 31, 2023</w:t>
            </w:r>
          </w:p>
        </w:tc>
        <w:tc>
          <w:tcPr>
            <w:tcW w:w="180" w:type="dxa"/>
            <w:vAlign w:val="bottom"/>
          </w:tcPr>
          <w:p>
            <w:pPr>
              <w:spacing w:after="0"/>
              <w:rPr>
                <w:sz w:val="16"/>
                <w:szCs w:val="16"/>
                <w:color w:val="auto"/>
              </w:rPr>
            </w:pPr>
          </w:p>
        </w:tc>
        <w:tc>
          <w:tcPr>
            <w:tcW w:w="1560" w:type="dxa"/>
            <w:vAlign w:val="bottom"/>
          </w:tcPr>
          <w:p>
            <w:pPr>
              <w:jc w:val="right"/>
              <w:ind w:right="175"/>
              <w:spacing w:after="0"/>
              <w:rPr>
                <w:sz w:val="20"/>
                <w:szCs w:val="20"/>
                <w:color w:val="auto"/>
              </w:rPr>
            </w:pPr>
            <w:r>
              <w:rPr>
                <w:rFonts w:ascii="Arial" w:cs="Arial" w:eastAsia="Arial" w:hAnsi="Arial"/>
                <w:sz w:val="17"/>
                <w:szCs w:val="17"/>
                <w:b w:val="1"/>
                <w:bCs w:val="1"/>
                <w:color w:val="auto"/>
                <w:w w:val="94"/>
              </w:rPr>
              <w:t>October 31, 2022</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property, plant and equipment by country of domicile: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660"/>
              <w:spacing w:after="0"/>
              <w:rPr>
                <w:sz w:val="20"/>
                <w:szCs w:val="20"/>
                <w:color w:val="auto"/>
              </w:rPr>
            </w:pPr>
            <w:r>
              <w:rPr>
                <w:rFonts w:ascii="Arial" w:cs="Arial" w:eastAsia="Arial" w:hAnsi="Arial"/>
                <w:sz w:val="17"/>
                <w:szCs w:val="17"/>
                <w:color w:val="auto"/>
              </w:rPr>
              <w:t>United States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926.6</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856.1</w:t>
            </w:r>
          </w:p>
        </w:tc>
      </w:tr>
      <w:tr>
        <w:trPr>
          <w:trHeight w:val="236"/>
        </w:trPr>
        <w:tc>
          <w:tcPr>
            <w:tcW w:w="20" w:type="dxa"/>
            <w:vAlign w:val="bottom"/>
            <w:shd w:val="clear" w:color="auto" w:fill="CCEEFF"/>
          </w:tcPr>
          <w:p>
            <w:pPr>
              <w:spacing w:after="0"/>
              <w:rPr>
                <w:sz w:val="20"/>
                <w:szCs w:val="20"/>
                <w:color w:val="auto"/>
              </w:rPr>
            </w:pPr>
          </w:p>
        </w:tc>
        <w:tc>
          <w:tcPr>
            <w:tcW w:w="75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Europe</w:t>
            </w: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310.8</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660"/>
              <w:spacing w:after="0"/>
              <w:rPr>
                <w:sz w:val="20"/>
                <w:szCs w:val="20"/>
                <w:color w:val="auto"/>
              </w:rPr>
            </w:pPr>
            <w:r>
              <w:rPr>
                <w:rFonts w:ascii="Arial" w:cs="Arial" w:eastAsia="Arial" w:hAnsi="Arial"/>
                <w:sz w:val="17"/>
                <w:szCs w:val="17"/>
                <w:color w:val="auto"/>
              </w:rPr>
              <w:t>Rest of world</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266.0</w:t>
            </w: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1,535.0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12. Financial Derivatives and Hedging</w:t>
      </w:r>
    </w:p>
    <w:p>
      <w:pPr>
        <w:spacing w:after="0" w:line="25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As of July 31, 2023, the Company has six interest rate swap contracts that have a total notional amount of $1.3 billion and remaining maturities of four years or less. The interest rate swap contracts are fair valued by netting discounted future fixed cash payments and the discounted expected variable cash receipts, which are estimated based on observable market interest rate curves (Level 2). The fair value of the interest rate swap contracts are classified in "Other assets" on our Consolidated Condensed Balance Sheets.</w:t>
      </w:r>
    </w:p>
    <w:p>
      <w:pPr>
        <w:spacing w:after="0" w:line="13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From time to time, the Company enters into foreign currency forward contracts to minimize the short-term impact of foreign currency exchange rate fluctuations on certain trade and intercompany receivables and payables. These foreign currency forward contracts are not designated as hedging instruments, and therefore the net change in their fair value is reported as a gain or loss in the Consolidated Condensed Statements of Income and Comprehensive Income. As of July 31, 2023, the notional amount of outstanding foreign currency forward contracts was $97.5 million. The resulting impact on our consolidated financial statement from currency hedging activities was not significant for the three and nine months ended July 31, 2023, and July 31, 2022.</w:t>
      </w:r>
    </w:p>
    <w:p>
      <w:pPr>
        <w:spacing w:after="0" w:line="119"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The following table summarizes the amounts recognized with respect to our derivative instruments within the accompanying Consolidated Condensed Statements of Income and Comprehensive Income: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7"/>
                <w:szCs w:val="17"/>
                <w:b w:val="1"/>
                <w:bCs w:val="1"/>
                <w:color w:val="auto"/>
              </w:rPr>
              <w:t>Periods Ended July 31,</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w:t>
            </w:r>
          </w:p>
        </w:tc>
        <w:tc>
          <w:tcPr>
            <w:tcW w:w="240" w:type="dxa"/>
            <w:vAlign w:val="bottom"/>
          </w:tcPr>
          <w:p>
            <w:pPr>
              <w:spacing w:after="0"/>
              <w:rPr>
                <w:sz w:val="20"/>
                <w:szCs w:val="20"/>
                <w:color w:val="auto"/>
              </w:rPr>
            </w:pPr>
          </w:p>
        </w:tc>
        <w:tc>
          <w:tcPr>
            <w:tcW w:w="2000" w:type="dxa"/>
            <w:vAlign w:val="bottom"/>
            <w:gridSpan w:val="4"/>
          </w:tcPr>
          <w:p>
            <w:pPr>
              <w:ind w:left="400"/>
              <w:spacing w:after="0"/>
              <w:rPr>
                <w:sz w:val="20"/>
                <w:szCs w:val="20"/>
                <w:color w:val="auto"/>
              </w:rPr>
            </w:pPr>
            <w:r>
              <w:rPr>
                <w:rFonts w:ascii="Arial" w:cs="Arial" w:eastAsia="Arial" w:hAnsi="Arial"/>
                <w:sz w:val="17"/>
                <w:szCs w:val="17"/>
                <w:b w:val="1"/>
                <w:bCs w:val="1"/>
                <w:color w:val="auto"/>
              </w:rPr>
              <w:t>Nine Months</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(In millions)</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b w:val="1"/>
                <w:bCs w:val="1"/>
                <w:color w:val="auto"/>
                <w:w w:val="92"/>
              </w:rPr>
              <w:t>Derivatives designated as cash flow hedges</w:t>
            </w:r>
          </w:p>
        </w:tc>
        <w:tc>
          <w:tcPr>
            <w:tcW w:w="3300" w:type="dxa"/>
            <w:vAlign w:val="bottom"/>
            <w:gridSpan w:val="4"/>
            <w:shd w:val="clear" w:color="auto" w:fill="CCEEFF"/>
          </w:tcPr>
          <w:p>
            <w:pPr>
              <w:ind w:left="200"/>
              <w:spacing w:after="0" w:line="160" w:lineRule="exact"/>
              <w:rPr>
                <w:sz w:val="20"/>
                <w:szCs w:val="20"/>
                <w:color w:val="auto"/>
              </w:rPr>
            </w:pPr>
            <w:r>
              <w:rPr>
                <w:rFonts w:ascii="Arial" w:cs="Arial" w:eastAsia="Arial" w:hAnsi="Arial"/>
                <w:sz w:val="17"/>
                <w:szCs w:val="17"/>
                <w:b w:val="1"/>
                <w:bCs w:val="1"/>
                <w:color w:val="auto"/>
                <w:w w:val="97"/>
              </w:rPr>
              <w:t>Location of (Gain)/Loss Recognized on</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CCEEFF"/>
            </w:tcBorders>
            <w:gridSpan w:val="2"/>
            <w:vMerge w:val="continue"/>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8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Derivatives</w:t>
            </w: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Interest rate swap contracts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ind w:left="380"/>
              <w:spacing w:after="0"/>
              <w:rPr>
                <w:sz w:val="20"/>
                <w:szCs w:val="20"/>
                <w:color w:val="auto"/>
              </w:rPr>
            </w:pPr>
            <w:r>
              <w:rPr>
                <w:rFonts w:ascii="Arial" w:cs="Arial" w:eastAsia="Arial" w:hAnsi="Arial"/>
                <w:sz w:val="17"/>
                <w:szCs w:val="17"/>
                <w:color w:val="auto"/>
                <w:w w:val="94"/>
              </w:rPr>
              <w:t>(30.3)</w:t>
            </w:r>
          </w:p>
        </w:tc>
        <w:tc>
          <w:tcPr>
            <w:tcW w:w="1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Periods Ended July 31,</w:t>
            </w: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Nine Months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28"/>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gain</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line="172" w:lineRule="exact"/>
              <w:rPr>
                <w:sz w:val="20"/>
                <w:szCs w:val="20"/>
                <w:color w:val="auto"/>
              </w:rPr>
            </w:pPr>
            <w:r>
              <w:rPr>
                <w:rFonts w:ascii="Arial" w:cs="Arial" w:eastAsia="Arial" w:hAnsi="Arial"/>
                <w:sz w:val="17"/>
                <w:szCs w:val="17"/>
                <w:color w:val="auto"/>
                <w:w w:val="94"/>
              </w:rPr>
              <w:t>Amount recognized in accumulated other comprehensive loss on</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14.6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18"/>
        </w:trPr>
        <w:tc>
          <w:tcPr>
            <w:tcW w:w="4660" w:type="dxa"/>
            <w:vAlign w:val="bottom"/>
          </w:tcPr>
          <w:p>
            <w:pPr>
              <w:ind w:left="20"/>
              <w:spacing w:after="0"/>
              <w:rPr>
                <w:sz w:val="20"/>
                <w:szCs w:val="20"/>
                <w:color w:val="auto"/>
              </w:rPr>
            </w:pPr>
            <w:r>
              <w:rPr>
                <w:rFonts w:ascii="Arial" w:cs="Arial" w:eastAsia="Arial" w:hAnsi="Arial"/>
                <w:sz w:val="17"/>
                <w:szCs w:val="17"/>
                <w:color w:val="auto"/>
              </w:rPr>
              <w:t>interest rate swap contracts, gross</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66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w w:val="94"/>
              </w:rPr>
              <w:t>Amount reclassified from accumulated other comprehensive loss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into earnings, gross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7"/>
                <w:szCs w:val="17"/>
                <w:color w:val="auto"/>
              </w:rPr>
              <w:t>Ending balance gain</w:t>
            </w: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520"/>
        <w:spacing w:after="0" w:line="342" w:lineRule="auto"/>
        <w:rPr>
          <w:sz w:val="20"/>
          <w:szCs w:val="20"/>
          <w:color w:val="auto"/>
        </w:rPr>
      </w:pPr>
      <w:r>
        <w:rPr>
          <w:rFonts w:ascii="Arial" w:cs="Arial" w:eastAsia="Arial" w:hAnsi="Arial"/>
          <w:sz w:val="15"/>
          <w:szCs w:val="15"/>
          <w:color w:val="auto"/>
        </w:rPr>
        <w:t>The amount recognized in other comprehensive income on interest rate swap contracts was $23.8 million and $11.1 million, net of tax, for the three and nine months ended July 31, 2023, respectively, and $(9.8) million and $40.4 million, net of tax, for the three and nine months ended July 31, 2022, respectively.</w:t>
      </w:r>
    </w:p>
    <w:p>
      <w:pPr>
        <w:spacing w:after="0" w:line="156"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The amount reclassified from other comprehensive income into earnings was $(9.2) million and $(23.0) million, net of tax, for the three and nine months ended July 31, 2023, respectively, and $(0.7) million and $1.8 million, net of tax, for the three and nine months ended July 31, 2022, respectively.</w:t>
      </w:r>
    </w:p>
    <w:p>
      <w:pPr>
        <w:spacing w:after="0" w:line="166"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Company expects that $47.9 million recorded as a component of "Accumulated other comprehensive loss" will be realized in the Consolidated Statements of Income and Comprehensive Income over the next twelve months and the amount will vary depending on prevailing interest rates.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Item 2. 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Note numbers refer to “Notes to Consolidated Condensed Financial Statements” in Item 1. Unaudited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impacts of global macroeconomic, health and political conditions; and statements regarding acquisitions (including acquired companies' financial positions, our market position based on acquisitions, product development and business strategies, anticipated cost synergies, expected timing and benefits of pending transactions, and integration of acquired entities or operations, as well as estimates of our and the acquired entities' future expenses, sales and earnings per share) that are forward-looking. In addition, all statements regarding anticipated growth in our revenues, anticipated market conditions, planned product launches, restructuring or business transition expectations, regulatory plans, and expected results of operations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16" w:lineRule="exact"/>
        <w:rPr>
          <w:sz w:val="20"/>
          <w:szCs w:val="20"/>
          <w:color w:val="auto"/>
        </w:rPr>
      </w:pPr>
    </w:p>
    <w:p>
      <w:pPr>
        <w:ind w:left="660" w:right="200" w:hanging="652"/>
        <w:spacing w:after="0" w:line="254"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ind w:left="660" w:right="80" w:hanging="652"/>
        <w:spacing w:after="0" w:line="256"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Russia's invasion of Ukraine and the global response to this invasion on the global economy, European economy, financial markets, energy markets, currency rates and our ability to supply product to, or through, affected countries.</w:t>
      </w:r>
    </w:p>
    <w:p>
      <w:pPr>
        <w:spacing w:after="0" w:line="1" w:lineRule="exact"/>
        <w:rPr>
          <w:rFonts w:ascii="Arial" w:cs="Arial" w:eastAsia="Arial" w:hAnsi="Arial"/>
          <w:sz w:val="17"/>
          <w:szCs w:val="17"/>
          <w:color w:val="auto"/>
        </w:rPr>
      </w:pPr>
    </w:p>
    <w:p>
      <w:pPr>
        <w:ind w:left="660" w:right="680" w:hanging="652"/>
        <w:spacing w:after="0" w:line="248"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substantial and expanding international operations and the challenges of managing an organization spread throughout multiple countries and complying with a variety of legal, compliance and regulatory requirements.</w:t>
      </w:r>
    </w:p>
    <w:p>
      <w:pPr>
        <w:spacing w:after="0" w:line="1" w:lineRule="exact"/>
        <w:rPr>
          <w:rFonts w:ascii="Arial" w:cs="Arial" w:eastAsia="Arial" w:hAnsi="Arial"/>
          <w:sz w:val="17"/>
          <w:szCs w:val="17"/>
          <w:color w:val="auto"/>
        </w:rPr>
      </w:pPr>
    </w:p>
    <w:p>
      <w:pPr>
        <w:ind w:left="660" w:right="460" w:hanging="652"/>
        <w:spacing w:after="0" w:line="248"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Foreign currency exchange rate and interest rate fluctuations including the risk of fluctuations in the value of foreign currencies or interest rates that would decrease our net sales and earnings.</w:t>
      </w:r>
    </w:p>
    <w:p>
      <w:pPr>
        <w:spacing w:after="0" w:line="1" w:lineRule="exact"/>
        <w:rPr>
          <w:rFonts w:ascii="Arial" w:cs="Arial" w:eastAsia="Arial" w:hAnsi="Arial"/>
          <w:sz w:val="17"/>
          <w:szCs w:val="17"/>
          <w:color w:val="auto"/>
        </w:rPr>
      </w:pPr>
    </w:p>
    <w:p>
      <w:pPr>
        <w:ind w:left="660" w:right="20" w:hanging="652"/>
        <w:spacing w:after="0" w:line="256"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existing and future variable rate indebtedness and associated interest expense is impacted by rate increases, which could adversely affect our financial health or limit our ability to borrow additional funds.</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tax laws, examinations by tax authorities, and changes in our geographic composition of income.</w:t>
      </w:r>
    </w:p>
    <w:p>
      <w:pPr>
        <w:spacing w:after="0" w:line="7" w:lineRule="exact"/>
        <w:rPr>
          <w:rFonts w:ascii="Arial" w:cs="Arial" w:eastAsia="Arial" w:hAnsi="Arial"/>
          <w:sz w:val="17"/>
          <w:szCs w:val="17"/>
          <w:color w:val="auto"/>
        </w:rPr>
      </w:pPr>
    </w:p>
    <w:p>
      <w:pPr>
        <w:ind w:left="660" w:right="140" w:hanging="652"/>
        <w:spacing w:after="0" w:line="251"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 w:lineRule="exact"/>
        <w:rPr>
          <w:rFonts w:ascii="Arial" w:cs="Arial" w:eastAsia="Arial" w:hAnsi="Arial"/>
          <w:sz w:val="17"/>
          <w:szCs w:val="17"/>
          <w:color w:val="auto"/>
        </w:rPr>
      </w:pPr>
    </w:p>
    <w:p>
      <w:pPr>
        <w:ind w:left="660" w:hanging="652"/>
        <w:spacing w:after="0" w:line="254"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(GDPR) requirements in Europe, including but not limited to those resulting from data security breaches.</w:t>
      </w:r>
    </w:p>
    <w:p>
      <w:pPr>
        <w:jc w:val="both"/>
        <w:ind w:left="660" w:right="300" w:hanging="652"/>
        <w:spacing w:after="0" w:line="248"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spacing w:after="0" w:line="1" w:lineRule="exact"/>
        <w:rPr>
          <w:rFonts w:ascii="Arial" w:cs="Arial" w:eastAsia="Arial" w:hAnsi="Arial"/>
          <w:sz w:val="17"/>
          <w:szCs w:val="17"/>
          <w:color w:val="auto"/>
        </w:rPr>
      </w:pPr>
    </w:p>
    <w:p>
      <w:pPr>
        <w:ind w:left="660" w:right="180" w:hanging="652"/>
        <w:spacing w:after="0" w:line="254"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ind w:left="660" w:right="200" w:hanging="652"/>
        <w:spacing w:after="0" w:line="248"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Market consolidation of large customers globally through mergers or acquisitions resulting in a larger proportion or concentration of our business being derived from fewer customers.</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Disruptions in supplies of raw materials, particularly components used to manufacture our silicone hydrogel lenses.</w:t>
      </w:r>
    </w:p>
    <w:p>
      <w:pPr>
        <w:spacing w:after="0" w:line="7" w:lineRule="exact"/>
        <w:rPr>
          <w:rFonts w:ascii="Arial" w:cs="Arial" w:eastAsia="Arial" w:hAnsi="Arial"/>
          <w:sz w:val="17"/>
          <w:szCs w:val="17"/>
          <w:color w:val="auto"/>
        </w:rPr>
      </w:pPr>
    </w:p>
    <w:p>
      <w:pPr>
        <w:ind w:left="660" w:right="100" w:hanging="652"/>
        <w:spacing w:after="0" w:line="261"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but not limited to the EU Medical Devices Regulation (MDR) and the EU In Vitro Diagnostic Medical Devices Regulation (IVDR).</w:t>
      </w:r>
    </w:p>
    <w:p>
      <w:pPr>
        <w:spacing w:after="0" w:line="21" w:lineRule="exact"/>
        <w:rPr>
          <w:sz w:val="20"/>
          <w:szCs w:val="20"/>
          <w:color w:val="auto"/>
        </w:rPr>
      </w:pPr>
    </w:p>
    <w:p>
      <w:pPr>
        <w:ind w:left="660" w:hanging="652"/>
        <w:spacing w:after="0" w:line="248"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Legal costs, insurance expenses, settlement costs and the risk of an adverse decision, prohibitive injunction or settlement related to product liability, patent infringement, contractual disputes, or other litigation.</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Limitations on sales following product introductions due to poor market acceptance.</w:t>
      </w:r>
    </w:p>
    <w:p>
      <w:pPr>
        <w:spacing w:after="0" w:line="20" w:lineRule="exact"/>
        <w:rPr>
          <w:rFonts w:ascii="Arial" w:cs="Arial" w:eastAsia="Arial" w:hAnsi="Arial"/>
          <w:sz w:val="17"/>
          <w:szCs w:val="17"/>
          <w:color w:val="auto"/>
        </w:rPr>
      </w:pPr>
    </w:p>
    <w:p>
      <w:pPr>
        <w:ind w:left="660" w:right="360" w:hanging="652"/>
        <w:spacing w:after="0" w:line="248"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New competitors, product innovations or technologies, including but not limited to, technological advances by competitors, new products and patents attained by competitors, and competitors' expansion through acquisitions.</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Reduced sales, loss of customers and costs and expenses related to product recalls and warning letters.</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to receive, or delays in receiving, regulatory approvals or certifications for products.</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payers for our products and services.</w:t>
      </w:r>
    </w:p>
    <w:p>
      <w:pPr>
        <w:spacing w:after="0" w:line="32" w:lineRule="exact"/>
        <w:rPr>
          <w:rFonts w:ascii="Arial" w:cs="Arial" w:eastAsia="Arial" w:hAnsi="Arial"/>
          <w:sz w:val="16"/>
          <w:szCs w:val="16"/>
          <w:color w:val="auto"/>
        </w:rPr>
      </w:pPr>
    </w:p>
    <w:p>
      <w:pPr>
        <w:ind w:left="660" w:right="100" w:hanging="652"/>
        <w:spacing w:after="0" w:line="248"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requirement to provide for a significant liability or to write off, or accelerate depreciation on, a significant asset, including goodwill, other intangible assets and idle manufacturing facilities and equipment.</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success of our research and development activities and other start-up projects.</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Dilution to earnings per share from acquisitions or issuing stock.</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Impact and costs incurred from changes in accounting standards and policies.</w:t>
      </w:r>
    </w:p>
    <w:p>
      <w:pPr>
        <w:spacing w:after="0" w:line="7" w:lineRule="exact"/>
        <w:rPr>
          <w:rFonts w:ascii="Arial" w:cs="Arial" w:eastAsia="Arial" w:hAnsi="Arial"/>
          <w:sz w:val="17"/>
          <w:szCs w:val="17"/>
          <w:color w:val="auto"/>
        </w:rPr>
      </w:pPr>
    </w:p>
    <w:p>
      <w:pPr>
        <w:ind w:left="660" w:right="580" w:hanging="652"/>
        <w:spacing w:after="0" w:line="256"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environmental laws and requirements applicable to our facilities and products, including evolving regulations regarding the use of hazardous substances or chemicals in our products.</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environmental, social and corporate governance (ESG) issues, including those related to climate change and sustainability.</w:t>
      </w:r>
    </w:p>
    <w:p>
      <w:pPr>
        <w:spacing w:after="0" w:line="7" w:lineRule="exact"/>
        <w:rPr>
          <w:rFonts w:ascii="Arial" w:cs="Arial" w:eastAsia="Arial" w:hAnsi="Arial"/>
          <w:sz w:val="17"/>
          <w:szCs w:val="17"/>
          <w:color w:val="auto"/>
        </w:rPr>
      </w:pPr>
    </w:p>
    <w:p>
      <w:pPr>
        <w:ind w:left="660" w:right="20" w:hanging="652"/>
        <w:spacing w:after="0" w:line="323" w:lineRule="auto"/>
        <w:tabs>
          <w:tab w:leader="none" w:pos="652" w:val="left"/>
        </w:tabs>
        <w:numPr>
          <w:ilvl w:val="0"/>
          <w:numId w:val="2"/>
        </w:numPr>
        <w:rPr>
          <w:rFonts w:ascii="Arial" w:cs="Arial" w:eastAsia="Arial" w:hAnsi="Arial"/>
          <w:sz w:val="15"/>
          <w:szCs w:val="15"/>
          <w:color w:val="auto"/>
        </w:rPr>
      </w:pPr>
      <w:r>
        <w:rPr>
          <w:rFonts w:ascii="Arial" w:cs="Arial" w:eastAsia="Arial" w:hAnsi="Arial"/>
          <w:sz w:val="15"/>
          <w:szCs w:val="15"/>
          <w:color w:val="auto"/>
        </w:rPr>
        <w:t>Other events described in our Securities and Exchange Commission filings, including the “Business” and “Risk Factors” sections in our Annual Report on Form 10-K for the fiscal year ended October 31, 2022, as such Risk Factors may be updated in quarterly filings including updates made in this filing.</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4" w:lineRule="exact"/>
        <w:rPr>
          <w:sz w:val="20"/>
          <w:szCs w:val="20"/>
          <w:color w:val="auto"/>
        </w:rPr>
      </w:pPr>
    </w:p>
    <w:p>
      <w:pPr>
        <w:ind w:right="280"/>
        <w:spacing w:after="0" w:line="321" w:lineRule="auto"/>
        <w:rPr>
          <w:sz w:val="20"/>
          <w:szCs w:val="20"/>
          <w:color w:val="auto"/>
        </w:rPr>
      </w:pPr>
      <w:r>
        <w:rPr>
          <w:rFonts w:ascii="Arial" w:cs="Arial" w:eastAsia="Arial" w:hAnsi="Arial"/>
          <w:sz w:val="15"/>
          <w:szCs w:val="15"/>
          <w:color w:val="auto"/>
        </w:rPr>
        <w:t>In this section, we discuss the results of our operations for the third quarter of fiscal 2023 ended July 31, 2023, and compare them with the same period of fiscal 2022. We also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54"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For more information on the risks associated with our global operating environment, refer to Part II, Item 1A "Risk Factors" herein. These risks and uncertainties have adversely affected our sales, cash flow and performance in the past and could further adversely affect our future sales, cash flow and performance.</w:t>
      </w:r>
    </w:p>
    <w:p>
      <w:pPr>
        <w:spacing w:after="0" w:line="202" w:lineRule="exact"/>
        <w:rPr>
          <w:sz w:val="20"/>
          <w:szCs w:val="20"/>
          <w:color w:val="auto"/>
        </w:rPr>
      </w:pPr>
    </w:p>
    <w:p>
      <w:pPr>
        <w:spacing w:after="0" w:line="295" w:lineRule="auto"/>
        <w:rPr>
          <w:sz w:val="20"/>
          <w:szCs w:val="20"/>
          <w:color w:val="auto"/>
        </w:rPr>
      </w:pPr>
      <w:r>
        <w:rPr>
          <w:rFonts w:ascii="Arial" w:cs="Arial" w:eastAsia="Arial" w:hAnsi="Arial"/>
          <w:sz w:val="15"/>
          <w:szCs w:val="15"/>
          <w:i w:val="1"/>
          <w:iCs w:val="1"/>
          <w:color w:val="auto"/>
        </w:rPr>
        <w:t xml:space="preserve">Global Market and Economic Conditions </w:t>
      </w:r>
      <w:r>
        <w:rPr>
          <w:rFonts w:ascii="Arial" w:cs="Arial" w:eastAsia="Arial" w:hAnsi="Arial"/>
          <w:sz w:val="15"/>
          <w:szCs w:val="15"/>
          <w:color w:val="auto"/>
        </w:rPr>
        <w:t>- Over the last few years in the U.S. and globally, market and economic conditions have been challenging, particularly in</w:t>
      </w:r>
      <w:r>
        <w:rPr>
          <w:rFonts w:ascii="Arial" w:cs="Arial" w:eastAsia="Arial" w:hAnsi="Arial"/>
          <w:sz w:val="15"/>
          <w:szCs w:val="15"/>
          <w:i w:val="1"/>
          <w:iCs w:val="1"/>
          <w:color w:val="auto"/>
        </w:rPr>
        <w:t xml:space="preserve"> </w:t>
      </w:r>
      <w:r>
        <w:rPr>
          <w:rFonts w:ascii="Arial" w:cs="Arial" w:eastAsia="Arial" w:hAnsi="Arial"/>
          <w:sz w:val="15"/>
          <w:szCs w:val="15"/>
          <w:color w:val="auto"/>
        </w:rPr>
        <w:t>light of the COVID-19 pandemic. Foreign countries, in particular the Euro zone, have experienced recessionary pressures and face continued concerns about the systemic impacts of adverse economic conditions and geopolitical issues. In addition, changes in economic conditions, supply chain constraints, logistics challenges, labor shortages, the war in Ukraine, and steps taken by governments and central banks, particularly in response to the COVID-19 pandemic, as well as other stimulus and spending programs, have led to higher inflation, which is likely to lead to an increase in costs and may cause changes in fiscal and monetary policy, including increased interest rates. In a higher inflationary environment, we may be unable to raise the prices of our products and services sufficiently to keep up with the increase in our costs. These market and economic conditions could have a material adverse effect on our results of operations and financial condition.</w:t>
      </w:r>
    </w:p>
    <w:p>
      <w:pPr>
        <w:spacing w:after="0" w:line="109"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i w:val="1"/>
          <w:iCs w:val="1"/>
          <w:color w:val="auto"/>
        </w:rPr>
        <w:t xml:space="preserve">CooperVision </w:t>
      </w:r>
      <w:r>
        <w:rPr>
          <w:rFonts w:ascii="Arial" w:cs="Arial" w:eastAsia="Arial" w:hAnsi="Arial"/>
          <w:sz w:val="16"/>
          <w:szCs w:val="16"/>
          <w:color w:val="auto"/>
        </w:rPr>
        <w:t>- We compete in the worldwide contact lens market with our spherical, toric, multifocal, and toric multifocal contact lenses offered in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including those using silicone hydrogel Aquaform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and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CooperVision has U.S. Food and Drug Administration (FDA) approval for its MiSight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lens, which is the first and only FDA-approved</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product indicated to slow the progression of myopia in children with treatment initiated between the ages of 8-12. Further, CooperVision has Chinese National Medical Products Administration (NMPA) approval for its MiSight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lens for use in China. CooperVision is focused on greater worldwide market penetration using recently introduced products, and we continue to expand our presence in existing and emerging markets, including through acquisitions.</w:t>
      </w:r>
    </w:p>
    <w:p>
      <w:pPr>
        <w:spacing w:after="0" w:line="145" w:lineRule="exact"/>
        <w:rPr>
          <w:sz w:val="20"/>
          <w:szCs w:val="20"/>
          <w:color w:val="auto"/>
        </w:rPr>
      </w:pPr>
    </w:p>
    <w:p>
      <w:pPr>
        <w:ind w:right="120"/>
        <w:spacing w:after="0" w:line="221"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MyDay</w:t>
      </w:r>
      <w:r>
        <w:rPr>
          <w:rFonts w:ascii="Arial" w:cs="Arial" w:eastAsia="Arial" w:hAnsi="Arial"/>
          <w:sz w:val="22"/>
          <w:szCs w:val="22"/>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monthly and 2-week modalities. Included in this segment are unique products such as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which helps individuals with digital eye fatigue.</w:t>
      </w:r>
    </w:p>
    <w:p>
      <w:pPr>
        <w:spacing w:after="0" w:line="23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i w:val="1"/>
          <w:iCs w:val="1"/>
          <w:color w:val="auto"/>
        </w:rPr>
        <w:t xml:space="preserve">CooperSurgical - </w:t>
      </w:r>
      <w:r>
        <w:rPr>
          <w:rFonts w:ascii="Arial" w:cs="Arial" w:eastAsia="Arial" w:hAnsi="Arial"/>
          <w:sz w:val="17"/>
          <w:szCs w:val="17"/>
          <w:color w:val="auto"/>
        </w:rPr>
        <w:t>Our CooperSurgical business competes in the general health care market with a commitment to advancing the health of women, babies and</w:t>
      </w:r>
      <w:r>
        <w:rPr>
          <w:rFonts w:ascii="Arial" w:cs="Arial" w:eastAsia="Arial" w:hAnsi="Arial"/>
          <w:sz w:val="17"/>
          <w:szCs w:val="17"/>
          <w:i w:val="1"/>
          <w:iCs w:val="1"/>
          <w:color w:val="auto"/>
        </w:rPr>
        <w:t xml:space="preserve"> </w:t>
      </w:r>
      <w:r>
        <w:rPr>
          <w:rFonts w:ascii="Arial" w:cs="Arial" w:eastAsia="Arial" w:hAnsi="Arial"/>
          <w:sz w:val="17"/>
          <w:szCs w:val="17"/>
          <w:color w:val="auto"/>
        </w:rPr>
        <w:t>families through its diversified portfolio of products and services, including medical devices, fertility, genomics, diagnostics, cryogenic storage, contraception and healthcare technology services. CooperSurgical has established its market presence and distribution system by developing products and acquiring companies, products and services that complement its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1714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120" w:firstLine="8"/>
        <w:spacing w:after="0" w:line="217" w:lineRule="auto"/>
        <w:tabs>
          <w:tab w:leader="none" w:pos="103" w:val="left"/>
        </w:tabs>
        <w:numPr>
          <w:ilvl w:val="0"/>
          <w:numId w:val="3"/>
        </w:numPr>
        <w:rPr>
          <w:rFonts w:ascii="Arial" w:cs="Arial" w:eastAsia="Arial" w:hAnsi="Arial"/>
          <w:sz w:val="23"/>
          <w:szCs w:val="23"/>
          <w:color w:val="auto"/>
          <w:vertAlign w:val="superscript"/>
        </w:rPr>
      </w:pPr>
      <w:r>
        <w:rPr>
          <w:rFonts w:ascii="Arial" w:cs="Arial" w:eastAsia="Arial" w:hAnsi="Arial"/>
          <w:sz w:val="13"/>
          <w:szCs w:val="13"/>
          <w:color w:val="auto"/>
        </w:rPr>
        <w:t>Indications for use of MiSight® 1 day (omafilcon A) soft (hydrophilic) contact lenses for daily wear are indicated for the correction of myopic ametropia and for slowing the progression of myopia in children with non-diseased eyes, who at the initiation of treatment are 8-12 years of age and have a refraction of -0.75 to -4.00 diopters (spherical equivalent) with ≤ 0.75 diopters of astigmatism. The lens is to be discarded after each removal.</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8" w:name="page19"/>
    <w:bookmarkEnd w:id="18"/>
    <w:p>
      <w:pPr>
        <w:jc w:val="center"/>
        <w:ind w:right="-1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w:t>
      </w:r>
    </w:p>
    <w:p>
      <w:pPr>
        <w:spacing w:after="0" w:line="179"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We rely on trademarks to establish a market identity for our products. CooperVision, CooperSurgical, and other trade names, trademarks or service marks of CooperCompanies and its subsidiaries appearing in this report are the property of CooperCompanies and its subsidiaries. Trade names, trademarks and service marks of the other companies appearing in this report are the property of their respective holders.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18415</wp:posOffset>
            </wp:positionV>
            <wp:extent cx="5572125" cy="2177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212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contact lens market has two major product categories:</w:t>
      </w:r>
    </w:p>
    <w:p>
      <w:pPr>
        <w:spacing w:after="0" w:line="16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Spherical lenses, including lenses that correct near- and farsightedness uncomplicated by more complex visual defects; and</w:t>
      </w:r>
    </w:p>
    <w:p>
      <w:pPr>
        <w:spacing w:after="0" w:line="169" w:lineRule="exact"/>
        <w:rPr>
          <w:rFonts w:ascii="Arial" w:cs="Arial" w:eastAsia="Arial" w:hAnsi="Arial"/>
          <w:sz w:val="17"/>
          <w:szCs w:val="17"/>
          <w:color w:val="auto"/>
        </w:rPr>
      </w:pPr>
    </w:p>
    <w:p>
      <w:pPr>
        <w:ind w:left="340" w:hanging="332"/>
        <w:spacing w:after="0" w:line="274"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18415</wp:posOffset>
            </wp:positionV>
            <wp:extent cx="5143500" cy="2451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Single-use spheres </w:t>
      </w:r>
      <w:r>
        <w:rPr>
          <w:rFonts w:ascii="Arial" w:cs="Arial" w:eastAsia="Arial" w:hAnsi="Arial"/>
          <w:sz w:val="17"/>
          <w:szCs w:val="17"/>
          <w:color w:val="auto"/>
        </w:rPr>
        <w:t>– This includes Biomedics 1 day, clariti 1 day, MiSight, MyDay, and Proclear 1 day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Toric </w:t>
      </w:r>
      <w:r>
        <w:rPr>
          <w:rFonts w:ascii="Arial" w:cs="Arial" w:eastAsia="Arial" w:hAnsi="Arial"/>
          <w:sz w:val="17"/>
          <w:szCs w:val="17"/>
          <w:color w:val="auto"/>
        </w:rPr>
        <w:t>– This includes Avaira Vitality toric, Biofinity toric, Biomedics toric, clariti 1 day toric, MyDay toric and Proclear toric</w:t>
      </w:r>
    </w:p>
    <w:p>
      <w:pPr>
        <w:sectPr>
          <w:pgSz w:w="11900" w:h="16838" w:orient="portrait"/>
          <w:cols w:equalWidth="0" w:num="1">
            <w:col w:w="11100"/>
          </w:cols>
          <w:pgMar w:left="320" w:top="36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8" w:right="479" w:bottom="1440" w:gutter="0" w:footer="0" w:header="0"/>
          <w:type w:val="continuous"/>
        </w:sectPr>
      </w:pPr>
    </w:p>
    <w:bookmarkStart w:id="19" w:name="page20"/>
    <w:bookmarkEnd w:id="19"/>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Multifocal </w:t>
      </w:r>
      <w:r>
        <w:rPr>
          <w:rFonts w:ascii="Arial" w:cs="Arial" w:eastAsia="Arial" w:hAnsi="Arial"/>
          <w:sz w:val="17"/>
          <w:szCs w:val="17"/>
          <w:color w:val="auto"/>
        </w:rPr>
        <w:t>– This includes Biofinity multifocal, Biofinity toric multifocal, clariti 1 day multifocal, MyDay multifocal and Proclear 1 day multifocal</w:t>
      </w:r>
    </w:p>
    <w:p>
      <w:pPr>
        <w:spacing w:after="0" w:line="2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b w:val="1"/>
          <w:bCs w:val="1"/>
          <w:color w:val="auto"/>
        </w:rPr>
        <w:t xml:space="preserve">Non single-use sphere, other </w:t>
      </w:r>
      <w:r>
        <w:rPr>
          <w:rFonts w:ascii="Arial" w:cs="Arial" w:eastAsia="Arial" w:hAnsi="Arial"/>
          <w:sz w:val="17"/>
          <w:szCs w:val="17"/>
          <w:color w:val="auto"/>
        </w:rPr>
        <w:t>– This includes our frequent replacement product (FRP) lens portfolio (Avaira Vitality spheres, Biofinity spheres, Biofinity Energys</w:t>
      </w:r>
      <w:r>
        <w:rPr>
          <w:rFonts w:ascii="Arial" w:cs="Arial" w:eastAsia="Arial" w:hAnsi="Arial"/>
          <w:sz w:val="17"/>
          <w:szCs w:val="17"/>
          <w:b w:val="1"/>
          <w:bCs w:val="1"/>
          <w:color w:val="auto"/>
        </w:rPr>
        <w:t xml:space="preserve"> </w:t>
      </w:r>
      <w:r>
        <w:rPr>
          <w:rFonts w:ascii="Arial" w:cs="Arial" w:eastAsia="Arial" w:hAnsi="Arial"/>
          <w:sz w:val="17"/>
          <w:szCs w:val="17"/>
          <w:color w:val="auto"/>
        </w:rPr>
        <w:t>spheres, Biomedics spheres, clariti spheres, Proclear spheres), specialty lenses (custom, ortho-k, and scleral lenses) and other.</w:t>
      </w:r>
    </w:p>
    <w:p>
      <w:pPr>
        <w:sectPr>
          <w:pgSz w:w="11900" w:h="16838" w:orient="portrait"/>
          <w:cols w:equalWidth="0" w:num="1">
            <w:col w:w="11220"/>
          </w:cols>
          <w:pgMar w:left="320" w:top="368" w:right="359" w:bottom="1440" w:gutter="0" w:footer="0" w:header="0"/>
        </w:sectPr>
      </w:pPr>
    </w:p>
    <w:p>
      <w:pPr>
        <w:spacing w:after="0" w:line="34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Three Months Ended July 31,</w:t>
      </w:r>
    </w:p>
    <w:p>
      <w:pPr>
        <w:spacing w:after="0" w:line="5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 in millions)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7"/>
          <w:szCs w:val="17"/>
          <w:color w:val="auto"/>
        </w:rPr>
        <w:t>Toric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Multifocal</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Single-use spheres</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 single-use sphere,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Nine Months Ended July 31,</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 in millions)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7"/>
          <w:szCs w:val="17"/>
          <w:color w:val="auto"/>
        </w:rPr>
        <w:t>Toric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Multifocal</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Single-use spheres</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 single-use sphere, other</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1860" w:type="dxa"/>
            <w:vAlign w:val="bottom"/>
          </w:tcPr>
          <w:p>
            <w:pPr>
              <w:jc w:val="right"/>
              <w:ind w:right="39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222"/>
        </w:trPr>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2"/>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215.7</w:t>
            </w:r>
          </w:p>
        </w:tc>
        <w:tc>
          <w:tcPr>
            <w:tcW w:w="12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185.9</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67.6</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163.8</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41"/>
        </w:trPr>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146.2</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9"/>
        </w:trPr>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566.3</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-779145</wp:posOffset>
            </wp:positionV>
            <wp:extent cx="707199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-479425</wp:posOffset>
            </wp:positionV>
            <wp:extent cx="707199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1995" cy="1454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-187960</wp:posOffset>
            </wp:positionV>
            <wp:extent cx="7071995" cy="2760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199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1320" w:type="dxa"/>
            <w:vAlign w:val="bottom"/>
            <w:vMerge w:val="restart"/>
          </w:tcPr>
          <w:p>
            <w:pPr>
              <w:jc w:val="right"/>
              <w:ind w:right="591"/>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vMerge w:val="restart"/>
          </w:tcPr>
          <w:p>
            <w:pPr>
              <w:jc w:val="right"/>
              <w:ind w:right="591"/>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1860" w:type="dxa"/>
            <w:vAlign w:val="bottom"/>
          </w:tcPr>
          <w:p>
            <w:pPr>
              <w:jc w:val="right"/>
              <w:ind w:right="39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222"/>
        </w:trPr>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21"/>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611.8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553.7</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199.8</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491.9</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r>
        <w:trPr>
          <w:trHeight w:val="234"/>
        </w:trPr>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1,681.5</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-779145</wp:posOffset>
            </wp:positionV>
            <wp:extent cx="707199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-479425</wp:posOffset>
            </wp:positionV>
            <wp:extent cx="707199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-187960</wp:posOffset>
            </wp:positionV>
            <wp:extent cx="70719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520"/>
          </w:cols>
          <w:pgMar w:left="320" w:top="368" w:right="359" w:bottom="1440" w:gutter="0" w:footer="0" w:header="0"/>
          <w:type w:val="continuous"/>
        </w:sectPr>
      </w:pPr>
    </w:p>
    <w:p>
      <w:pPr>
        <w:spacing w:after="0" w:line="39"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color w:val="auto"/>
        </w:rPr>
        <w:t>In the three and nine months ended July 31, 2023, the growth experienced across most categories was partially offset by unfavorable foreign exchange rate fluctuations, which approximated $4.7 million and $69.3 million, respectively.</w:t>
      </w:r>
    </w:p>
    <w:p>
      <w:pPr>
        <w:spacing w:after="0" w:line="12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Toric and multifocal lenses grew primarily through the success of MyDay and Biofinity.</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Single-use sphere lenses grew primarily through MyDay, MiSight, and clariti lenses.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 single-use sphere lenses grew primarily through specialty lenses.</w:t>
      </w:r>
    </w:p>
    <w:p>
      <w:pPr>
        <w:spacing w:after="0" w:line="169" w:lineRule="exact"/>
        <w:rPr>
          <w:rFonts w:ascii="Arial" w:cs="Arial" w:eastAsia="Arial" w:hAnsi="Arial"/>
          <w:sz w:val="17"/>
          <w:szCs w:val="17"/>
          <w:color w:val="auto"/>
        </w:rPr>
      </w:pPr>
    </w:p>
    <w:p>
      <w:pPr>
        <w:ind w:left="660" w:hanging="328"/>
        <w:spacing w:after="0" w:line="290" w:lineRule="auto"/>
        <w:tabs>
          <w:tab w:leader="none" w:pos="652"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products represented approximately 1% of net sales in the three and nine months ended July 31, 2023, and 2% and 1% of net sales in the three and nine months ended July 31, 2022, respectively.</w:t>
      </w:r>
    </w:p>
    <w:p>
      <w:pPr>
        <w:sectPr>
          <w:pgSz w:w="11900" w:h="16838" w:orient="portrait"/>
          <w:cols w:equalWidth="0" w:num="1">
            <w:col w:w="11220"/>
          </w:cols>
          <w:pgMar w:left="320" w:top="36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 by Geography</w:t>
      </w:r>
    </w:p>
    <w:p>
      <w:pPr>
        <w:spacing w:after="0" w:line="25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CooperVision competes in the worldwide soft contact lens market and services in three primary regions: the Americas, EMEA (Europe, Middle East and Africa) and Asia Pacific.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60" w:type="dxa"/>
            <w:vAlign w:val="bottom"/>
          </w:tcPr>
          <w:p>
            <w:pPr>
              <w:ind w:left="20"/>
              <w:spacing w:after="0"/>
              <w:rPr>
                <w:sz w:val="20"/>
                <w:szCs w:val="20"/>
                <w:color w:val="auto"/>
              </w:rPr>
            </w:pPr>
            <w:r>
              <w:rPr>
                <w:rFonts w:ascii="Arial" w:cs="Arial" w:eastAsia="Arial" w:hAnsi="Arial"/>
                <w:sz w:val="17"/>
                <w:szCs w:val="17"/>
                <w:b w:val="1"/>
                <w:bCs w:val="1"/>
                <w:color w:val="auto"/>
              </w:rPr>
              <w:t>Periods Ended July 31,</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Three Months</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97"/>
              </w:rPr>
              <w:t>Nine Months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5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 in millions)</w:t>
            </w:r>
          </w:p>
        </w:tc>
        <w:tc>
          <w:tcPr>
            <w:tcW w:w="280" w:type="dxa"/>
            <w:vAlign w:val="bottom"/>
          </w:tcPr>
          <w:p>
            <w:pPr>
              <w:spacing w:after="0"/>
              <w:rPr>
                <w:sz w:val="14"/>
                <w:szCs w:val="14"/>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14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0"/>
              </w:rPr>
              <w:t>2023 vs 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4"/>
                <w:szCs w:val="14"/>
                <w:color w:val="auto"/>
              </w:rPr>
            </w:pPr>
          </w:p>
        </w:tc>
        <w:tc>
          <w:tcPr>
            <w:tcW w:w="1440" w:type="dxa"/>
            <w:vAlign w:val="bottom"/>
          </w:tcPr>
          <w:p>
            <w:pPr>
              <w:jc w:val="right"/>
              <w:ind w:right="175"/>
              <w:spacing w:after="0" w:line="167" w:lineRule="exact"/>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222"/>
        </w:trPr>
        <w:tc>
          <w:tcPr>
            <w:tcW w:w="25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 Change</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25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25"/>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Arial" w:cs="Arial" w:eastAsia="Arial" w:hAnsi="Arial"/>
                <w:sz w:val="17"/>
                <w:szCs w:val="17"/>
                <w:color w:val="auto"/>
              </w:rPr>
              <w:t>EMEA</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220.2</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639.5</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566.3</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1,681.5</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CooperVision's growth in net sales in all regions was primarily attributable to market gains of silicone hydrogel contact lenses. Refer to CooperVision Net Sales by Category above for further discussion.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CooperSurgical Net Sales by Category</w:t>
      </w:r>
    </w:p>
    <w:p>
      <w:pPr>
        <w:spacing w:after="0" w:line="17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shows the percentage of net sales of office and surgical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118745</wp:posOffset>
            </wp:positionV>
            <wp:extent cx="5657850" cy="2486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b w:val="1"/>
          <w:bCs w:val="1"/>
          <w:color w:val="auto"/>
        </w:rPr>
        <w:t xml:space="preserve">Office/Surgical </w:t>
      </w:r>
      <w:r>
        <w:rPr>
          <w:rFonts w:ascii="Arial" w:cs="Arial" w:eastAsia="Arial" w:hAnsi="Arial"/>
          <w:sz w:val="17"/>
          <w:szCs w:val="17"/>
          <w:color w:val="auto"/>
        </w:rPr>
        <w:t>– This includes Endosee endometrial imaging products, Fetal Pillow cephalic elevation devices for use in Cesarean sections, illuminated speculum</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Lone Star retractor systems, loop electrosurgical excision procedure (LEEP) products, Mara water ablation systems, newborn stem cell storage, Paragard contraceptive IUDs, point-of-care products and uterine positioning products.</w:t>
      </w:r>
    </w:p>
    <w:p>
      <w:pPr>
        <w:spacing w:after="0" w:line="2"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b w:val="1"/>
          <w:bCs w:val="1"/>
          <w:color w:val="auto"/>
        </w:rPr>
        <w:t xml:space="preserve">Fertility </w:t>
      </w:r>
      <w:r>
        <w:rPr>
          <w:rFonts w:ascii="Arial" w:cs="Arial" w:eastAsia="Arial" w:hAnsi="Arial"/>
          <w:sz w:val="17"/>
          <w:szCs w:val="17"/>
          <w:color w:val="auto"/>
        </w:rPr>
        <w:t>– Our significant fertility products and services include cryostorage, donor gamete services, fertility consumables and equipment and genomic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genetic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July 31,</w:t>
            </w:r>
          </w:p>
        </w:tc>
        <w:tc>
          <w:tcPr>
            <w:tcW w:w="380" w:type="dxa"/>
            <w:vAlign w:val="bottom"/>
          </w:tcPr>
          <w:p>
            <w:pPr>
              <w:spacing w:after="0"/>
              <w:rPr>
                <w:sz w:val="20"/>
                <w:szCs w:val="20"/>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0"/>
                <w:szCs w:val="20"/>
                <w:color w:val="auto"/>
              </w:rPr>
            </w:pPr>
          </w:p>
        </w:tc>
        <w:tc>
          <w:tcPr>
            <w:tcW w:w="1860" w:type="dxa"/>
            <w:vAlign w:val="bottom"/>
          </w:tcPr>
          <w:p>
            <w:pPr>
              <w:jc w:val="right"/>
              <w:ind w:right="39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gridSpan w:val="2"/>
          </w:tcPr>
          <w:p>
            <w:pPr>
              <w:spacing w:after="0" w:line="155" w:lineRule="exact"/>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right"/>
              <w:ind w:right="455"/>
              <w:spacing w:after="0" w:line="155"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Office and surgical</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Fertility</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w:t>
            </w:r>
          </w:p>
        </w:tc>
        <w:tc>
          <w:tcPr>
            <w:tcW w:w="1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277.1</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316865</wp:posOffset>
            </wp:positionV>
            <wp:extent cx="5657850" cy="2486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7"/>
                <w:szCs w:val="17"/>
                <w:b w:val="1"/>
                <w:bCs w:val="1"/>
                <w:color w:val="auto"/>
              </w:rPr>
              <w:t>Nine Months Ended July 31,</w:t>
            </w:r>
          </w:p>
        </w:tc>
        <w:tc>
          <w:tcPr>
            <w:tcW w:w="400" w:type="dxa"/>
            <w:vAlign w:val="bottom"/>
          </w:tcPr>
          <w:p>
            <w:pPr>
              <w:spacing w:after="0"/>
              <w:rPr>
                <w:sz w:val="20"/>
                <w:szCs w:val="20"/>
                <w:color w:val="auto"/>
              </w:rPr>
            </w:pPr>
          </w:p>
        </w:tc>
        <w:tc>
          <w:tcPr>
            <w:tcW w:w="1320" w:type="dxa"/>
            <w:vAlign w:val="bottom"/>
            <w:vMerge w:val="restart"/>
          </w:tcPr>
          <w:p>
            <w:pPr>
              <w:jc w:val="right"/>
              <w:ind w:right="61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vMerge w:val="restart"/>
          </w:tcPr>
          <w:p>
            <w:pPr>
              <w:jc w:val="right"/>
              <w:ind w:right="61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0"/>
                <w:szCs w:val="20"/>
                <w:color w:val="auto"/>
              </w:rPr>
            </w:pPr>
          </w:p>
        </w:tc>
        <w:tc>
          <w:tcPr>
            <w:tcW w:w="1880" w:type="dxa"/>
            <w:vAlign w:val="bottom"/>
          </w:tcPr>
          <w:p>
            <w:pPr>
              <w:jc w:val="right"/>
              <w:ind w:right="393"/>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gridSpan w:val="2"/>
          </w:tcPr>
          <w:p>
            <w:pPr>
              <w:spacing w:after="0" w:line="155" w:lineRule="exact"/>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right"/>
              <w:ind w:right="473"/>
              <w:spacing w:after="0" w:line="155"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Office and surgical</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455.9</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Fertility</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322.9</w:t>
            </w:r>
          </w:p>
        </w:tc>
        <w:tc>
          <w:tcPr>
            <w:tcW w:w="1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778.8</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420"/>
        <w:spacing w:after="0" w:line="261" w:lineRule="auto"/>
        <w:rPr>
          <w:sz w:val="20"/>
          <w:szCs w:val="20"/>
          <w:color w:val="auto"/>
        </w:rPr>
      </w:pPr>
      <w:r>
        <w:rPr>
          <w:rFonts w:ascii="Arial" w:cs="Arial" w:eastAsia="Arial" w:hAnsi="Arial"/>
          <w:sz w:val="17"/>
          <w:szCs w:val="17"/>
          <w:color w:val="auto"/>
        </w:rPr>
        <w:t>In the three months ended July 31, 2023, office and surgical net sales increased primarily due to an increase in sales from products such as Paragard, Uterine Manipulators, Fetal Pillow, and Point-of-Care, as well as an increase in revenue from stem cell storage. Fertility net sales increased compared to the prior year mainly due to an increase in revenue from consumable products, genetic testing, and Embryo Options.</w:t>
      </w:r>
    </w:p>
    <w:p>
      <w:pPr>
        <w:spacing w:after="0" w:line="145" w:lineRule="exact"/>
        <w:rPr>
          <w:sz w:val="20"/>
          <w:szCs w:val="20"/>
          <w:color w:val="auto"/>
        </w:rPr>
      </w:pPr>
    </w:p>
    <w:p>
      <w:pPr>
        <w:ind w:right="660"/>
        <w:spacing w:after="0" w:line="342" w:lineRule="auto"/>
        <w:rPr>
          <w:sz w:val="20"/>
          <w:szCs w:val="20"/>
          <w:color w:val="auto"/>
        </w:rPr>
      </w:pPr>
      <w:r>
        <w:rPr>
          <w:rFonts w:ascii="Arial" w:cs="Arial" w:eastAsia="Arial" w:hAnsi="Arial"/>
          <w:sz w:val="15"/>
          <w:szCs w:val="15"/>
          <w:color w:val="auto"/>
        </w:rPr>
        <w:t>In the nine months ended July 31, 2023, the net sales increase in both categories was primarily due to the addition of Generate Life Sciences (Generate) on December 17, 2021. Additionally, fertility net sales increased due to an increase in revenue from consumable products and genetic testing.</w:t>
      </w:r>
    </w:p>
    <w:p>
      <w:pPr>
        <w:spacing w:after="0" w:line="75"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The above growth experienced across all categories was partially offset by unfavorable foreign exchange rate fluctuations, which approximated $2.5 million and $14.1 million for the three and nine months ended July 31, 2023,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254"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Consolidated gross margin was relatively flat at 66% in the three and nine months ended July 31, 2023, compared to 65% in the three and nine months ended July 31,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20" w:type="dxa"/>
            <w:vAlign w:val="bottom"/>
            <w:gridSpan w:val="4"/>
          </w:tcPr>
          <w:p>
            <w:pPr>
              <w:spacing w:after="0"/>
              <w:rPr>
                <w:sz w:val="20"/>
                <w:szCs w:val="20"/>
                <w:color w:val="auto"/>
              </w:rPr>
            </w:pPr>
            <w:r>
              <w:rPr>
                <w:rFonts w:ascii="Arial" w:cs="Arial" w:eastAsia="Arial" w:hAnsi="Arial"/>
                <w:sz w:val="17"/>
                <w:szCs w:val="17"/>
                <w:b w:val="1"/>
                <w:bCs w:val="1"/>
                <w:color w:val="auto"/>
                <w:w w:val="94"/>
              </w:rPr>
              <w:t>Selling, General and Administrative (SGA) Expenses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July 31,</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460" w:type="dxa"/>
            <w:vAlign w:val="bottom"/>
          </w:tcPr>
          <w:p>
            <w:pPr>
              <w:spacing w:after="0"/>
              <w:rPr>
                <w:sz w:val="18"/>
                <w:szCs w:val="18"/>
                <w:color w:val="auto"/>
              </w:rPr>
            </w:pPr>
          </w:p>
        </w:tc>
        <w:tc>
          <w:tcPr>
            <w:tcW w:w="1140" w:type="dxa"/>
            <w:vAlign w:val="bottom"/>
            <w:vMerge w:val="restart"/>
          </w:tcPr>
          <w:p>
            <w:pPr>
              <w:jc w:val="right"/>
              <w:ind w:right="53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8"/>
                <w:szCs w:val="18"/>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10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2"/>
              </w:rPr>
              <w:t>36 %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2"/>
              </w:rPr>
              <w:t>37 %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128.1</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w w:val="92"/>
              </w:rPr>
              <w:t>43 %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116.2</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w w:val="92"/>
              </w:rPr>
              <w:t>42 %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375.2</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w w:val="92"/>
              </w:rPr>
              <w:t>40 %</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342.7</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w w:val="92"/>
              </w:rPr>
              <w:t>41 %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Nine Months Ended July 31,</w:t>
            </w: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460" w:type="dxa"/>
            <w:vAlign w:val="bottom"/>
          </w:tcPr>
          <w:p>
            <w:pPr>
              <w:spacing w:after="0"/>
              <w:rPr>
                <w:sz w:val="18"/>
                <w:szCs w:val="18"/>
                <w:color w:val="auto"/>
              </w:rPr>
            </w:pPr>
          </w:p>
        </w:tc>
        <w:tc>
          <w:tcPr>
            <w:tcW w:w="1140" w:type="dxa"/>
            <w:vAlign w:val="bottom"/>
            <w:vMerge w:val="restart"/>
          </w:tcPr>
          <w:p>
            <w:pPr>
              <w:jc w:val="right"/>
              <w:ind w:right="53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8"/>
                <w:szCs w:val="18"/>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10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2"/>
              </w:rPr>
              <w:t>35 %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2"/>
              </w:rPr>
              <w:t>36 %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423.7</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w w:val="92"/>
              </w:rPr>
              <w:t>49 %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332.3</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w w:val="92"/>
              </w:rPr>
              <w:t>43 %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28 %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1,113.6</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w w:val="92"/>
              </w:rPr>
              <w:t>42 %</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984.2</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w w:val="92"/>
              </w:rPr>
              <w:t>40 %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CooperVision's SGA expenses increased in the three and nine months ended July 31, 2023, compared to the three and nine months ended July 31, 2022, primarily due to increases in selling and marketing activities, and distribution costs. The increase in the nine months ended July 31, 2023, was partially offset by $31.8 million release of contingent consideration liability associated with SightGlass Vision's regulatory approval milestone.</w:t>
      </w:r>
    </w:p>
    <w:p>
      <w:pPr>
        <w:spacing w:after="0" w:line="13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CooperSurgical's SGA expenses increased in the three and nine months ended July 31, 2023, compared to the three and nine months ended July 31, 2022, primarily due to an increase in selling and marketing activities supporting increased sales. The increase in the nine months ended July 31, 2023, was also due to the accrual of a $45.0 million termination fee under an asset purchase agreement related to Cook Medical’s reproductive health business. See Note 2. Acquisitions and Joint Venture of the Consolidated Condensed Financial Statements for further information on the termination fee.</w:t>
      </w:r>
    </w:p>
    <w:p>
      <w:pPr>
        <w:spacing w:after="0" w:line="11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Corporate SGA expenses increased in the three and nine months ended July 31, 2023, compared to the three and nine months ended July 31, 2022, primarily due to share-based compensation related expenses.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gridSpan w:val="3"/>
          </w:tcPr>
          <w:p>
            <w:pPr>
              <w:spacing w:after="0"/>
              <w:rPr>
                <w:sz w:val="20"/>
                <w:szCs w:val="20"/>
                <w:color w:val="auto"/>
              </w:rPr>
            </w:pPr>
            <w:r>
              <w:rPr>
                <w:rFonts w:ascii="Arial" w:cs="Arial" w:eastAsia="Arial" w:hAnsi="Arial"/>
                <w:sz w:val="17"/>
                <w:szCs w:val="17"/>
                <w:b w:val="1"/>
                <w:bCs w:val="1"/>
                <w:color w:val="auto"/>
                <w:w w:val="95"/>
              </w:rPr>
              <w:t>Research and Development (R&amp;D) Expenses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July 31,</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6 %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5 %</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Nine Months Ended July 31,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34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6 %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4 %</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38 %</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CooperVision's R&amp;D expenses increased in the three and nine months ended July 31, 2023, compared to the three and nine months ended July 31, 2022, primarily due to myopia management programs and the timing of R&amp;D projects. CooperVision's R&amp;D activities are primarily focused on the development of contact lenses, manufacturing technology and process enhancements.</w:t>
      </w:r>
    </w:p>
    <w:p>
      <w:pPr>
        <w:spacing w:after="0" w:line="126"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CooperSurgical's R&amp;D expenses increased in the three and nine months ended July 31, 2023, compared to the three and nine months ended July 31, 2022, mainly due to European Medical Device Regulation costs. CooperSurgical's R&amp;D activities are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focused on developing and refining diagnostic and therapeutic products including medical interventions, surgical devices and fertility solutions.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60" w:type="dxa"/>
            <w:vAlign w:val="bottom"/>
            <w:gridSpan w:val="3"/>
          </w:tcPr>
          <w:p>
            <w:pPr>
              <w:spacing w:after="0"/>
              <w:rPr>
                <w:sz w:val="20"/>
                <w:szCs w:val="20"/>
                <w:color w:val="auto"/>
              </w:rPr>
            </w:pPr>
            <w:r>
              <w:rPr>
                <w:rFonts w:ascii="Arial" w:cs="Arial" w:eastAsia="Arial" w:hAnsi="Arial"/>
                <w:sz w:val="17"/>
                <w:szCs w:val="17"/>
                <w:b w:val="1"/>
                <w:bCs w:val="1"/>
                <w:color w:val="auto"/>
              </w:rPr>
              <w:t>Amortization Expense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July 31,</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400" w:type="dxa"/>
            <w:vAlign w:val="bottom"/>
          </w:tcPr>
          <w:p>
            <w:pPr>
              <w:spacing w:after="0"/>
              <w:rPr>
                <w:sz w:val="18"/>
                <w:szCs w:val="18"/>
                <w:color w:val="auto"/>
              </w:rPr>
            </w:pPr>
          </w:p>
        </w:tc>
        <w:tc>
          <w:tcPr>
            <w:tcW w:w="1320" w:type="dxa"/>
            <w:vAlign w:val="bottom"/>
            <w:vMerge w:val="restart"/>
          </w:tcPr>
          <w:p>
            <w:pPr>
              <w:jc w:val="right"/>
              <w:ind w:right="61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114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2022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13 %</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12 %</w:t>
            </w:r>
          </w:p>
        </w:tc>
        <w:tc>
          <w:tcPr>
            <w:tcW w:w="1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Nine Months Ended July 31,</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32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400" w:type="dxa"/>
            <w:vAlign w:val="bottom"/>
          </w:tcPr>
          <w:p>
            <w:pPr>
              <w:spacing w:after="0"/>
              <w:rPr>
                <w:sz w:val="18"/>
                <w:szCs w:val="18"/>
                <w:color w:val="auto"/>
              </w:rPr>
            </w:pPr>
          </w:p>
        </w:tc>
        <w:tc>
          <w:tcPr>
            <w:tcW w:w="1320" w:type="dxa"/>
            <w:vAlign w:val="bottom"/>
            <w:vMerge w:val="restart"/>
          </w:tcPr>
          <w:p>
            <w:pPr>
              <w:jc w:val="right"/>
              <w:ind w:right="61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114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2022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13 %</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14 %</w:t>
            </w:r>
          </w:p>
        </w:tc>
        <w:tc>
          <w:tcPr>
            <w:tcW w:w="1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CooperVision's amortization expense for the three and nine months ended July 31, 2023, remained relatively flat year over year. CooperSurgical's amortization expense increased in the three and nine months ended July 31, 2023, compared to the three and nine months ended July 31, 2022, primarily due to the amortization of intangible assets recently acquired through acquisitions.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gridSpan w:val="3"/>
          </w:tcPr>
          <w:p>
            <w:pPr>
              <w:spacing w:after="0"/>
              <w:rPr>
                <w:sz w:val="20"/>
                <w:szCs w:val="20"/>
                <w:color w:val="auto"/>
              </w:rPr>
            </w:pPr>
            <w:r>
              <w:rPr>
                <w:rFonts w:ascii="Arial" w:cs="Arial" w:eastAsia="Arial" w:hAnsi="Arial"/>
                <w:sz w:val="17"/>
                <w:szCs w:val="17"/>
                <w:b w:val="1"/>
                <w:bCs w:val="1"/>
                <w:color w:val="auto"/>
              </w:rPr>
              <w:t>Operating Income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July 31,</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60" w:type="dxa"/>
            <w:vAlign w:val="bottom"/>
          </w:tcPr>
          <w:p>
            <w:pPr>
              <w:spacing w:after="0"/>
              <w:rPr>
                <w:sz w:val="18"/>
                <w:szCs w:val="18"/>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380" w:type="dxa"/>
            <w:vAlign w:val="bottom"/>
          </w:tcPr>
          <w:p>
            <w:pPr>
              <w:spacing w:after="0"/>
              <w:rPr>
                <w:sz w:val="18"/>
                <w:szCs w:val="18"/>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30.4</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11 %</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16 %</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17 %</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Nine Months Ended July 31,</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34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60" w:type="dxa"/>
            <w:vAlign w:val="bottom"/>
          </w:tcPr>
          <w:p>
            <w:pPr>
              <w:spacing w:after="0"/>
              <w:rPr>
                <w:sz w:val="18"/>
                <w:szCs w:val="18"/>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380" w:type="dxa"/>
            <w:vAlign w:val="bottom"/>
          </w:tcPr>
          <w:p>
            <w:pPr>
              <w:spacing w:after="0"/>
              <w:rPr>
                <w:sz w:val="18"/>
                <w:szCs w:val="18"/>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240" w:type="dxa"/>
            <w:vAlign w:val="bottom"/>
            <w:gridSpan w:val="2"/>
          </w:tcPr>
          <w:p>
            <w:pPr>
              <w:ind w:left="760"/>
              <w:spacing w:after="0"/>
              <w:rPr>
                <w:sz w:val="20"/>
                <w:szCs w:val="20"/>
                <w:color w:val="auto"/>
              </w:rPr>
            </w:pPr>
            <w:r>
              <w:rPr>
                <w:rFonts w:ascii="Arial" w:cs="Arial" w:eastAsia="Arial" w:hAnsi="Arial"/>
                <w:sz w:val="17"/>
                <w:szCs w:val="17"/>
                <w:color w:val="auto"/>
              </w:rPr>
              <w:t>— %</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56.9</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397.4</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15 %</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404.1</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16 %</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color w:val="auto"/>
        </w:rPr>
        <w:t>CooperVision's operating income increased in the three and nine months ended July 31, 2023, compared to the three and nine months ended July 31, 2022, primarily due to an increase in net sales partially offset by net changes in operating expenses.</w:t>
      </w:r>
    </w:p>
    <w:p>
      <w:pPr>
        <w:spacing w:after="0" w:line="202"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auto"/>
        </w:rPr>
        <w:t>CooperSurgical's operating income decreased in the three and nine months ended July 31, 2023, compared to the three and nine months ended July 31, 2022, primarily due to an increase in SGA expenses, partially offset by an increase in net sales.</w:t>
      </w:r>
    </w:p>
    <w:p>
      <w:pPr>
        <w:spacing w:after="0" w:line="18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Corporate operating loss increased in the three and nine months ended July 31, 2023, compared to the three and nine months ended July 31, 2022, primarily due to higher share-based compensation expenses.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gridSpan w:val="3"/>
          </w:tcPr>
          <w:p>
            <w:pPr>
              <w:spacing w:after="0"/>
              <w:rPr>
                <w:sz w:val="20"/>
                <w:szCs w:val="20"/>
                <w:color w:val="auto"/>
              </w:rPr>
            </w:pPr>
            <w:r>
              <w:rPr>
                <w:rFonts w:ascii="Arial" w:cs="Arial" w:eastAsia="Arial" w:hAnsi="Arial"/>
                <w:sz w:val="17"/>
                <w:szCs w:val="17"/>
                <w:b w:val="1"/>
                <w:bCs w:val="1"/>
                <w:color w:val="auto"/>
              </w:rPr>
              <w:t>Interest Expense</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July 31,</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114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380" w:type="dxa"/>
            <w:vAlign w:val="bottom"/>
          </w:tcPr>
          <w:p>
            <w:pPr>
              <w:spacing w:after="0"/>
              <w:rPr>
                <w:sz w:val="18"/>
                <w:szCs w:val="18"/>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Nine Months Ended July 31,</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34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114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 Net Sales</w:t>
            </w:r>
          </w:p>
        </w:tc>
        <w:tc>
          <w:tcPr>
            <w:tcW w:w="380" w:type="dxa"/>
            <w:vAlign w:val="bottom"/>
          </w:tcPr>
          <w:p>
            <w:pPr>
              <w:spacing w:after="0"/>
              <w:rPr>
                <w:sz w:val="18"/>
                <w:szCs w:val="18"/>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Interest expense increased during the three and nine months ended July 31, 2023, compared to the three and nine months ended July 31, 2022, primarily due to higher interest rates.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80" w:type="dxa"/>
            <w:vAlign w:val="bottom"/>
            <w:gridSpan w:val="3"/>
          </w:tcPr>
          <w:p>
            <w:pPr>
              <w:spacing w:after="0"/>
              <w:rPr>
                <w:sz w:val="20"/>
                <w:szCs w:val="20"/>
                <w:color w:val="auto"/>
              </w:rPr>
            </w:pPr>
            <w:r>
              <w:rPr>
                <w:rFonts w:ascii="Arial" w:cs="Arial" w:eastAsia="Arial" w:hAnsi="Arial"/>
                <w:sz w:val="17"/>
                <w:szCs w:val="17"/>
                <w:b w:val="1"/>
                <w:bCs w:val="1"/>
                <w:color w:val="auto"/>
              </w:rPr>
              <w:t>Other Expenses (Income), Net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6"/>
        </w:trPr>
        <w:tc>
          <w:tcPr>
            <w:tcW w:w="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Periods Ended July 31,</w:t>
            </w:r>
          </w:p>
        </w:tc>
        <w:tc>
          <w:tcPr>
            <w:tcW w:w="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7"/>
                <w:szCs w:val="17"/>
                <w:b w:val="1"/>
                <w:bCs w:val="1"/>
                <w:color w:val="auto"/>
              </w:rPr>
              <w:t>Nine Months</w:t>
            </w:r>
          </w:p>
        </w:tc>
        <w:tc>
          <w:tcPr>
            <w:tcW w:w="106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4560" w:type="dxa"/>
            <w:vAlign w:val="bottom"/>
            <w:gridSpan w:val="2"/>
          </w:tcPr>
          <w:p>
            <w:pPr>
              <w:spacing w:after="0" w:line="176" w:lineRule="exact"/>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Arial" w:cs="Arial" w:eastAsia="Arial" w:hAnsi="Arial"/>
                <w:sz w:val="17"/>
                <w:szCs w:val="17"/>
                <w:b w:val="1"/>
                <w:bCs w:val="1"/>
                <w:color w:val="auto"/>
              </w:rPr>
              <w:t>2023</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 loss (gain)</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7"/>
                <w:szCs w:val="17"/>
                <w:color w:val="auto"/>
              </w:rPr>
              <w:t>Foreign exchange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w:t>
            </w:r>
          </w:p>
        </w:tc>
        <w:tc>
          <w:tcPr>
            <w:tcW w:w="16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jc w:val="both"/>
        <w:ind w:right="340"/>
        <w:spacing w:after="0" w:line="261" w:lineRule="auto"/>
        <w:rPr>
          <w:sz w:val="20"/>
          <w:szCs w:val="20"/>
          <w:color w:val="auto"/>
        </w:rPr>
      </w:pPr>
      <w:r>
        <w:rPr>
          <w:rFonts w:ascii="Arial" w:cs="Arial" w:eastAsia="Arial" w:hAnsi="Arial"/>
          <w:sz w:val="17"/>
          <w:szCs w:val="17"/>
          <w:color w:val="auto"/>
        </w:rPr>
        <w:t>Investment gain during the nine months ended July 31, 2022, primarily consisted of a gain on remeasurement of the fair value of retained equity investment in SightGlass Vision, Inc. (SGV) as a result of deconsolidation. Foreign exchange loss is primarily associated with the weakening of the US dollar against foreign currencies and the effect on intercompany receivables.</w:t>
      </w:r>
    </w:p>
    <w:p>
      <w:pPr>
        <w:spacing w:after="0" w:line="186"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Other expenses (income), net increased in the three and nine months ended July 31, 2023, compared to the three and nine months ended July 31, 2022, primarily due to loss on minority investments, partially offset by defined benefit plan related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effective tax rates for the three months ended July 31, 2023, and July 31, 2022, were 28.2% and 16.1%, respectively. The effective tax rates for the nine months ended July 31, 2023, and July 31, 2022, were 31.6% and 20.5%, respectively. The increases were primarily due to changes in the geographic composition of pre-tax earnings, an increase in the UK statutory tax rate from 19% to 25%, capitalization of research and experimental expenditures for fiscal 2023 as required by the 2017 Tax Cuts and Jobs Act, and changes in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 and Liquidity</w:t>
      </w:r>
    </w:p>
    <w:p>
      <w:pPr>
        <w:spacing w:after="0" w:line="25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Working capital on July 31, 2023, and October 31, 2022, was $717.4 million and $253.4 million, respectively. The increase in working capital was primarily due to repayment of the 364-day term loan during the first nine months of fiscal 2023. See Note 5. Financing Arrangements for further information.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40" w:type="dxa"/>
            <w:vAlign w:val="bottom"/>
            <w:gridSpan w:val="3"/>
          </w:tcPr>
          <w:p>
            <w:pPr>
              <w:spacing w:after="0"/>
              <w:rPr>
                <w:sz w:val="20"/>
                <w:szCs w:val="20"/>
                <w:color w:val="auto"/>
              </w:rPr>
            </w:pPr>
            <w:r>
              <w:rPr>
                <w:rFonts w:ascii="Arial" w:cs="Arial" w:eastAsia="Arial" w:hAnsi="Arial"/>
                <w:sz w:val="17"/>
                <w:szCs w:val="17"/>
                <w:b w:val="1"/>
                <w:bCs w:val="1"/>
                <w:color w:val="auto"/>
              </w:rPr>
              <w:t>Cash Flow</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6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Arial" w:cs="Arial" w:eastAsia="Arial" w:hAnsi="Arial"/>
                <w:sz w:val="17"/>
                <w:szCs w:val="17"/>
                <w:b w:val="1"/>
                <w:bCs w:val="1"/>
                <w:color w:val="auto"/>
              </w:rPr>
              <w:t>July 31, 2023</w:t>
            </w:r>
          </w:p>
        </w:tc>
        <w:tc>
          <w:tcPr>
            <w:tcW w:w="240" w:type="dxa"/>
            <w:vAlign w:val="bottom"/>
          </w:tcPr>
          <w:p>
            <w:pPr>
              <w:spacing w:after="0"/>
              <w:rPr>
                <w:sz w:val="17"/>
                <w:szCs w:val="17"/>
                <w:color w:val="auto"/>
              </w:rPr>
            </w:pPr>
          </w:p>
        </w:tc>
        <w:tc>
          <w:tcPr>
            <w:tcW w:w="1500" w:type="dxa"/>
            <w:vAlign w:val="bottom"/>
          </w:tcPr>
          <w:p>
            <w:pPr>
              <w:jc w:val="right"/>
              <w:ind w:right="315"/>
              <w:spacing w:after="0"/>
              <w:rPr>
                <w:sz w:val="20"/>
                <w:szCs w:val="20"/>
                <w:color w:val="auto"/>
              </w:rPr>
            </w:pPr>
            <w:r>
              <w:rPr>
                <w:rFonts w:ascii="Arial" w:cs="Arial" w:eastAsia="Arial" w:hAnsi="Arial"/>
                <w:sz w:val="17"/>
                <w:szCs w:val="17"/>
                <w:b w:val="1"/>
                <w:bCs w:val="1"/>
                <w:color w:val="auto"/>
              </w:rPr>
              <w:t>July 31, 2022</w:t>
            </w: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activities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561.7</w:t>
            </w:r>
          </w:p>
        </w:tc>
      </w:tr>
      <w:tr>
        <w:trPr>
          <w:trHeight w:val="234"/>
        </w:trPr>
        <w:tc>
          <w:tcPr>
            <w:tcW w:w="20" w:type="dxa"/>
            <w:vAlign w:val="bottom"/>
          </w:tcPr>
          <w:p>
            <w:pPr>
              <w:spacing w:after="0"/>
              <w:rPr>
                <w:sz w:val="20"/>
                <w:szCs w:val="20"/>
                <w:color w:val="auto"/>
              </w:rPr>
            </w:pPr>
          </w:p>
        </w:tc>
        <w:tc>
          <w:tcPr>
            <w:tcW w:w="7620" w:type="dxa"/>
            <w:vAlign w:val="bottom"/>
            <w:gridSpan w:val="2"/>
          </w:tcPr>
          <w:p>
            <w:pPr>
              <w:spacing w:after="0"/>
              <w:rPr>
                <w:sz w:val="20"/>
                <w:szCs w:val="20"/>
                <w:color w:val="auto"/>
              </w:rPr>
            </w:pPr>
            <w:r>
              <w:rPr>
                <w:rFonts w:ascii="Arial" w:cs="Arial" w:eastAsia="Arial" w:hAnsi="Arial"/>
                <w:sz w:val="17"/>
                <w:szCs w:val="17"/>
                <w:color w:val="auto"/>
              </w:rPr>
              <w:t>Investing activities</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(288.2)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(1,731.5)</w:t>
            </w:r>
          </w:p>
        </w:tc>
      </w:tr>
      <w:tr>
        <w:trPr>
          <w:trHeight w:val="252"/>
        </w:trPr>
        <w:tc>
          <w:tcPr>
            <w:tcW w:w="20" w:type="dxa"/>
            <w:vAlign w:val="bottom"/>
            <w:shd w:val="clear" w:color="auto" w:fill="CCEEFF"/>
          </w:tcPr>
          <w:p>
            <w:pPr>
              <w:spacing w:after="0"/>
              <w:rPr>
                <w:sz w:val="21"/>
                <w:szCs w:val="21"/>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1,327.8</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7"/>
                <w:szCs w:val="17"/>
                <w:color w:val="auto"/>
              </w:rPr>
              <w:t>Effect of exchange rate changes on cash, cash equivalents, restricted</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cash</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(decrease) increase in cash, cash equivalents, restricted cash</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Cash Flow</w:t>
      </w:r>
    </w:p>
    <w:p>
      <w:pPr>
        <w:spacing w:after="0" w:line="187"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Cash provided by operating activities in the first nine months of fiscal 2023 decreased compared to the first nine months of fiscal 2022, primarily due to net changes in operating capital, partially offset by net changes in other non-cash items.</w:t>
      </w:r>
    </w:p>
    <w:p>
      <w:pPr>
        <w:spacing w:after="0" w:line="121"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The $45.0 million termination fee accrued in the first nine months of fiscal 2023 under an asset purchase agreement related to Cook Medical’s reproductive health business was paid on August 9, 2023. See Note 2. Acquisitions and Joint Venture of the Consolidated Condensed Financial Statements for further information on the termination fee.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Cash Flow</w:t>
      </w:r>
    </w:p>
    <w:p>
      <w:pPr>
        <w:spacing w:after="0" w:line="254"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Cash used in investing activities in the first nine months of fiscal 2023 was lower than cash used in the first nine months of fiscal 2022, primarily attributable to $1.6 billion cash paid, net of cash acquired, for the Generate acquisition in the first nine months of fiscal 2022. The decrease in cash used for acquisitions was partially offset by an increase in purchases of property, plant and equipment.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Cash Flow</w:t>
      </w:r>
    </w:p>
    <w:p>
      <w:pPr>
        <w:spacing w:after="0" w:line="173"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Cash used in financing activities in the first nine months of fiscal 2023 was primarily due to repayments of $338.0 million on the 2021 364-day term loan, partially offset by $163.5 million of funds drawn on the 2020 revolving credit.</w:t>
      </w:r>
    </w:p>
    <w:p>
      <w:pPr>
        <w:spacing w:after="0" w:line="108" w:lineRule="exact"/>
        <w:rPr>
          <w:sz w:val="20"/>
          <w:szCs w:val="20"/>
          <w:color w:val="auto"/>
        </w:rPr>
      </w:pPr>
    </w:p>
    <w:p>
      <w:pPr>
        <w:jc w:val="both"/>
        <w:ind w:right="100"/>
        <w:spacing w:after="0" w:line="261" w:lineRule="auto"/>
        <w:rPr>
          <w:sz w:val="20"/>
          <w:szCs w:val="20"/>
          <w:color w:val="auto"/>
        </w:rPr>
      </w:pPr>
      <w:r>
        <w:rPr>
          <w:rFonts w:ascii="Arial" w:cs="Arial" w:eastAsia="Arial" w:hAnsi="Arial"/>
          <w:sz w:val="17"/>
          <w:szCs w:val="17"/>
          <w:color w:val="auto"/>
        </w:rPr>
        <w:t>Cash provided by financing activities in the first nine months of fiscal 2022 was primarily due to funds received from the 2021 term loan facility ($1.5 billion) and the 2021 364-day term loan facility ($840.0 million), partially offset by $549.0 million repayments of the 2021 revolving credit, $380.0 million repayments of the 2021 364-day term loan facility, and $78.5 million repurchases of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Refer to Note 5. Financing Arrangements for further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maximum commitments and the net amounts available to us under different credit facilities as of July 31, 2023:</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4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(In millions)</w:t>
            </w:r>
          </w:p>
        </w:tc>
        <w:tc>
          <w:tcPr>
            <w:tcW w:w="100" w:type="dxa"/>
            <w:vAlign w:val="bottom"/>
          </w:tcPr>
          <w:p>
            <w:pPr>
              <w:spacing w:after="0"/>
              <w:rPr>
                <w:sz w:val="16"/>
                <w:szCs w:val="1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Facility Limit</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Outstanding</w:t>
            </w: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b w:val="1"/>
                <w:bCs w:val="1"/>
                <w:color w:val="auto"/>
                <w:w w:val="91"/>
              </w:rPr>
              <w:t>Total Amount</w:t>
            </w:r>
          </w:p>
        </w:tc>
        <w:tc>
          <w:tcPr>
            <w:tcW w:w="21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Maturity Date</w:t>
            </w:r>
          </w:p>
        </w:tc>
        <w:tc>
          <w:tcPr>
            <w:tcW w:w="0" w:type="dxa"/>
            <w:vAlign w:val="bottom"/>
          </w:tcPr>
          <w:p>
            <w:pPr>
              <w:spacing w:after="0"/>
              <w:rPr>
                <w:sz w:val="1"/>
                <w:szCs w:val="1"/>
                <w:color w:val="auto"/>
              </w:rPr>
            </w:pPr>
          </w:p>
        </w:tc>
      </w:tr>
      <w:tr>
        <w:trPr>
          <w:trHeight w:val="170"/>
        </w:trPr>
        <w:tc>
          <w:tcPr>
            <w:tcW w:w="34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50" w:lineRule="exact"/>
              <w:rPr>
                <w:sz w:val="20"/>
                <w:szCs w:val="20"/>
                <w:color w:val="auto"/>
              </w:rPr>
            </w:pPr>
            <w:r>
              <w:rPr>
                <w:rFonts w:ascii="Arial" w:cs="Arial" w:eastAsia="Arial" w:hAnsi="Arial"/>
                <w:sz w:val="17"/>
                <w:szCs w:val="17"/>
                <w:b w:val="1"/>
                <w:bCs w:val="1"/>
                <w:color w:val="auto"/>
                <w:w w:val="88"/>
              </w:rPr>
              <w:t>Borrowings</w:t>
            </w:r>
          </w:p>
        </w:tc>
        <w:tc>
          <w:tcPr>
            <w:tcW w:w="1460" w:type="dxa"/>
            <w:vAlign w:val="bottom"/>
            <w:gridSpan w:val="3"/>
          </w:tcPr>
          <w:p>
            <w:pPr>
              <w:jc w:val="right"/>
              <w:ind w:right="180"/>
              <w:spacing w:after="0" w:line="150" w:lineRule="exact"/>
              <w:rPr>
                <w:sz w:val="20"/>
                <w:szCs w:val="20"/>
                <w:color w:val="auto"/>
              </w:rPr>
            </w:pPr>
            <w:r>
              <w:rPr>
                <w:rFonts w:ascii="Arial" w:cs="Arial" w:eastAsia="Arial" w:hAnsi="Arial"/>
                <w:sz w:val="17"/>
                <w:szCs w:val="17"/>
                <w:b w:val="1"/>
                <w:bCs w:val="1"/>
                <w:color w:val="auto"/>
                <w:w w:val="95"/>
              </w:rPr>
              <w:t>Letters of Credit</w:t>
            </w:r>
          </w:p>
        </w:tc>
        <w:tc>
          <w:tcPr>
            <w:tcW w:w="100" w:type="dxa"/>
            <w:vAlign w:val="bottom"/>
          </w:tcPr>
          <w:p>
            <w:pPr>
              <w:spacing w:after="0"/>
              <w:rPr>
                <w:sz w:val="14"/>
                <w:szCs w:val="14"/>
                <w:color w:val="auto"/>
              </w:rPr>
            </w:pPr>
          </w:p>
        </w:tc>
        <w:tc>
          <w:tcPr>
            <w:tcW w:w="1140" w:type="dxa"/>
            <w:vAlign w:val="bottom"/>
          </w:tcPr>
          <w:p>
            <w:pPr>
              <w:jc w:val="right"/>
              <w:ind w:right="195"/>
              <w:spacing w:after="0" w:line="150" w:lineRule="exact"/>
              <w:rPr>
                <w:sz w:val="20"/>
                <w:szCs w:val="20"/>
                <w:color w:val="auto"/>
              </w:rPr>
            </w:pPr>
            <w:r>
              <w:rPr>
                <w:rFonts w:ascii="Arial" w:cs="Arial" w:eastAsia="Arial" w:hAnsi="Arial"/>
                <w:sz w:val="17"/>
                <w:szCs w:val="17"/>
                <w:b w:val="1"/>
                <w:bCs w:val="1"/>
                <w:color w:val="auto"/>
              </w:rPr>
              <w:t>Available</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 w:type="dxa"/>
            <w:vAlign w:val="bottom"/>
            <w:gridSpan w:val="2"/>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460" w:type="dxa"/>
            <w:vAlign w:val="bottom"/>
            <w:gridSpan w:val="3"/>
          </w:tcPr>
          <w:p>
            <w:pPr>
              <w:spacing w:after="0"/>
              <w:rPr>
                <w:sz w:val="20"/>
                <w:szCs w:val="20"/>
                <w:color w:val="auto"/>
              </w:rPr>
            </w:pPr>
            <w:r>
              <w:rPr>
                <w:rFonts w:ascii="Arial" w:cs="Arial" w:eastAsia="Arial" w:hAnsi="Arial"/>
                <w:sz w:val="17"/>
                <w:szCs w:val="17"/>
                <w:b w:val="1"/>
                <w:bCs w:val="1"/>
                <w:color w:val="auto"/>
              </w:rPr>
              <w:t>Revolving Credit: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95"/>
              </w:rPr>
              <w:t>2020</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Revolving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1,124.3</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 2025</w:t>
            </w:r>
          </w:p>
        </w:tc>
        <w:tc>
          <w:tcPr>
            <w:tcW w:w="0" w:type="dxa"/>
            <w:vAlign w:val="bottom"/>
          </w:tcPr>
          <w:p>
            <w:pPr>
              <w:spacing w:after="0"/>
              <w:rPr>
                <w:sz w:val="1"/>
                <w:szCs w:val="1"/>
                <w:color w:val="auto"/>
              </w:rPr>
            </w:pPr>
          </w:p>
        </w:tc>
      </w:tr>
      <w:tr>
        <w:trPr>
          <w:trHeight w:val="225"/>
        </w:trPr>
        <w:tc>
          <w:tcPr>
            <w:tcW w:w="3460" w:type="dxa"/>
            <w:vAlign w:val="bottom"/>
            <w:gridSpan w:val="3"/>
          </w:tcPr>
          <w:p>
            <w:pPr>
              <w:spacing w:after="0"/>
              <w:rPr>
                <w:sz w:val="20"/>
                <w:szCs w:val="20"/>
                <w:color w:val="auto"/>
              </w:rPr>
            </w:pPr>
            <w:r>
              <w:rPr>
                <w:rFonts w:ascii="Arial" w:cs="Arial" w:eastAsia="Arial" w:hAnsi="Arial"/>
                <w:sz w:val="17"/>
                <w:szCs w:val="17"/>
                <w:b w:val="1"/>
                <w:bCs w:val="1"/>
                <w:color w:val="auto"/>
              </w:rPr>
              <w:t>Term loan:</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95"/>
              </w:rPr>
              <w:t>2020</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 2025</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7"/>
                <w:szCs w:val="17"/>
                <w:color w:val="auto"/>
                <w:w w:val="95"/>
              </w:rPr>
              <w:t>2021</w:t>
            </w:r>
          </w:p>
        </w:tc>
        <w:tc>
          <w:tcPr>
            <w:tcW w:w="3080" w:type="dxa"/>
            <w:vAlign w:val="bottom"/>
            <w:gridSpan w:val="2"/>
          </w:tcPr>
          <w:p>
            <w:pPr>
              <w:ind w:left="20"/>
              <w:spacing w:after="0"/>
              <w:rPr>
                <w:sz w:val="20"/>
                <w:szCs w:val="20"/>
                <w:color w:val="auto"/>
              </w:rPr>
            </w:pPr>
            <w:r>
              <w:rPr>
                <w:rFonts w:ascii="Arial" w:cs="Arial" w:eastAsia="Arial" w:hAnsi="Arial"/>
                <w:sz w:val="17"/>
                <w:szCs w:val="17"/>
                <w:color w:val="auto"/>
              </w:rPr>
              <w:t>Term Loan</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spacing w:after="0"/>
              <w:rPr>
                <w:sz w:val="20"/>
                <w:szCs w:val="20"/>
                <w:color w:val="auto"/>
              </w:rPr>
            </w:pPr>
            <w:r>
              <w:rPr>
                <w:rFonts w:ascii="Arial" w:cs="Arial" w:eastAsia="Arial" w:hAnsi="Arial"/>
                <w:sz w:val="17"/>
                <w:szCs w:val="17"/>
                <w:color w:val="auto"/>
              </w:rPr>
              <w:t>December 17, 2026</w:t>
            </w:r>
          </w:p>
        </w:tc>
        <w:tc>
          <w:tcPr>
            <w:tcW w:w="0" w:type="dxa"/>
            <w:vAlign w:val="bottom"/>
          </w:tcPr>
          <w:p>
            <w:pPr>
              <w:spacing w:after="0"/>
              <w:rPr>
                <w:sz w:val="1"/>
                <w:szCs w:val="1"/>
                <w:color w:val="auto"/>
              </w:rPr>
            </w:pPr>
          </w:p>
        </w:tc>
      </w:tr>
      <w:tr>
        <w:trPr>
          <w:trHeight w:val="255"/>
        </w:trPr>
        <w:tc>
          <w:tcPr>
            <w:tcW w:w="34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1,124.3</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As of July 31, 2023, the Company was in compliance with all debt covenants. See Note 5. Financing Arrangements of the Consolidated Condensed Financial Statements for further information.</w:t>
      </w:r>
    </w:p>
    <w:p>
      <w:pPr>
        <w:spacing w:after="0" w:line="121"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Considering recent market conditions,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w:t>
      </w:r>
    </w:p>
    <w:p>
      <w:pPr>
        <w:spacing w:after="0" w:line="173"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In December 2011, our Board of Directors authorized the 2012 Program and through subsequent amendments, the most recent in March 2017, the total repurchase authorization was increased from $500.0 million to $1.0 billion of the Company's common stock. The program has no expiration date and may be discontinued at any time. Purchases under the 2012 Program are subject to a review of the circumstances in place at the time and may be made from time to time as permitted by securities laws and other legal requirements. As of July 31, 2023, $256.4 million remains authorized for repurchase under the 2012 Program.</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During the nine months ended July 31, 2023, there were no share repurchases under the 2012 Program. During the nine months ended July 31, 2022, the Company repurchased 191.2 thousand shares of its common stock for $78.5 million, at an average purchase price of $410.41 per share.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paid a semiannual dividend of approximately $1.5 million or 3 cents per share, on February 10, 2023, to stockholders of record on January 23, 2023. We paid another semiannual dividend of approximately $1.5 million or 3 cents per share, on August 11, 2023, to stockholders of record on July 27, 2023.</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from LIBOR</w:t>
      </w:r>
    </w:p>
    <w:p>
      <w:pPr>
        <w:spacing w:after="0" w:line="17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 xml:space="preserve">The UK’s Financial Conduct Authority (FCA),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Further, in March 2020, the Financial Accounting Standards Board (FASB) issued ASU 2020-04, </w:t>
      </w:r>
      <w:r>
        <w:rPr>
          <w:rFonts w:ascii="Arial" w:cs="Arial" w:eastAsia="Arial" w:hAnsi="Arial"/>
          <w:sz w:val="17"/>
          <w:szCs w:val="17"/>
          <w:i w:val="1"/>
          <w:iCs w:val="1"/>
          <w:color w:val="auto"/>
        </w:rPr>
        <w:t>Reference Rate Reform (Topic 848): Facilitation of the Effects of Reference Rate Reform on Financial Reporting</w:t>
      </w:r>
      <w:r>
        <w:rPr>
          <w:rFonts w:ascii="Arial" w:cs="Arial" w:eastAsia="Arial" w:hAnsi="Arial"/>
          <w:sz w:val="17"/>
          <w:szCs w:val="17"/>
          <w:color w:val="auto"/>
        </w:rPr>
        <w:t>. This guidance provides optional expedients and exceptions for applying GAAP to contracts, hedging relationships, and other transactions affected by reference rate reform if certain criteria are met. Effective February 1, 2023, the Company transitioned its credit agreements from LIBOR to the Secured Overnight Financing Rate ("SOFR").</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 and Critical Accounting Policies</w:t>
      </w:r>
    </w:p>
    <w:p>
      <w:pPr>
        <w:spacing w:after="0" w:line="254"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Information regarding estimates and critical accounting policies is included in Management's Discussion and Analysis in our Form 10-K for the fiscal year ended October 31, 2022. There have been no material changes in our policies from those previously discussed in our Form 10-K for the fiscal year ended October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w:t>
      </w:r>
    </w:p>
    <w:p>
      <w:pPr>
        <w:spacing w:after="0" w:line="17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Information regarding new accounting pronouncements is included in Note 1. General of the Consolidated Condensed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 About Market Risk</w:t>
      </w:r>
    </w:p>
    <w:p>
      <w:pPr>
        <w:spacing w:after="0" w:line="169"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We are exposed to market risks that relate principally to changes in interest rates and foreign currency fluctuations. We do not enter into derivative financial instrument transactions for speculative purposes.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Risk</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are exposed to risks caused by changes in foreign exchange, principally our British pound sterling, euro and Japanese yen denominated debt and receivables denominated in currencies other than the United States dollar, and from operations in other foreign currencies.</w:t>
      </w:r>
    </w:p>
    <w:p>
      <w:pPr>
        <w:spacing w:after="0" w:line="133" w:lineRule="exact"/>
        <w:rPr>
          <w:sz w:val="20"/>
          <w:szCs w:val="20"/>
          <w:color w:val="auto"/>
        </w:rPr>
      </w:pPr>
    </w:p>
    <w:p>
      <w:pPr>
        <w:ind w:right="440"/>
        <w:spacing w:after="0" w:line="261" w:lineRule="auto"/>
        <w:rPr>
          <w:sz w:val="20"/>
          <w:szCs w:val="20"/>
          <w:color w:val="auto"/>
        </w:rPr>
      </w:pPr>
      <w:r>
        <w:rPr>
          <w:rFonts w:ascii="Arial" w:cs="Arial" w:eastAsia="Arial" w:hAnsi="Arial"/>
          <w:sz w:val="17"/>
          <w:szCs w:val="17"/>
          <w:color w:val="auto"/>
        </w:rPr>
        <w:t>We have taken steps to minimize our balance sheet exposure by entering into foreign currency forward contracts to minimize the short-term impact of foreign currency exchange rate fluctuations on certain trade and intercompany receivables and payables. These forward contracts are not designated as hedging instruments. The instruments are marked to market through earnings each period.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are exposed to risks associated with changes in interest rates, as the interest rates on our revolving lines of credit and term loans may vary with the federal funds rate and SOFR (and, previously, LIBOR). As of July 31, 2023, we had outstanding debt for an aggregate carrying amount of $2.6 billion. We have entered, and in the future may enter, into interest rate swaps to manage interest rate risk. Effective February 1, 2023, the base interest rate on our credit agreements was converted from LIBOR to SOFR.</w:t>
      </w:r>
    </w:p>
    <w:p>
      <w:pPr>
        <w:spacing w:after="0" w:line="132"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third quarter of fiscal 2023. See Note 5. Financing Arrangements of the Consolidated Condensed Financial Statements for further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3" w:lineRule="exact"/>
        <w:rPr>
          <w:sz w:val="20"/>
          <w:szCs w:val="20"/>
          <w:color w:val="auto"/>
        </w:rPr>
      </w:pPr>
    </w:p>
    <w:p>
      <w:pPr>
        <w:jc w:val="both"/>
        <w:ind w:right="440"/>
        <w:spacing w:after="0" w:line="261"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required by Rule 13a-15(d) and 15d-15(d) of the Exchange Act that occurred during our third quarter of fiscal 2023,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250"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Information regarding legal proceedings is included in Note 10. Contingencies of the Consolidated Condensed Financial Statements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50" w:lineRule="exact"/>
        <w:rPr>
          <w:sz w:val="20"/>
          <w:szCs w:val="20"/>
          <w:color w:val="auto"/>
        </w:rPr>
      </w:pPr>
    </w:p>
    <w:p>
      <w:pPr>
        <w:spacing w:after="0" w:line="312" w:lineRule="auto"/>
        <w:rPr>
          <w:sz w:val="20"/>
          <w:szCs w:val="20"/>
          <w:color w:val="auto"/>
        </w:rPr>
      </w:pPr>
      <w:r>
        <w:rPr>
          <w:rFonts w:ascii="Arial" w:cs="Arial" w:eastAsia="Arial" w:hAnsi="Arial"/>
          <w:sz w:val="15"/>
          <w:szCs w:val="15"/>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78"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Risk factors describing the major risks to our business can be found under Item 1A. Risk Factors in our Annual Report on Form 10-K for the fiscal year ended October 31, 2022. There have been no material changes to the risk factors previously disclosed in our Annual Report on Form 10-K for the fiscal year ended October 31, 2022.</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559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5592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4" w:lineRule="exact"/>
        <w:rPr>
          <w:sz w:val="20"/>
          <w:szCs w:val="20"/>
          <w:color w:val="auto"/>
        </w:rPr>
      </w:pPr>
    </w:p>
    <w:p>
      <w:pPr>
        <w:jc w:val="both"/>
        <w:ind w:right="320"/>
        <w:spacing w:after="0" w:line="269" w:lineRule="auto"/>
        <w:rPr>
          <w:sz w:val="20"/>
          <w:szCs w:val="20"/>
          <w:color w:val="auto"/>
        </w:rPr>
      </w:pPr>
      <w:r>
        <w:rPr>
          <w:rFonts w:ascii="Arial" w:cs="Arial" w:eastAsia="Arial" w:hAnsi="Arial"/>
          <w:sz w:val="17"/>
          <w:szCs w:val="17"/>
          <w:color w:val="auto"/>
        </w:rPr>
        <w:t>The share repurchase program was approved by the Company’s Board of Directors in December 2011 (2012 Program). The program as amended in December 2012, December 2013 and March 2017 provides authorization to repurchase up to a total of $1.0 billion of the Company’s common stock. As of July 31, 2023, $256.4 million remains authorized for repurchase under the 2012 Program.</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July 31, 2023, there were no share repurchases under the 2012 Program.</w:t>
      </w:r>
    </w:p>
    <w:p>
      <w:pPr>
        <w:spacing w:after="0" w:line="16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During the three months ended July 31, 2022, there were no share repurchases under the 2012 Program. During the nine months ended July 31, 2022, the Company repurchased 191.2 thousand shares of its common stock for $78.5 million, at an average purchase price of $410.41 per share.</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Defaults Upon Senior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Mine Safety Disclosures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Other Information</w:t>
      </w:r>
    </w:p>
    <w:p>
      <w:pPr>
        <w:spacing w:after="0" w:line="250"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During the three months ended July 31,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29" w:name="page30"/>
    <w:bookmarkEnd w:id="29"/>
    <w:p>
      <w:pPr>
        <w:jc w:val="center"/>
        <w:ind w:right="-19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Exhibits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w:t>
      </w:r>
    </w:p>
    <w:p>
      <w:pPr>
        <w:ind w:left="20"/>
        <w:spacing w:after="0"/>
        <w:tabs>
          <w:tab w:leader="none" w:pos="860" w:val="left"/>
        </w:tabs>
        <w:rPr>
          <w:sz w:val="20"/>
          <w:szCs w:val="20"/>
          <w:color w:val="auto"/>
        </w:rPr>
      </w:pPr>
      <w:r>
        <w:rPr>
          <w:rFonts w:ascii="Arial" w:cs="Arial" w:eastAsia="Arial" w:hAnsi="Arial"/>
          <w:sz w:val="17"/>
          <w:szCs w:val="17"/>
          <w:u w:val="single" w:color="auto"/>
          <w:color w:val="auto"/>
        </w:rPr>
        <w:t>Number</w:t>
      </w:r>
      <w:r>
        <w:rPr>
          <w:sz w:val="20"/>
          <w:szCs w:val="20"/>
          <w:color w:val="auto"/>
        </w:rPr>
        <w:tab/>
      </w:r>
      <w:r>
        <w:rPr>
          <w:rFonts w:ascii="Arial" w:cs="Arial" w:eastAsia="Arial" w:hAnsi="Arial"/>
          <w:sz w:val="17"/>
          <w:szCs w:val="17"/>
          <w:u w:val="single" w:color="auto"/>
          <w:color w:val="auto"/>
        </w:rPr>
        <w:t>Description</w:t>
      </w:r>
    </w:p>
    <w:p>
      <w:pPr>
        <w:spacing w:after="0" w:line="115"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u w:val="single" w:color="auto"/>
          <w:color w:val="0000FF"/>
        </w:rPr>
        <w:t>Certification of the Chief Executive Officer, pursuant to Rule 13a-14(a) under the Securities Exchange Act of 1934</w:t>
      </w:r>
    </w:p>
    <w:p>
      <w:pPr>
        <w:spacing w:after="0" w:line="129"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u w:val="single" w:color="auto"/>
          <w:color w:val="0000FF"/>
        </w:rPr>
        <w:t>Certification of the Chief Financial Officer, pursuant to Rule 13a-14(a) under the Securities Exchange Act of 1934</w:t>
      </w:r>
    </w:p>
    <w:p>
      <w:pPr>
        <w:spacing w:after="0" w:line="129"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u w:val="single" w:color="auto"/>
          <w:color w:val="0000FF"/>
        </w:rPr>
        <w:t>Certification of the Chief Executive Officer, pursuant to 18 U.S.C. Section 1350</w:t>
      </w:r>
    </w:p>
    <w:p>
      <w:pPr>
        <w:spacing w:after="0" w:line="129"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u w:val="single" w:color="auto"/>
          <w:color w:val="0000FF"/>
        </w:rPr>
        <w:t>Certification of the Chief Financial Officer, pursuant to 18 U.S.C. Section 1350</w:t>
      </w:r>
    </w:p>
    <w:p>
      <w:pPr>
        <w:spacing w:after="0" w:line="129" w:lineRule="exact"/>
        <w:rPr>
          <w:sz w:val="20"/>
          <w:szCs w:val="20"/>
          <w:color w:val="auto"/>
        </w:rPr>
      </w:pPr>
    </w:p>
    <w:p>
      <w:pPr>
        <w:ind w:left="880" w:right="60" w:hanging="687"/>
        <w:spacing w:after="0" w:line="253" w:lineRule="auto"/>
        <w:tabs>
          <w:tab w:leader="none" w:pos="86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5"/>
          <w:szCs w:val="15"/>
          <w:color w:val="auto"/>
        </w:rPr>
        <w:t>The following materials from the Company's Quarterly Report on Form 10-Q for the three and nine months period ended July 31, 2023 formatted in Inline XBRL (Extensible Business Reporting Language): (i) Consolidated Condensed Statements of Income and Comprehensive Income, (ii)</w:t>
      </w:r>
    </w:p>
    <w:p>
      <w:pPr>
        <w:spacing w:after="0" w:line="1" w:lineRule="exact"/>
        <w:rPr>
          <w:sz w:val="20"/>
          <w:szCs w:val="20"/>
          <w:color w:val="auto"/>
        </w:rPr>
      </w:pPr>
    </w:p>
    <w:p>
      <w:pPr>
        <w:ind w:left="880"/>
        <w:spacing w:after="0" w:line="223" w:lineRule="auto"/>
        <w:rPr>
          <w:sz w:val="20"/>
          <w:szCs w:val="20"/>
          <w:color w:val="auto"/>
        </w:rPr>
      </w:pPr>
      <w:r>
        <w:rPr>
          <w:rFonts w:ascii="Arial" w:cs="Arial" w:eastAsia="Arial" w:hAnsi="Arial"/>
          <w:sz w:val="17"/>
          <w:szCs w:val="17"/>
          <w:color w:val="auto"/>
        </w:rPr>
        <w:t>Consolidated Condensed Balance Sheets, (iii) Consolidated Condensed Statements of Stockholders' Equity, (iv) Consolidated Condensed Statements of Cash Flows and (v) related Notes to Consolidated Condensed Financial Statements.</w:t>
      </w:r>
    </w:p>
    <w:p>
      <w:pPr>
        <w:spacing w:after="0" w:line="109"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7"/>
          <w:szCs w:val="17"/>
          <w:color w:val="auto"/>
        </w:rPr>
        <w:t>104.1</w:t>
      </w:r>
      <w:r>
        <w:rPr>
          <w:sz w:val="20"/>
          <w:szCs w:val="20"/>
          <w:color w:val="auto"/>
        </w:rPr>
        <w:tab/>
      </w:r>
      <w:r>
        <w:rPr>
          <w:rFonts w:ascii="Arial" w:cs="Arial" w:eastAsia="Arial" w:hAnsi="Arial"/>
          <w:sz w:val="15"/>
          <w:szCs w:val="15"/>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00" w:right="519" w:bottom="1440" w:gutter="0" w:footer="0" w:header="0"/>
        </w:sectPr>
      </w:pPr>
    </w:p>
    <w:bookmarkStart w:id="30" w:name="page31"/>
    <w:bookmarkEnd w:id="30"/>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00"/>
        <w:spacing w:after="0"/>
        <w:rPr>
          <w:sz w:val="20"/>
          <w:szCs w:val="20"/>
          <w:color w:val="auto"/>
        </w:rPr>
      </w:pPr>
      <w:r>
        <w:rPr>
          <w:rFonts w:ascii="Arial" w:cs="Arial" w:eastAsia="Arial" w:hAnsi="Arial"/>
          <w:sz w:val="17"/>
          <w:szCs w:val="17"/>
          <w:u w:val="single" w:color="auto"/>
          <w:color w:val="auto"/>
        </w:rPr>
        <w:t>SIGNATURES</w:t>
      </w:r>
    </w:p>
    <w:p>
      <w:pPr>
        <w:spacing w:after="0" w:line="16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jc w:val="center"/>
        <w:ind w:left="4540"/>
        <w:spacing w:after="0"/>
        <w:rPr>
          <w:sz w:val="20"/>
          <w:szCs w:val="20"/>
          <w:color w:val="auto"/>
        </w:rPr>
      </w:pPr>
      <w:r>
        <w:rPr>
          <w:rFonts w:ascii="Arial" w:cs="Arial" w:eastAsia="Arial" w:hAnsi="Arial"/>
          <w:sz w:val="17"/>
          <w:szCs w:val="17"/>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24130</wp:posOffset>
            </wp:positionV>
            <wp:extent cx="33343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jc w:val="center"/>
        <w:ind w:left="4540"/>
        <w:spacing w:after="0"/>
        <w:rPr>
          <w:sz w:val="20"/>
          <w:szCs w:val="20"/>
          <w:color w:val="auto"/>
        </w:rPr>
      </w:pPr>
      <w:r>
        <w:rPr>
          <w:rFonts w:ascii="Arial" w:cs="Arial" w:eastAsia="Arial" w:hAnsi="Arial"/>
          <w:sz w:val="17"/>
          <w:szCs w:val="17"/>
          <w:color w:val="auto"/>
        </w:rPr>
        <w:t>(Registrant)</w:t>
      </w:r>
    </w:p>
    <w:p>
      <w:pPr>
        <w:spacing w:after="0" w:line="304" w:lineRule="exact"/>
        <w:rPr>
          <w:sz w:val="20"/>
          <w:szCs w:val="20"/>
          <w:color w:val="auto"/>
        </w:rPr>
      </w:pPr>
    </w:p>
    <w:p>
      <w:pPr>
        <w:ind w:left="20"/>
        <w:spacing w:after="0"/>
        <w:tabs>
          <w:tab w:leader="none" w:pos="7160" w:val="left"/>
        </w:tabs>
        <w:rPr>
          <w:sz w:val="20"/>
          <w:szCs w:val="20"/>
          <w:color w:val="auto"/>
        </w:rPr>
      </w:pPr>
      <w:r>
        <w:rPr>
          <w:rFonts w:ascii="Arial" w:cs="Arial" w:eastAsia="Arial" w:hAnsi="Arial"/>
          <w:sz w:val="17"/>
          <w:szCs w:val="17"/>
          <w:color w:val="auto"/>
        </w:rPr>
        <w:t>Date: August 31, 2023</w:t>
      </w:r>
      <w:r>
        <w:rPr>
          <w:sz w:val="20"/>
          <w:szCs w:val="20"/>
          <w:color w:val="auto"/>
        </w:rPr>
        <w:tab/>
      </w:r>
      <w:r>
        <w:rPr>
          <w:rFonts w:ascii="Arial" w:cs="Arial" w:eastAsia="Arial" w:hAnsi="Arial"/>
          <w:sz w:val="15"/>
          <w:szCs w:val="15"/>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24130</wp:posOffset>
            </wp:positionV>
            <wp:extent cx="33343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Brian G. Andrews</w:t>
      </w:r>
    </w:p>
    <w:p>
      <w:pPr>
        <w:spacing w:after="0" w:line="2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Executive Vice President, Chief Financial Officer and Treasurer</w:t>
      </w:r>
    </w:p>
    <w:p>
      <w:pPr>
        <w:ind w:left="69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7160" w:val="left"/>
        </w:tabs>
        <w:rPr>
          <w:sz w:val="20"/>
          <w:szCs w:val="20"/>
          <w:color w:val="auto"/>
        </w:rPr>
      </w:pPr>
      <w:r>
        <w:rPr>
          <w:rFonts w:ascii="Arial" w:cs="Arial" w:eastAsia="Arial" w:hAnsi="Arial"/>
          <w:sz w:val="17"/>
          <w:szCs w:val="17"/>
          <w:color w:val="auto"/>
        </w:rPr>
        <w:t>Date: August 31, 2023</w:t>
      </w:r>
      <w:r>
        <w:rPr>
          <w:sz w:val="20"/>
          <w:szCs w:val="20"/>
          <w:color w:val="auto"/>
        </w:rPr>
        <w:tab/>
      </w:r>
      <w:r>
        <w:rPr>
          <w:rFonts w:ascii="Arial" w:cs="Arial" w:eastAsia="Arial" w:hAnsi="Arial"/>
          <w:sz w:val="15"/>
          <w:szCs w:val="15"/>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24130</wp:posOffset>
            </wp:positionV>
            <wp:extent cx="33343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Agostino Ricupati</w:t>
      </w:r>
    </w:p>
    <w:p>
      <w:pPr>
        <w:spacing w:after="0" w:line="34"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Senior Vice President and Chief Accounting Officer (Principal Accounting</w:t>
      </w:r>
    </w:p>
    <w:p>
      <w:pPr>
        <w:spacing w:after="0" w:line="6"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00"/>
          </w:cols>
          <w:pgMar w:left="320" w:top="800" w:right="8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August 31, 2023</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Albert G. White III</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August 31, 2023</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Brian G. Andrews</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Executive Vice President, Chief Financial Officer and</w:t>
      </w:r>
    </w:p>
    <w:p>
      <w:pPr>
        <w:jc w:val="center"/>
        <w:ind w:right="-299"/>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36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Albert G. White III,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July 31, 2023,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August 31,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G. White III</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Albert G. White III</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Brian G. Andrews,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July 31, 2023,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August 31,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Andrews</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Brian G. Andrews</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2023-08-31T16:06:56Z</dcterms:created>
  <dcterms:modified xsi:type="dcterms:W3CDTF">2023-08-31T16:06:56Z</dcterms:modified>
</cp:coreProperties>
</file>