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2026</w:t>
      </w:r>
    </w:p>
    <w:p>
      <w:pPr>
        <w:spacing w:after="0" w:line="5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COOPER COMPANIES,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370"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1-8597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94-2657368</w:t>
      </w:r>
    </w:p>
    <w:p>
      <w:pPr>
        <w:spacing w:after="0" w:line="42" w:lineRule="exact"/>
        <w:rPr>
          <w:sz w:val="24"/>
          <w:szCs w:val="24"/>
          <w:color w:val="auto"/>
        </w:rPr>
      </w:pPr>
    </w:p>
    <w:p>
      <w:pPr>
        <w:sectPr>
          <w:pgSz w:w="11900" w:h="16838" w:orient="portrait"/>
          <w:cols w:equalWidth="0" w:num="3">
            <w:col w:w="4940" w:space="720"/>
            <w:col w:w="2840" w:space="720"/>
            <w:col w:w="2020"/>
          </w:cols>
          <w:pgMar w:left="320" w:top="1440"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ind w:left="140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(Commission</w:t>
      </w:r>
    </w:p>
    <w:p>
      <w:pPr>
        <w:ind w:left="20"/>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800" w:space="720"/>
            <w:col w:w="2880" w:space="720"/>
            <w:col w:w="2120"/>
          </w:cols>
          <w:pgMar w:left="320" w:top="1440" w:right="3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6101 Bollinger Canyon Road, Suite 500, San Ramon, California 94583</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including Zip Code)</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460-3600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15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35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75"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0" w:lineRule="exact"/>
        <w:rPr>
          <w:rFonts w:ascii="MS PGothic" w:cs="MS PGothic" w:eastAsia="MS PGothic" w:hAnsi="MS PGothic"/>
          <w:sz w:val="18"/>
          <w:szCs w:val="18"/>
          <w:color w:val="auto"/>
        </w:rPr>
      </w:pPr>
    </w:p>
    <w:p>
      <w:pPr>
        <w:ind w:left="540" w:hanging="514"/>
        <w:spacing w:after="0"/>
        <w:tabs>
          <w:tab w:leader="none" w:pos="5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3" w:lineRule="exact"/>
        <w:rPr>
          <w:rFonts w:ascii="MS PGothic" w:cs="MS PGothic" w:eastAsia="MS PGothic" w:hAnsi="MS PGothic"/>
          <w:sz w:val="36"/>
          <w:szCs w:val="36"/>
          <w:color w:val="auto"/>
          <w:vertAlign w:val="subscript"/>
        </w:rPr>
      </w:pPr>
    </w:p>
    <w:p>
      <w:pPr>
        <w:ind w:left="540" w:hanging="514"/>
        <w:spacing w:after="0"/>
        <w:tabs>
          <w:tab w:leader="none" w:pos="5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3" w:lineRule="exact"/>
        <w:rPr>
          <w:rFonts w:ascii="MS PGothic" w:cs="MS PGothic" w:eastAsia="MS PGothic" w:hAnsi="MS PGothic"/>
          <w:sz w:val="36"/>
          <w:szCs w:val="36"/>
          <w:color w:val="auto"/>
          <w:vertAlign w:val="subscript"/>
        </w:rPr>
      </w:pPr>
    </w:p>
    <w:p>
      <w:pPr>
        <w:ind w:left="540" w:hanging="514"/>
        <w:spacing w:after="0"/>
        <w:tabs>
          <w:tab w:leader="none" w:pos="5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1"/>
        </w:trPr>
        <w:tc>
          <w:tcPr>
            <w:tcW w:w="70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700" w:type="dxa"/>
            <w:vAlign w:val="bottom"/>
          </w:tcPr>
          <w:p>
            <w:pPr>
              <w:spacing w:after="0"/>
              <w:rPr>
                <w:sz w:val="19"/>
                <w:szCs w:val="19"/>
                <w:color w:val="auto"/>
              </w:rPr>
            </w:pPr>
          </w:p>
        </w:tc>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$0.10 par value</w:t>
            </w:r>
          </w:p>
        </w:tc>
        <w:tc>
          <w:tcPr>
            <w:tcW w:w="16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COO</w:t>
            </w:r>
          </w:p>
        </w:tc>
        <w:tc>
          <w:tcPr>
            <w:tcW w:w="140" w:type="dxa"/>
            <w:vAlign w:val="bottom"/>
          </w:tcPr>
          <w:p>
            <w:pPr>
              <w:spacing w:after="0"/>
              <w:rPr>
                <w:sz w:val="19"/>
                <w:szCs w:val="19"/>
                <w:color w:val="auto"/>
              </w:rPr>
            </w:pPr>
          </w:p>
        </w:tc>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680" w:type="dxa"/>
            <w:vAlign w:val="bottom"/>
          </w:tcPr>
          <w:p>
            <w:pPr>
              <w:spacing w:after="0"/>
              <w:rPr>
                <w:sz w:val="19"/>
                <w:szCs w:val="19"/>
                <w:color w:val="auto"/>
              </w:rPr>
            </w:pPr>
          </w:p>
        </w:tc>
      </w:tr>
      <w:tr>
        <w:trPr>
          <w:trHeight w:val="1204"/>
        </w:trPr>
        <w:tc>
          <w:tcPr>
            <w:tcW w:w="7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0"/>
          <w:szCs w:val="20"/>
          <w:color w:val="auto"/>
        </w:rPr>
      </w:pPr>
    </w:p>
    <w:p>
      <w:pPr>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34" w:right="47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4, 2026, The Cooper Companies, Inc. (the “Company”) issued a press release reporting results for its fiscal second quarter ended April 30, 2026. A copy of this release is attached and incorporated by reference.</w:t>
      </w:r>
    </w:p>
    <w:p>
      <w:pPr>
        <w:spacing w:after="0" w:line="20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This information, including the exhibits(s) hereto, shall not be deemed "filed" for purposes of Section 18 of the Securities and Exchange Act of 1934, as amended (the "Exchange Act"), or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contents of any website or hyperlinks mentioned in the release are for informational purposes only and the contents thereof are not part of the release nor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its June 4, 2026 press release, the Company recorded a charge as further described below.</w:t>
      </w:r>
    </w:p>
    <w:p>
      <w:pPr>
        <w:spacing w:after="0" w:line="252"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In December 2023, CooperSurgical, one of the Company’s two business units, initiated a voluntary recall of three specific lots of CooperSurgical’s LifeGlobal</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global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embryo culture media that it had produced. Subsequently, claims and lawsuits in various U.S. and international jurisdictions were brought by individuals who generally allege that they suffered damages associated with the use of the recalled product, including claims of embryo loss or reduced embryo viability. As of June 4, 2026, more than 140 lawsuits were filed, including three putative class actions (none of which has been certified), and over 1,500 claimants have been proffered to the Company.</w:t>
      </w:r>
    </w:p>
    <w:p>
      <w:pPr>
        <w:spacing w:after="0" w:line="2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Between December 2023 and mid-March 2026, the Company resolved a significant number of claims and lawsuits through settlements which were largely covered by insurance. From mid-March 2026, the Company identified developments, including the procedural acceleration of multiple litigated cases, receipt of additional claimant information, updated damage valuation analysis, and significantly increased projected defense and expert costs, which resulted in a reassessment of exposure. The Company proceeded with negotiations and has reached settlement agreements covering over 95% of claimants. Based on this, management concluded that a loss was probable and reasonably estimable, particularly with respect to potential exposure exceeding available insurance coverage. The net impact to the consolidated statements of operations to resolve outstanding claims was $271.6 million, consisting of $324.1 million accrued litigation liabilities, partially offset by $52.5 million of expected insurance recoveries. The net amount was recorded within Selling, General and Administrative expenses. The Company currently expects the majority of the payments to be made during fiscal 2026.</w:t>
      </w:r>
    </w:p>
    <w:p>
      <w:pPr>
        <w:spacing w:after="0" w:line="26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67"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herewith:</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8"/>
                <w:szCs w:val="18"/>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0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8540" w:type="dxa"/>
            <w:vAlign w:val="bottom"/>
            <w:gridSpan w:val="2"/>
          </w:tcPr>
          <w:p>
            <w:pPr>
              <w:spacing w:after="0"/>
              <w:rPr>
                <w:sz w:val="18"/>
                <w:szCs w:val="18"/>
                <w:color w:val="auto"/>
              </w:rPr>
            </w:pPr>
          </w:p>
        </w:tc>
      </w:tr>
      <w:tr>
        <w:trPr>
          <w:trHeight w:val="210"/>
        </w:trPr>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99.1</w:t>
            </w:r>
          </w:p>
        </w:tc>
        <w:tc>
          <w:tcPr>
            <w:tcW w:w="800" w:type="dxa"/>
            <w:vAlign w:val="bottom"/>
          </w:tcPr>
          <w:p>
            <w:pPr>
              <w:spacing w:after="0"/>
              <w:rPr>
                <w:sz w:val="18"/>
                <w:szCs w:val="18"/>
                <w:color w:val="auto"/>
              </w:rPr>
            </w:pPr>
          </w:p>
        </w:tc>
        <w:tc>
          <w:tcPr>
            <w:tcW w:w="4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June 4, 2026 of The Cooper Companies, Inc.</w:t>
            </w:r>
          </w:p>
        </w:tc>
        <w:tc>
          <w:tcPr>
            <w:tcW w:w="4740" w:type="dxa"/>
            <w:vAlign w:val="bottom"/>
          </w:tcPr>
          <w:p>
            <w:pPr>
              <w:spacing w:after="0"/>
              <w:rPr>
                <w:sz w:val="18"/>
                <w:szCs w:val="18"/>
                <w:color w:val="auto"/>
              </w:rPr>
            </w:pPr>
          </w:p>
        </w:tc>
      </w:tr>
      <w:tr>
        <w:trPr>
          <w:trHeight w:val="250"/>
        </w:trPr>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104.1</w:t>
            </w:r>
          </w:p>
        </w:tc>
        <w:tc>
          <w:tcPr>
            <w:tcW w:w="800" w:type="dxa"/>
            <w:vAlign w:val="bottom"/>
          </w:tcPr>
          <w:p>
            <w:pPr>
              <w:spacing w:after="0"/>
              <w:rPr>
                <w:sz w:val="21"/>
                <w:szCs w:val="21"/>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045"/>
        </w:trPr>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COOPER COMPANIES,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
        <w:spacing w:after="0"/>
        <w:tabs>
          <w:tab w:leader="none" w:pos="660" w:val="left"/>
        </w:tabs>
        <w:rPr>
          <w:sz w:val="20"/>
          <w:szCs w:val="20"/>
          <w:color w:val="auto"/>
        </w:rPr>
      </w:pPr>
      <w:r>
        <w:rPr>
          <w:rFonts w:ascii="Times New Roman" w:cs="Times New Roman" w:eastAsia="Times New Roman" w:hAnsi="Times New Roman"/>
          <w:sz w:val="18"/>
          <w:szCs w:val="18"/>
          <w:color w:val="auto"/>
        </w:rPr>
        <w:t>By:</w:t>
        <w:tab/>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-7620</wp:posOffset>
            </wp:positionV>
            <wp:extent cx="11614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1415"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Albert G. White III</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4, 2026</w:t>
      </w:r>
    </w:p>
    <w:p>
      <w:pPr>
        <w:sectPr>
          <w:pgSz w:w="11900" w:h="16838" w:orient="portrait"/>
          <w:cols w:equalWidth="0" w:num="1">
            <w:col w:w="10680"/>
          </w:cols>
          <w:pgMar w:left="320" w:top="1440" w:right="8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835025</wp:posOffset>
            </wp:positionV>
            <wp:extent cx="2271395"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27139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PRESS RELEASE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CooperCompanies Announces Second Quarter 2026 Results</w:t>
      </w:r>
    </w:p>
    <w:p>
      <w:pPr>
        <w:spacing w:after="0" w:line="200" w:lineRule="exact"/>
        <w:rPr>
          <w:sz w:val="20"/>
          <w:szCs w:val="20"/>
          <w:color w:val="auto"/>
        </w:rPr>
      </w:pPr>
    </w:p>
    <w:p>
      <w:pPr>
        <w:spacing w:after="0" w:line="287" w:lineRule="exact"/>
        <w:rPr>
          <w:sz w:val="20"/>
          <w:szCs w:val="20"/>
          <w:color w:val="auto"/>
        </w:rPr>
      </w:pPr>
    </w:p>
    <w:p>
      <w:pPr>
        <w:ind w:right="580"/>
        <w:spacing w:after="0" w:line="400" w:lineRule="auto"/>
        <w:rPr>
          <w:sz w:val="20"/>
          <w:szCs w:val="20"/>
          <w:color w:val="auto"/>
        </w:rPr>
      </w:pPr>
      <w:r>
        <w:rPr>
          <w:rFonts w:ascii="Arial" w:cs="Arial" w:eastAsia="Arial" w:hAnsi="Arial"/>
          <w:sz w:val="20"/>
          <w:szCs w:val="20"/>
          <w:b w:val="1"/>
          <w:bCs w:val="1"/>
          <w:color w:val="auto"/>
        </w:rPr>
        <w:t xml:space="preserve">San Ramon, Calif., June 4, 2026 </w:t>
      </w:r>
      <w:r>
        <w:rPr>
          <w:rFonts w:ascii="Arial" w:cs="Arial" w:eastAsia="Arial" w:hAnsi="Arial"/>
          <w:sz w:val="20"/>
          <w:szCs w:val="20"/>
          <w:color w:val="auto"/>
        </w:rPr>
        <w:t>— CooperCompanies (Nasdaq: COO), a leading global medical device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financial results for its fiscal second quarter ended April 30, 2026.</w:t>
      </w:r>
    </w:p>
    <w:p>
      <w:pPr>
        <w:spacing w:after="0" w:line="4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Second quarter 2026 revenue of $1.082 billion, up 8%, or up 5% organically, from last year's second quarter.</w:t>
      </w:r>
    </w:p>
    <w:p>
      <w:pPr>
        <w:spacing w:after="0" w:line="242" w:lineRule="exact"/>
        <w:rPr>
          <w:rFonts w:ascii="Arial" w:cs="Arial" w:eastAsia="Arial" w:hAnsi="Arial"/>
          <w:sz w:val="20"/>
          <w:szCs w:val="20"/>
          <w:color w:val="auto"/>
        </w:rPr>
      </w:pPr>
    </w:p>
    <w:p>
      <w:pPr>
        <w:ind w:left="660" w:right="280" w:hanging="328"/>
        <w:spacing w:after="0" w:line="389"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Second quarter 2026 GAAP diluted earnings per share (EPS) of $(0.40), down $0.84 from last year's second quarter driven by a litigation-related charge to resolve outstanding claims associated with a December 2023 voluntary product recall at CooperSurgical.</w:t>
      </w:r>
    </w:p>
    <w:p>
      <w:pPr>
        <w:spacing w:after="0" w:line="56" w:lineRule="exact"/>
        <w:rPr>
          <w:rFonts w:ascii="Arial" w:cs="Arial" w:eastAsia="Arial" w:hAnsi="Arial"/>
          <w:sz w:val="20"/>
          <w:szCs w:val="20"/>
          <w:color w:val="auto"/>
        </w:rPr>
      </w:pPr>
    </w:p>
    <w:p>
      <w:pPr>
        <w:ind w:left="660" w:right="1080" w:hanging="328"/>
        <w:spacing w:after="0" w:line="398"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Second quarter 2026 Non-GAAP diluted EPS of $1.21, up $0.25 or 26% from last year's second quarter. See "Reconciliation of Selected GAAP Results to Non-GAAP Results" below.</w:t>
      </w:r>
    </w:p>
    <w:p>
      <w:pPr>
        <w:spacing w:after="0" w:line="277" w:lineRule="exact"/>
        <w:rPr>
          <w:sz w:val="20"/>
          <w:szCs w:val="20"/>
          <w:color w:val="auto"/>
        </w:rPr>
      </w:pPr>
    </w:p>
    <w:p>
      <w:pPr>
        <w:ind w:right="120"/>
        <w:spacing w:after="0" w:line="376" w:lineRule="auto"/>
        <w:rPr>
          <w:sz w:val="20"/>
          <w:szCs w:val="20"/>
          <w:color w:val="auto"/>
        </w:rPr>
      </w:pPr>
      <w:r>
        <w:rPr>
          <w:rFonts w:ascii="Arial" w:cs="Arial" w:eastAsia="Arial" w:hAnsi="Arial"/>
          <w:sz w:val="20"/>
          <w:szCs w:val="20"/>
          <w:color w:val="auto"/>
        </w:rPr>
        <w:t>"We delivered a strong second quarter, achieving record revenue and non-GAAP earnings per share while marking our tenth consecutive quarter of exceeding consensus earnings expectations," said Al White, CooperCompanies' President and CEO. "Our performance reflects solid execution across our businesses, supported by new product launches, favorable demand drivers, and ongoing focus on operational discipline. In addition, we have reached agreements to resolve substantially all of the outstanding claims related to CooperSurgical's fertility media recall, representing an important step in addressing this issue and allowing us to move forward with our strategic review. Moving forward, we are focused on driving sustainable, profitable growth and strong cash flow, while maintaining discipline in a dynamic operating environment."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Operating Results</w:t>
      </w:r>
    </w:p>
    <w:p>
      <w:pPr>
        <w:spacing w:after="0" w:line="25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of $1.082 billion, up 8% from last year’s second quarter, up 5% in constant currency, up 5% organically.</w:t>
      </w:r>
    </w:p>
    <w:p>
      <w:pPr>
        <w:spacing w:after="0" w:line="242" w:lineRule="exact"/>
        <w:rPr>
          <w:rFonts w:ascii="Arial" w:cs="Arial" w:eastAsia="Arial" w:hAnsi="Arial"/>
          <w:sz w:val="20"/>
          <w:szCs w:val="20"/>
          <w:color w:val="auto"/>
        </w:rPr>
      </w:pPr>
    </w:p>
    <w:p>
      <w:pPr>
        <w:ind w:left="660" w:right="240" w:hanging="328"/>
        <w:spacing w:after="0" w:line="398"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Gross margin of 68% similar to last year's second quarter. On a non-GAAP basis, gross margin was also similar to last year at 68%, with positive FX offsetting higher costs including tariffs.</w:t>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ind w:left="660" w:right="280" w:hanging="328"/>
        <w:spacing w:after="0" w:line="416"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color w:val="auto"/>
        </w:rPr>
        <w:t>Operating margin of negative 3% compared with 18% in last year’s second quarter, primarily reflecting higher SG&amp;A expenses, due to a $271.6 million litigation-related charge. On a non-GAAP basis, operating margin was up 260 basis points from last year to 27%, reflecting disciplined execution and meaningful synergies from last year's reorganization.</w:t>
      </w:r>
    </w:p>
    <w:p>
      <w:pPr>
        <w:spacing w:after="0" w:line="38" w:lineRule="exact"/>
        <w:rPr>
          <w:rFonts w:ascii="Arial" w:cs="Arial" w:eastAsia="Arial" w:hAnsi="Arial"/>
          <w:sz w:val="19"/>
          <w:szCs w:val="19"/>
          <w:color w:val="auto"/>
        </w:rPr>
      </w:pPr>
    </w:p>
    <w:p>
      <w:pPr>
        <w:ind w:left="660" w:right="140" w:hanging="328"/>
        <w:spacing w:after="0" w:line="412"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Interest expense of $20.9 million compared with $24.2 million in last year's second quarter driven by lower interest rates and lower average debt. On a non-GAAP basis, interest expense was $20.9 million, down from $23.5 million.</w:t>
      </w:r>
    </w:p>
    <w:p>
      <w:pPr>
        <w:spacing w:after="0" w:line="33" w:lineRule="exact"/>
        <w:rPr>
          <w:rFonts w:ascii="Arial" w:cs="Arial" w:eastAsia="Arial" w:hAnsi="Arial"/>
          <w:sz w:val="20"/>
          <w:szCs w:val="20"/>
          <w:color w:val="auto"/>
        </w:rPr>
      </w:pPr>
    </w:p>
    <w:p>
      <w:pPr>
        <w:ind w:left="660" w:right="60" w:hanging="328"/>
        <w:spacing w:after="0" w:line="398"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Cash provided by operations of $182.8 million, offset by capital expenditures of $86.4 million resulted in free cash flow of $96.4 million.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CooperVision (CVI) Revenue</w:t>
      </w:r>
    </w:p>
    <w:p>
      <w:pPr>
        <w:spacing w:after="0" w:line="25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Revenue of $723.5 million, up 8% from last year’s second quarter, up 4% in constant currency, up 4% organically.</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Revenue by category:</w:t>
      </w:r>
    </w:p>
    <w:p>
      <w:pPr>
        <w:spacing w:after="0" w:line="96" w:lineRule="exact"/>
        <w:rPr>
          <w:rFonts w:ascii="Arial" w:cs="Arial" w:eastAsia="Arial" w:hAnsi="Arial"/>
          <w:sz w:val="20"/>
          <w:szCs w:val="20"/>
          <w:color w:val="auto"/>
        </w:rPr>
      </w:pPr>
    </w:p>
    <w:p>
      <w:pPr>
        <w:ind w:left="7620" w:hanging="201"/>
        <w:spacing w:after="0"/>
        <w:tabs>
          <w:tab w:leader="none" w:pos="7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change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17780</wp:posOffset>
            </wp:positionV>
            <wp:extent cx="41662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5" w:lineRule="exact"/>
        <w:rPr>
          <w:sz w:val="20"/>
          <w:szCs w:val="20"/>
          <w:color w:val="auto"/>
        </w:rPr>
      </w:pPr>
    </w:p>
    <w:tbl>
      <w:tblPr>
        <w:tblLayout w:type="fixed"/>
        <w:tblInd w:w="740" w:type="dxa"/>
        <w:tblCellMar>
          <w:top w:w="0" w:type="dxa"/>
          <w:left w:w="0" w:type="dxa"/>
          <w:bottom w:w="0" w:type="dxa"/>
          <w:right w:w="0" w:type="dxa"/>
        </w:tblCellMar>
      </w:tblPr>
      <w:tr>
        <w:trPr>
          <w:trHeight w:val="257"/>
        </w:trPr>
        <w:tc>
          <w:tcPr>
            <w:tcW w:w="2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22"/>
                <w:szCs w:val="22"/>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8"/>
                <w:szCs w:val="18"/>
                <w:color w:val="auto"/>
              </w:rPr>
              <w:t>Reported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Currency</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Constant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Acquisitions and</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35"/>
        </w:trPr>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2Q26</w:t>
            </w:r>
          </w:p>
        </w:tc>
        <w:tc>
          <w:tcPr>
            <w:tcW w:w="10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Impact</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Currency</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Divestitures</w:t>
            </w: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260" w:type="dxa"/>
            <w:vAlign w:val="bottom"/>
          </w:tcPr>
          <w:p>
            <w:pPr>
              <w:spacing w:after="0"/>
              <w:rPr>
                <w:sz w:val="20"/>
                <w:szCs w:val="20"/>
                <w:color w:val="auto"/>
              </w:rPr>
            </w:pPr>
            <w:r>
              <w:rPr>
                <w:rFonts w:ascii="Arial" w:cs="Arial" w:eastAsia="Arial" w:hAnsi="Arial"/>
                <w:sz w:val="18"/>
                <w:szCs w:val="18"/>
                <w:color w:val="auto"/>
              </w:rPr>
              <w:t>Toric and multifocal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11%</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5"/>
        </w:trPr>
        <w:tc>
          <w:tcPr>
            <w:tcW w:w="2260" w:type="dxa"/>
            <w:vAlign w:val="bottom"/>
          </w:tcPr>
          <w:p>
            <w:pPr>
              <w:spacing w:after="0"/>
              <w:rPr>
                <w:sz w:val="20"/>
                <w:szCs w:val="20"/>
                <w:color w:val="auto"/>
              </w:rPr>
            </w:pPr>
            <w:r>
              <w:rPr>
                <w:rFonts w:ascii="Arial" w:cs="Arial" w:eastAsia="Arial" w:hAnsi="Arial"/>
                <w:sz w:val="18"/>
                <w:szCs w:val="18"/>
                <w:color w:val="auto"/>
              </w:rPr>
              <w:t>Sphere, other</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Revenue by geography:</w:t>
      </w:r>
    </w:p>
    <w:p>
      <w:pPr>
        <w:spacing w:after="0" w:line="97" w:lineRule="exact"/>
        <w:rPr>
          <w:sz w:val="20"/>
          <w:szCs w:val="20"/>
          <w:color w:val="auto"/>
        </w:rPr>
      </w:pPr>
    </w:p>
    <w:tbl>
      <w:tblPr>
        <w:tblLayout w:type="fixed"/>
        <w:tblInd w:w="800" w:type="dxa"/>
        <w:tblCellMar>
          <w:top w:w="0" w:type="dxa"/>
          <w:left w:w="0" w:type="dxa"/>
          <w:bottom w:w="0" w:type="dxa"/>
          <w:right w:w="0" w:type="dxa"/>
        </w:tblCellMar>
      </w:tblPr>
      <w:tr>
        <w:trPr>
          <w:trHeight w:val="235"/>
        </w:trPr>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 change y/y</w:t>
            </w: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4"/>
                <w:szCs w:val="24"/>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8"/>
                <w:szCs w:val="18"/>
                <w:color w:val="auto"/>
              </w:rPr>
              <w:t>Reported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Currency</w:t>
            </w: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Constant</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rPr>
              <w:t>Acquisitions and</w:t>
            </w:r>
          </w:p>
        </w:tc>
        <w:tc>
          <w:tcPr>
            <w:tcW w:w="1120" w:type="dxa"/>
            <w:vAlign w:val="bottom"/>
            <w:vMerge w:val="restart"/>
          </w:tcPr>
          <w:p>
            <w:pPr>
              <w:jc w:val="right"/>
              <w:ind w:right="15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35"/>
        </w:trPr>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2Q26</w:t>
            </w:r>
          </w:p>
        </w:tc>
        <w:tc>
          <w:tcPr>
            <w:tcW w:w="14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Impact</w:t>
            </w: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Currency</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Divestitures</w:t>
            </w: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2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14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289.7</w:t>
            </w:r>
          </w:p>
        </w:tc>
        <w:tc>
          <w:tcPr>
            <w:tcW w:w="13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19"/>
                <w:szCs w:val="19"/>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5"/>
        </w:trPr>
        <w:tc>
          <w:tcPr>
            <w:tcW w:w="2280" w:type="dxa"/>
            <w:vAlign w:val="bottom"/>
          </w:tcPr>
          <w:p>
            <w:pPr>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34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w:t>
            </w:r>
          </w:p>
        </w:tc>
        <w:tc>
          <w:tcPr>
            <w:tcW w:w="134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CooperSurgical (CSI) Revenue</w:t>
      </w:r>
    </w:p>
    <w:p>
      <w:pPr>
        <w:spacing w:after="0" w:line="253"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Revenue of $358.0 million, up 8% from last year's second quarter, up 6% in constant currency, up 6% organically.</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955" w:right="339" w:bottom="1440" w:gutter="0" w:footer="0" w:header="0"/>
        </w:sectPr>
      </w:pPr>
    </w:p>
    <w:bookmarkStart w:id="6" w:name="page7"/>
    <w:bookmarkEnd w:id="6"/>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Revenue by category:</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235"/>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 change y/y</w:t>
            </w: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vMerge w:val="restart"/>
          </w:tcPr>
          <w:p>
            <w:pPr>
              <w:jc w:val="right"/>
              <w:ind w:right="19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8"/>
              </w:rPr>
              <w:t>Currency</w:t>
            </w:r>
          </w:p>
        </w:tc>
        <w:tc>
          <w:tcPr>
            <w:tcW w:w="1260" w:type="dxa"/>
            <w:vAlign w:val="bottom"/>
            <w:gridSpan w:val="2"/>
            <w:vMerge w:val="restart"/>
          </w:tcPr>
          <w:p>
            <w:pPr>
              <w:ind w:left="220"/>
              <w:spacing w:after="0"/>
              <w:rPr>
                <w:sz w:val="20"/>
                <w:szCs w:val="20"/>
                <w:color w:val="auto"/>
              </w:rPr>
            </w:pPr>
            <w:r>
              <w:rPr>
                <w:rFonts w:ascii="Arial" w:cs="Arial" w:eastAsia="Arial" w:hAnsi="Arial"/>
                <w:sz w:val="18"/>
                <w:szCs w:val="18"/>
                <w:color w:val="auto"/>
              </w:rPr>
              <w:t>Constant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Acquisitions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8"/>
                <w:szCs w:val="18"/>
                <w:color w:val="auto"/>
              </w:rPr>
              <w:t>Reported</w:t>
            </w:r>
          </w:p>
        </w:tc>
        <w:tc>
          <w:tcPr>
            <w:tcW w:w="116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20" w:type="dxa"/>
            <w:vAlign w:val="bottom"/>
            <w:gridSpan w:val="2"/>
          </w:tcPr>
          <w:p>
            <w:pPr>
              <w:jc w:val="center"/>
              <w:ind w:right="120"/>
              <w:spacing w:after="0" w:line="181" w:lineRule="exact"/>
              <w:rPr>
                <w:sz w:val="20"/>
                <w:szCs w:val="20"/>
                <w:color w:val="auto"/>
              </w:rPr>
            </w:pPr>
            <w:r>
              <w:rPr>
                <w:rFonts w:ascii="Arial" w:cs="Arial" w:eastAsia="Arial" w:hAnsi="Arial"/>
                <w:sz w:val="18"/>
                <w:szCs w:val="18"/>
                <w:color w:val="auto"/>
                <w:w w:val="99"/>
              </w:rPr>
              <w:t>and</w:t>
            </w:r>
          </w:p>
        </w:tc>
        <w:tc>
          <w:tcPr>
            <w:tcW w:w="1060" w:type="dxa"/>
            <w:vAlign w:val="bottom"/>
            <w:vMerge w:val="restart"/>
          </w:tcPr>
          <w:p>
            <w:pPr>
              <w:ind w:left="22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2Q26</w:t>
            </w: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Impact</w:t>
            </w: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Currency</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Divestitures</w:t>
            </w: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00" w:type="dxa"/>
            <w:vAlign w:val="bottom"/>
          </w:tcPr>
          <w:p>
            <w:pPr>
              <w:spacing w:after="0"/>
              <w:rPr>
                <w:sz w:val="20"/>
                <w:szCs w:val="20"/>
                <w:color w:val="auto"/>
              </w:rPr>
            </w:pPr>
            <w:r>
              <w:rPr>
                <w:rFonts w:ascii="Arial" w:cs="Arial" w:eastAsia="Arial" w:hAnsi="Arial"/>
                <w:sz w:val="18"/>
                <w:szCs w:val="18"/>
                <w:color w:val="auto"/>
              </w:rPr>
              <w:t>Office and surgical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5"/>
        </w:trPr>
        <w:tc>
          <w:tcPr>
            <w:tcW w:w="2100" w:type="dxa"/>
            <w:vAlign w:val="bottom"/>
          </w:tcPr>
          <w:p>
            <w:pPr>
              <w:spacing w:after="0"/>
              <w:rPr>
                <w:sz w:val="20"/>
                <w:szCs w:val="20"/>
                <w:color w:val="auto"/>
              </w:rPr>
            </w:pPr>
            <w:r>
              <w:rPr>
                <w:rFonts w:ascii="Arial" w:cs="Arial" w:eastAsia="Arial" w:hAnsi="Arial"/>
                <w:sz w:val="18"/>
                <w:szCs w:val="18"/>
                <w:color w:val="auto"/>
              </w:rPr>
              <w:t>Fertility</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3"/>
        </w:trPr>
        <w:tc>
          <w:tcPr>
            <w:tcW w:w="21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w:t>
      </w:r>
    </w:p>
    <w:p>
      <w:pPr>
        <w:spacing w:after="0" w:line="253" w:lineRule="exact"/>
        <w:rPr>
          <w:sz w:val="20"/>
          <w:szCs w:val="20"/>
          <w:color w:val="auto"/>
        </w:rPr>
      </w:pPr>
    </w:p>
    <w:p>
      <w:pPr>
        <w:ind w:left="660" w:right="560" w:hanging="328"/>
        <w:spacing w:after="0" w:line="398"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During the second quarter, the Company repurchased $13.1 million of common stock, approximately 174 thousand shares, at an average share price of $75.84. The program has $860.8 million of remaining availability.</w:t>
      </w:r>
    </w:p>
    <w:p>
      <w:pPr>
        <w:spacing w:after="0" w:line="60" w:lineRule="exact"/>
        <w:rPr>
          <w:rFonts w:ascii="Arial" w:cs="Arial" w:eastAsia="Arial" w:hAnsi="Arial"/>
          <w:sz w:val="20"/>
          <w:szCs w:val="20"/>
          <w:color w:val="auto"/>
        </w:rPr>
      </w:pPr>
    </w:p>
    <w:p>
      <w:pPr>
        <w:ind w:left="660" w:right="60" w:hanging="328"/>
        <w:spacing w:after="0" w:line="382"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Recorded a $271.6 million net pre-tax charge within SG&amp;A related to certain product-related litigation matters associated with a December 2023 voluntary recall of embryo culture media at CooperSurgical, consisting of $324.1 million of accrued litigation liabilities, partially offset by $52.5 million of expected insurance recoveries.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 2026 Financial Guidance</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The Company updated its fiscal year 2026 financial guidance. Details are summarized as follows:</w:t>
      </w:r>
    </w:p>
    <w:p>
      <w:pPr>
        <w:spacing w:after="0" w:line="229"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Fiscal 2026 total revenue of $4.285 - $4.321 billion (organic growth of 3.5% to 4.5%)</w:t>
      </w:r>
    </w:p>
    <w:p>
      <w:pPr>
        <w:spacing w:after="0" w:line="283" w:lineRule="exact"/>
        <w:rPr>
          <w:rFonts w:ascii="Arial" w:cs="Arial" w:eastAsia="Arial" w:hAnsi="Arial"/>
          <w:sz w:val="20"/>
          <w:szCs w:val="20"/>
          <w:color w:val="auto"/>
        </w:rPr>
      </w:pPr>
    </w:p>
    <w:p>
      <w:pPr>
        <w:ind w:left="1300" w:hanging="320"/>
        <w:spacing w:after="0"/>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CVI revenue of $2.883 - $2.908 billion (organic growth of 3.5% to 4.5%)</w:t>
      </w:r>
    </w:p>
    <w:p>
      <w:pPr>
        <w:spacing w:after="0" w:line="296" w:lineRule="exact"/>
        <w:rPr>
          <w:rFonts w:ascii="Arial" w:cs="Arial" w:eastAsia="Arial" w:hAnsi="Arial"/>
          <w:sz w:val="20"/>
          <w:szCs w:val="20"/>
          <w:color w:val="auto"/>
        </w:rPr>
      </w:pPr>
    </w:p>
    <w:p>
      <w:pPr>
        <w:ind w:left="1300" w:hanging="320"/>
        <w:spacing w:after="0"/>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CSI revenue of $1.402 - $1.414 billion (organic growth of 4% to 5%)</w:t>
      </w:r>
    </w:p>
    <w:p>
      <w:pPr>
        <w:spacing w:after="0" w:line="28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Fiscal 2026 non-GAAP diluted EPS of $4.58 - $4.66</w:t>
      </w:r>
    </w:p>
    <w:p>
      <w:pPr>
        <w:spacing w:after="0" w:line="296" w:lineRule="exact"/>
        <w:rPr>
          <w:rFonts w:ascii="Arial" w:cs="Arial" w:eastAsia="Arial" w:hAnsi="Arial"/>
          <w:sz w:val="20"/>
          <w:szCs w:val="20"/>
          <w:color w:val="auto"/>
        </w:rPr>
      </w:pPr>
    </w:p>
    <w:p>
      <w:pPr>
        <w:ind w:left="660" w:right="60" w:hanging="328"/>
        <w:spacing w:after="0" w:line="398"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Reaffirm previously communicated long-term free cash flow objective exceeding $2.2 billion for fiscal years 2026 through 2028</w:t>
      </w:r>
    </w:p>
    <w:p>
      <w:pPr>
        <w:spacing w:after="0" w:line="101" w:lineRule="exact"/>
        <w:rPr>
          <w:sz w:val="20"/>
          <w:szCs w:val="20"/>
          <w:color w:val="auto"/>
        </w:rPr>
      </w:pPr>
    </w:p>
    <w:p>
      <w:pPr>
        <w:ind w:right="140"/>
        <w:spacing w:after="0" w:line="389" w:lineRule="auto"/>
        <w:rPr>
          <w:sz w:val="20"/>
          <w:szCs w:val="20"/>
          <w:color w:val="auto"/>
        </w:rPr>
      </w:pPr>
      <w:r>
        <w:rPr>
          <w:rFonts w:ascii="Arial" w:cs="Arial" w:eastAsia="Arial" w:hAnsi="Arial"/>
          <w:sz w:val="20"/>
          <w:szCs w:val="20"/>
          <w:color w:val="auto"/>
        </w:rPr>
        <w:t>Non-GAAP diluted earnings per share guidance excludes amortization and impairment of intangible assets, and certain income or gains and charges or expenses including acquisition and integration costs which we may incur as part of our continuing operations.</w:t>
      </w:r>
    </w:p>
    <w:p>
      <w:pPr>
        <w:spacing w:after="0" w:line="70" w:lineRule="exact"/>
        <w:rPr>
          <w:sz w:val="20"/>
          <w:szCs w:val="20"/>
          <w:color w:val="auto"/>
        </w:rPr>
      </w:pPr>
    </w:p>
    <w:p>
      <w:pPr>
        <w:ind w:right="220"/>
        <w:spacing w:after="0" w:line="398" w:lineRule="auto"/>
        <w:rPr>
          <w:sz w:val="20"/>
          <w:szCs w:val="20"/>
          <w:color w:val="auto"/>
        </w:rPr>
      </w:pPr>
      <w:r>
        <w:rPr>
          <w:rFonts w:ascii="Arial" w:cs="Arial" w:eastAsia="Arial" w:hAnsi="Arial"/>
          <w:sz w:val="20"/>
          <w:szCs w:val="20"/>
          <w:color w:val="auto"/>
        </w:rPr>
        <w:t>With respect to the Company’s guidance expectations, the Company has not reconciled non-GAAP diluted earnings per share guidance to GAAP diluted earnings per share due to the inherent difficulty in</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955" w:right="339" w:bottom="1440" w:gutter="0" w:footer="0" w:header="0"/>
        </w:sectPr>
      </w:pPr>
    </w:p>
    <w:bookmarkStart w:id="7" w:name="page8"/>
    <w:bookmarkEnd w:id="7"/>
    <w:p>
      <w:pPr>
        <w:jc w:val="both"/>
        <w:ind w:right="320"/>
        <w:spacing w:after="0" w:line="389" w:lineRule="auto"/>
        <w:rPr>
          <w:sz w:val="20"/>
          <w:szCs w:val="20"/>
          <w:color w:val="auto"/>
        </w:rPr>
      </w:pPr>
      <w:r>
        <w:rPr>
          <w:rFonts w:ascii="Arial" w:cs="Arial" w:eastAsia="Arial" w:hAnsi="Arial"/>
          <w:sz w:val="20"/>
          <w:szCs w:val="20"/>
          <w:color w:val="auto"/>
        </w:rPr>
        <w:t>forecasting acquisition-related, integration and restructuring charges and expenses, which are reconciling items between the non-GAAP and GAAP measures. Due to the unknown effect, timing and potential significance of such charges and expenses that impact GAAP diluted earnings per share, the Company is not able to provide such guidance.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 of Selected GAAP Results to Non-GAAP Results</w:t>
      </w:r>
    </w:p>
    <w:p>
      <w:pPr>
        <w:spacing w:after="0" w:line="253" w:lineRule="exact"/>
        <w:rPr>
          <w:sz w:val="20"/>
          <w:szCs w:val="20"/>
          <w:color w:val="auto"/>
        </w:rPr>
      </w:pPr>
    </w:p>
    <w:p>
      <w:pPr>
        <w:ind w:right="100"/>
        <w:spacing w:after="0" w:line="374" w:lineRule="auto"/>
        <w:rPr>
          <w:sz w:val="20"/>
          <w:szCs w:val="20"/>
          <w:color w:val="auto"/>
        </w:rPr>
      </w:pPr>
      <w:r>
        <w:rPr>
          <w:rFonts w:ascii="Arial" w:cs="Arial" w:eastAsia="Arial" w:hAnsi="Arial"/>
          <w:sz w:val="20"/>
          <w:szCs w:val="20"/>
          <w:color w:val="auto"/>
        </w:rPr>
        <w:t>To supplement our financial results and guidance presented on a GAAP basis, we provide non-GAAP measures such as non-GAAP gross margin, non-GAAP operating margin, non-GAAP diluted earnings per share, as well as constant currency and organic revenue growth because we believe they are helpful for the investors to understand our consolidated operating results. Management uses supplemental non-GAAP financial measures internally to understand, manage and evaluate our business, to make operating decisions, and to plan and forecast for future periods. The non-GAAP measures exclude costs which we generally would not have otherwise incurred in the periods presented as a part of our continuing operations. We provide further details of the non-GAAP adjustments made to arrive at our non-GAAP measures in the GAAP to non-GAAP reconciliations below. Our non-GAAP financial results and guidance are not meant to be considered in isolation or as a substitute for comparable GAAP measures and should be read only in conjunction with our consolidated financial statements prepared in accordance with GAAP.</w:t>
      </w:r>
    </w:p>
    <w:p>
      <w:pPr>
        <w:spacing w:after="0" w:line="88" w:lineRule="exact"/>
        <w:rPr>
          <w:sz w:val="20"/>
          <w:szCs w:val="20"/>
          <w:color w:val="auto"/>
        </w:rPr>
      </w:pPr>
    </w:p>
    <w:p>
      <w:pPr>
        <w:ind w:right="160"/>
        <w:spacing w:after="0" w:line="381" w:lineRule="auto"/>
        <w:rPr>
          <w:sz w:val="20"/>
          <w:szCs w:val="20"/>
          <w:color w:val="auto"/>
        </w:rPr>
      </w:pPr>
      <w:r>
        <w:rPr>
          <w:rFonts w:ascii="Arial" w:cs="Arial" w:eastAsia="Arial" w:hAnsi="Arial"/>
          <w:sz w:val="20"/>
          <w:szCs w:val="20"/>
          <w:color w:val="auto"/>
        </w:rPr>
        <w:t>To present constant currency revenue growth, current period revenue for entities reporting in currencies other than the United States dollar are converted into United States dollars at the average foreign exchange rates for the corresponding period in the prior year. To present organic revenue growth, we excluded the effect of foreign currency fluctuations and the impact of any acquisitions, divestitures and discontinuations that occurred in the comparable period.</w:t>
      </w:r>
    </w:p>
    <w:p>
      <w:pPr>
        <w:spacing w:after="0" w:line="65" w:lineRule="exact"/>
        <w:rPr>
          <w:sz w:val="20"/>
          <w:szCs w:val="20"/>
          <w:color w:val="auto"/>
        </w:rPr>
      </w:pPr>
    </w:p>
    <w:p>
      <w:pPr>
        <w:ind w:right="160"/>
        <w:spacing w:after="0" w:line="381" w:lineRule="auto"/>
        <w:rPr>
          <w:sz w:val="20"/>
          <w:szCs w:val="20"/>
          <w:color w:val="auto"/>
        </w:rPr>
      </w:pPr>
      <w:r>
        <w:rPr>
          <w:rFonts w:ascii="Arial" w:cs="Arial" w:eastAsia="Arial" w:hAnsi="Arial"/>
          <w:sz w:val="20"/>
          <w:szCs w:val="20"/>
          <w:color w:val="auto"/>
        </w:rPr>
        <w:t>We define the non-GAAP measure of free cash flow as cash provided by operating activities less capital expenditures. We believe free cash flow is useful for investors as an additional measure of liquidity because it represents cash that is available to grow the business, make strategic acquisitions, repay debt, or buyback common stock. Management uses free cash flow internally to understand, manage, make operating decisions and evaluate our business. In addition, we use free cash flow to help plan and forecast future periods.</w:t>
      </w:r>
    </w:p>
    <w:p>
      <w:pPr>
        <w:spacing w:after="0" w:line="65" w:lineRule="exact"/>
        <w:rPr>
          <w:sz w:val="20"/>
          <w:szCs w:val="20"/>
          <w:color w:val="auto"/>
        </w:rPr>
      </w:pPr>
    </w:p>
    <w:p>
      <w:pPr>
        <w:ind w:right="80"/>
        <w:spacing w:after="0" w:line="412" w:lineRule="auto"/>
        <w:rPr>
          <w:sz w:val="20"/>
          <w:szCs w:val="20"/>
          <w:color w:val="auto"/>
        </w:rPr>
      </w:pPr>
      <w:r>
        <w:rPr>
          <w:rFonts w:ascii="Arial" w:cs="Arial" w:eastAsia="Arial" w:hAnsi="Arial"/>
          <w:sz w:val="20"/>
          <w:szCs w:val="20"/>
          <w:color w:val="auto"/>
        </w:rPr>
        <w:t>Investors should consider non-GAAP financial measures in addition to, and not as replacements for, or superior to, measures of financial performance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955" w:right="339" w:bottom="1440" w:gutter="0" w:footer="0" w:header="0"/>
        </w:sectPr>
      </w:pPr>
    </w:p>
    <w:bookmarkStart w:id="8" w:name="page9"/>
    <w:bookmarkEnd w:id="8"/>
    <w:p>
      <w:pPr>
        <w:ind w:left="3380"/>
        <w:spacing w:after="0"/>
        <w:rPr>
          <w:sz w:val="20"/>
          <w:szCs w:val="20"/>
          <w:color w:val="auto"/>
        </w:rPr>
      </w:pPr>
      <w:r>
        <w:rPr>
          <w:rFonts w:ascii="Arial" w:cs="Arial" w:eastAsia="Arial" w:hAnsi="Arial"/>
          <w:sz w:val="18"/>
          <w:szCs w:val="18"/>
          <w:color w:val="auto"/>
        </w:rPr>
        <w:t>THE COOPER COMPANIES, INC. AND SUBSIDIARIES</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GAAP to Non-GAAP Reconciliation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Gross Margin, Operating Margin, and EPS</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04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Three Months Ended April 30,</w:t>
            </w:r>
          </w:p>
        </w:tc>
        <w:tc>
          <w:tcPr>
            <w:tcW w:w="1040" w:type="dxa"/>
            <w:vAlign w:val="bottom"/>
            <w:tcBorders>
              <w:top w:val="single" w:sz="8" w:color="auto"/>
              <w:bottom w:val="single" w:sz="8" w:color="auto"/>
              <w:right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Six Months Ended April 30,</w:t>
            </w:r>
          </w:p>
        </w:tc>
        <w:tc>
          <w:tcPr>
            <w:tcW w:w="108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112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Margin %</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4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Margin %</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0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Margin %</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197"/>
        </w:trPr>
        <w:tc>
          <w:tcPr>
            <w:tcW w:w="20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GAAP Gross Profit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735.4</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679.1</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1,430.6</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1,339.3</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148"/>
        </w:trPr>
        <w:tc>
          <w:tcPr>
            <w:tcW w:w="20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Acquisition and integration-</w:t>
            </w:r>
          </w:p>
        </w:tc>
        <w:tc>
          <w:tcPr>
            <w:tcW w:w="22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2"/>
                <w:szCs w:val="12"/>
                <w:color w:val="auto"/>
              </w:rPr>
            </w:pP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color w:val="auto"/>
              </w:rPr>
              <w:t>2.2</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3.8</w:t>
            </w: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8"/>
        </w:trPr>
        <w:tc>
          <w:tcPr>
            <w:tcW w:w="20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 xml:space="preserve">related charges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20" w:type="dxa"/>
            <w:vAlign w:val="bottom"/>
            <w:tcBorders>
              <w:right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tcBorders>
              <w:right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80" w:type="dxa"/>
            <w:vAlign w:val="bottom"/>
            <w:tcBorders>
              <w:right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 xml:space="preserve">Exit of business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4"/>
                <w:szCs w:val="14"/>
                <w:color w:val="auto"/>
              </w:rPr>
              <w:t xml:space="preserve">Medical device regulations </w:t>
            </w:r>
            <w:r>
              <w:rPr>
                <w:rFonts w:ascii="Arial" w:cs="Arial" w:eastAsia="Arial" w:hAnsi="Arial"/>
                <w:sz w:val="18"/>
                <w:szCs w:val="18"/>
                <w:color w:val="auto"/>
                <w:vertAlign w:val="superscript"/>
              </w:rPr>
              <w:t>(3)</w:t>
            </w:r>
          </w:p>
        </w:tc>
        <w:tc>
          <w:tcPr>
            <w:tcW w:w="2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0.7</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2"/>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Non-GAAP Gross Profit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736.1</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68 %</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682.0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68 %</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1,433.8</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68 %</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1,344.4</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bl>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06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Three Months Ended April 30,</w:t>
            </w:r>
          </w:p>
        </w:tc>
        <w:tc>
          <w:tcPr>
            <w:tcW w:w="1060" w:type="dxa"/>
            <w:vAlign w:val="bottom"/>
            <w:tcBorders>
              <w:top w:val="single" w:sz="8" w:color="auto"/>
              <w:bottom w:val="single" w:sz="8" w:color="auto"/>
              <w:right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Six Months Ended April 30,</w:t>
            </w:r>
          </w:p>
        </w:tc>
        <w:tc>
          <w:tcPr>
            <w:tcW w:w="108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12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Margin %</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6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Margin %</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10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Margin %</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147"/>
        </w:trPr>
        <w:tc>
          <w:tcPr>
            <w:tcW w:w="2060" w:type="dxa"/>
            <w:vAlign w:val="bottom"/>
            <w:tcBorders>
              <w:left w:val="single" w:sz="8" w:color="auto"/>
              <w:right w:val="single" w:sz="8" w:color="auto"/>
            </w:tcBorders>
            <w:shd w:val="clear" w:color="auto" w:fill="CCEEFF"/>
          </w:tcPr>
          <w:p>
            <w:pPr>
              <w:ind w:left="40"/>
              <w:spacing w:after="0" w:line="147" w:lineRule="exact"/>
              <w:rPr>
                <w:sz w:val="20"/>
                <w:szCs w:val="20"/>
                <w:color w:val="auto"/>
              </w:rPr>
            </w:pPr>
            <w:r>
              <w:rPr>
                <w:rFonts w:ascii="Arial" w:cs="Arial" w:eastAsia="Arial" w:hAnsi="Arial"/>
                <w:sz w:val="14"/>
                <w:szCs w:val="14"/>
                <w:b w:val="1"/>
                <w:bCs w:val="1"/>
                <w:color w:val="auto"/>
              </w:rPr>
              <w:t>GAAP Operating Income</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(31.0)</w:t>
            </w:r>
          </w:p>
        </w:tc>
        <w:tc>
          <w:tcPr>
            <w:tcW w:w="11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184.8</w:t>
            </w: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181.8</w:t>
            </w:r>
          </w:p>
        </w:tc>
        <w:tc>
          <w:tcPr>
            <w:tcW w:w="11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366.8</w:t>
            </w:r>
          </w:p>
        </w:tc>
        <w:tc>
          <w:tcPr>
            <w:tcW w:w="10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85"/>
        </w:trPr>
        <w:tc>
          <w:tcPr>
            <w:tcW w:w="20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(Loss)</w:t>
            </w:r>
          </w:p>
        </w:tc>
        <w:tc>
          <w:tcPr>
            <w:tcW w:w="2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120" w:type="dxa"/>
            <w:vAlign w:val="bottom"/>
            <w:tcBorders>
              <w:right w:val="single" w:sz="8" w:color="auto"/>
            </w:tcBorders>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60" w:type="dxa"/>
            <w:vAlign w:val="bottom"/>
            <w:tcBorders>
              <w:right w:val="single" w:sz="8" w:color="auto"/>
            </w:tcBorders>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100" w:type="dxa"/>
            <w:vAlign w:val="bottom"/>
            <w:tcBorders>
              <w:right w:val="single" w:sz="8" w:color="auto"/>
            </w:tcBorders>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8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60" w:type="dxa"/>
            <w:vAlign w:val="bottom"/>
            <w:tcBorders>
              <w:left w:val="single" w:sz="8" w:color="auto"/>
              <w:right w:val="single" w:sz="8" w:color="auto"/>
            </w:tcBorders>
          </w:tcPr>
          <w:p>
            <w:pPr>
              <w:ind w:left="140"/>
              <w:spacing w:after="0" w:line="153" w:lineRule="exact"/>
              <w:rPr>
                <w:sz w:val="20"/>
                <w:szCs w:val="20"/>
                <w:color w:val="auto"/>
              </w:rPr>
            </w:pPr>
            <w:r>
              <w:rPr>
                <w:rFonts w:ascii="Arial" w:cs="Arial" w:eastAsia="Arial" w:hAnsi="Arial"/>
                <w:sz w:val="14"/>
                <w:szCs w:val="14"/>
                <w:color w:val="auto"/>
              </w:rPr>
              <w:t>Amortization of acquired</w:t>
            </w:r>
          </w:p>
        </w:tc>
        <w:tc>
          <w:tcPr>
            <w:tcW w:w="220" w:type="dxa"/>
            <w:vAlign w:val="bottom"/>
          </w:tcPr>
          <w:p>
            <w:pPr>
              <w:spacing w:after="0"/>
              <w:rPr>
                <w:sz w:val="13"/>
                <w:szCs w:val="13"/>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47.7</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4 %</w:t>
            </w:r>
          </w:p>
        </w:tc>
        <w:tc>
          <w:tcPr>
            <w:tcW w:w="220" w:type="dxa"/>
            <w:vAlign w:val="bottom"/>
          </w:tcPr>
          <w:p>
            <w:pPr>
              <w:spacing w:after="0"/>
              <w:rPr>
                <w:sz w:val="13"/>
                <w:szCs w:val="13"/>
                <w:color w:val="auto"/>
              </w:rPr>
            </w:pP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49.8</w:t>
            </w: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5 %</w:t>
            </w:r>
          </w:p>
        </w:tc>
        <w:tc>
          <w:tcPr>
            <w:tcW w:w="220" w:type="dxa"/>
            <w:vAlign w:val="bottom"/>
          </w:tcPr>
          <w:p>
            <w:pPr>
              <w:spacing w:after="0"/>
              <w:rPr>
                <w:sz w:val="13"/>
                <w:szCs w:val="13"/>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color w:val="auto"/>
              </w:rPr>
              <w:t>95.6</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5 %</w:t>
            </w:r>
          </w:p>
        </w:tc>
        <w:tc>
          <w:tcPr>
            <w:tcW w:w="220" w:type="dxa"/>
            <w:vAlign w:val="bottom"/>
          </w:tcPr>
          <w:p>
            <w:pPr>
              <w:spacing w:after="0"/>
              <w:rPr>
                <w:sz w:val="13"/>
                <w:szCs w:val="13"/>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99.4</w:t>
            </w: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5"/>
        </w:trPr>
        <w:tc>
          <w:tcPr>
            <w:tcW w:w="20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intangibles</w:t>
            </w: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60" w:type="dxa"/>
            <w:vAlign w:val="bottom"/>
            <w:tcBorders>
              <w:right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60" w:type="dxa"/>
            <w:vAlign w:val="bottom"/>
            <w:tcBorders>
              <w:left w:val="single" w:sz="8" w:color="auto"/>
              <w:right w:val="single" w:sz="8" w:color="auto"/>
            </w:tcBorders>
            <w:shd w:val="clear" w:color="auto" w:fill="CCEEFF"/>
          </w:tcPr>
          <w:p>
            <w:pPr>
              <w:ind w:left="140"/>
              <w:spacing w:after="0" w:line="151" w:lineRule="exact"/>
              <w:rPr>
                <w:sz w:val="20"/>
                <w:szCs w:val="20"/>
                <w:color w:val="auto"/>
              </w:rPr>
            </w:pPr>
            <w:r>
              <w:rPr>
                <w:rFonts w:ascii="Arial" w:cs="Arial" w:eastAsia="Arial" w:hAnsi="Arial"/>
                <w:sz w:val="14"/>
                <w:szCs w:val="14"/>
                <w:color w:val="auto"/>
              </w:rPr>
              <w:t>Acquisition and integration-</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9.6</w:t>
            </w: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13.9</w:t>
            </w:r>
          </w:p>
        </w:tc>
        <w:tc>
          <w:tcPr>
            <w:tcW w:w="10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1"/>
        </w:trPr>
        <w:tc>
          <w:tcPr>
            <w:tcW w:w="2060" w:type="dxa"/>
            <w:vAlign w:val="bottom"/>
            <w:tcBorders>
              <w:left w:val="single" w:sz="8" w:color="auto"/>
              <w:right w:val="single" w:sz="8" w:color="auto"/>
            </w:tcBorders>
            <w:shd w:val="clear" w:color="auto" w:fill="CCEEFF"/>
          </w:tcPr>
          <w:p>
            <w:pPr>
              <w:ind w:left="140"/>
              <w:spacing w:after="0" w:line="201" w:lineRule="exact"/>
              <w:rPr>
                <w:sz w:val="20"/>
                <w:szCs w:val="20"/>
                <w:color w:val="auto"/>
              </w:rPr>
            </w:pPr>
            <w:r>
              <w:rPr>
                <w:rFonts w:ascii="Arial" w:cs="Arial" w:eastAsia="Arial" w:hAnsi="Arial"/>
                <w:sz w:val="14"/>
                <w:szCs w:val="14"/>
                <w:color w:val="auto"/>
              </w:rPr>
              <w:t xml:space="preserve">related charges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120" w:type="dxa"/>
            <w:vAlign w:val="bottom"/>
            <w:tcBorders>
              <w:right w:val="single" w:sz="8" w:color="auto"/>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60" w:type="dxa"/>
            <w:vAlign w:val="bottom"/>
            <w:tcBorders>
              <w:right w:val="single" w:sz="8" w:color="auto"/>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100" w:type="dxa"/>
            <w:vAlign w:val="bottom"/>
            <w:tcBorders>
              <w:right w:val="single" w:sz="8" w:color="auto"/>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8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 xml:space="preserve">Exit of business </w:t>
            </w:r>
            <w:r>
              <w:rPr>
                <w:rFonts w:ascii="Arial" w:cs="Arial" w:eastAsia="Arial" w:hAnsi="Arial"/>
                <w:sz w:val="9"/>
                <w:szCs w:val="9"/>
                <w:color w:val="auto"/>
              </w:rPr>
              <w:t>(2)</w:t>
            </w: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6"/>
        </w:trPr>
        <w:tc>
          <w:tcPr>
            <w:tcW w:w="206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 xml:space="preserve">Medical device regulations </w:t>
            </w:r>
            <w:r>
              <w:rPr>
                <w:rFonts w:ascii="Arial" w:cs="Arial" w:eastAsia="Arial" w:hAnsi="Arial"/>
                <w:sz w:val="9"/>
                <w:szCs w:val="9"/>
                <w:color w:val="auto"/>
              </w:rPr>
              <w:t>(3)</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5.3</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w:t>
            </w:r>
          </w:p>
        </w:tc>
        <w:tc>
          <w:tcPr>
            <w:tcW w:w="11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10.7</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0"/>
        </w:trPr>
        <w:tc>
          <w:tcPr>
            <w:tcW w:w="206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Business optimization</w:t>
            </w:r>
          </w:p>
        </w:tc>
        <w:tc>
          <w:tcPr>
            <w:tcW w:w="220" w:type="dxa"/>
            <w:vAlign w:val="bottom"/>
          </w:tcPr>
          <w:p>
            <w:pPr>
              <w:spacing w:after="0"/>
              <w:rPr>
                <w:sz w:val="13"/>
                <w:szCs w:val="13"/>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1.1</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color w:val="auto"/>
              </w:rPr>
              <w:t>3.0</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1"/>
        </w:trPr>
        <w:tc>
          <w:tcPr>
            <w:tcW w:w="206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4"/>
                <w:szCs w:val="14"/>
                <w:color w:val="auto"/>
              </w:rPr>
              <w:t xml:space="preserve">charges </w:t>
            </w:r>
            <w:r>
              <w:rPr>
                <w:rFonts w:ascii="Arial" w:cs="Arial" w:eastAsia="Arial" w:hAnsi="Arial"/>
                <w:sz w:val="18"/>
                <w:szCs w:val="18"/>
                <w:color w:val="auto"/>
                <w:vertAlign w:val="superscript"/>
              </w:rPr>
              <w:t>(4)</w:t>
            </w: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120" w:type="dxa"/>
            <w:vAlign w:val="bottom"/>
            <w:tcBorders>
              <w:right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60" w:type="dxa"/>
            <w:vAlign w:val="bottom"/>
            <w:tcBorders>
              <w:right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6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9"/>
                <w:szCs w:val="9"/>
                <w:color w:val="auto"/>
              </w:rPr>
              <w:t>(5)</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276.8</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283.5</w:t>
            </w:r>
          </w:p>
        </w:tc>
        <w:tc>
          <w:tcPr>
            <w:tcW w:w="11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8"/>
        </w:trPr>
        <w:tc>
          <w:tcPr>
            <w:tcW w:w="20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328.2</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30 %</w:t>
            </w:r>
          </w:p>
        </w:tc>
        <w:tc>
          <w:tcPr>
            <w:tcW w:w="22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64.7</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22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390.8</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18 %</w:t>
            </w:r>
          </w:p>
        </w:tc>
        <w:tc>
          <w:tcPr>
            <w:tcW w:w="22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124.6</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57"/>
        </w:trPr>
        <w:tc>
          <w:tcPr>
            <w:tcW w:w="2060" w:type="dxa"/>
            <w:vAlign w:val="bottom"/>
            <w:tcBorders>
              <w:left w:val="single" w:sz="8" w:color="auto"/>
              <w:right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b w:val="1"/>
                <w:bCs w:val="1"/>
                <w:color w:val="auto"/>
              </w:rPr>
              <w:t>Non-GAAP Operating</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297.2</w:t>
            </w:r>
          </w:p>
        </w:tc>
        <w:tc>
          <w:tcPr>
            <w:tcW w:w="11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249.5</w:t>
            </w: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572.6</w:t>
            </w:r>
          </w:p>
        </w:tc>
        <w:tc>
          <w:tcPr>
            <w:tcW w:w="11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491.4</w:t>
            </w:r>
          </w:p>
        </w:tc>
        <w:tc>
          <w:tcPr>
            <w:tcW w:w="10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5"/>
        </w:trPr>
        <w:tc>
          <w:tcPr>
            <w:tcW w:w="20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18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right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Six Months Ended April 30,</w:t>
            </w: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180" w:type="dxa"/>
            <w:vAlign w:val="bottom"/>
            <w:tcBorders>
              <w:left w:val="single" w:sz="8" w:color="auto"/>
              <w:right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(In millions, except per share</w:t>
            </w:r>
          </w:p>
        </w:tc>
        <w:tc>
          <w:tcPr>
            <w:tcW w:w="22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2"/>
                <w:szCs w:val="12"/>
                <w:color w:val="auto"/>
              </w:rPr>
            </w:pPr>
          </w:p>
        </w:tc>
        <w:tc>
          <w:tcPr>
            <w:tcW w:w="840" w:type="dxa"/>
            <w:vAlign w:val="bottom"/>
            <w:tcBorders>
              <w:right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EPS</w:t>
            </w:r>
          </w:p>
        </w:tc>
        <w:tc>
          <w:tcPr>
            <w:tcW w:w="24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EPS</w:t>
            </w:r>
          </w:p>
        </w:tc>
        <w:tc>
          <w:tcPr>
            <w:tcW w:w="24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2"/>
                <w:szCs w:val="12"/>
                <w:color w:val="auto"/>
              </w:rPr>
            </w:pPr>
          </w:p>
        </w:tc>
        <w:tc>
          <w:tcPr>
            <w:tcW w:w="980" w:type="dxa"/>
            <w:vAlign w:val="bottom"/>
            <w:tcBorders>
              <w:right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EPS</w:t>
            </w:r>
          </w:p>
        </w:tc>
        <w:tc>
          <w:tcPr>
            <w:tcW w:w="22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2"/>
                <w:szCs w:val="12"/>
                <w:color w:val="auto"/>
              </w:rPr>
            </w:pPr>
          </w:p>
        </w:tc>
        <w:tc>
          <w:tcPr>
            <w:tcW w:w="840" w:type="dxa"/>
            <w:vAlign w:val="bottom"/>
            <w:tcBorders>
              <w:right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85"/>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amounts)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GAAP Net Income (Loss)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0.27</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tcPr>
          <w:p>
            <w:pPr>
              <w:ind w:left="140"/>
              <w:spacing w:after="0" w:line="153" w:lineRule="exact"/>
              <w:rPr>
                <w:sz w:val="20"/>
                <w:szCs w:val="20"/>
                <w:color w:val="auto"/>
              </w:rPr>
            </w:pPr>
            <w:r>
              <w:rPr>
                <w:rFonts w:ascii="Arial" w:cs="Arial" w:eastAsia="Arial" w:hAnsi="Arial"/>
                <w:sz w:val="14"/>
                <w:szCs w:val="14"/>
                <w:color w:val="auto"/>
              </w:rPr>
              <w:t>Amortization of acquired</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47.7</w:t>
            </w:r>
          </w:p>
        </w:tc>
        <w:tc>
          <w:tcPr>
            <w:tcW w:w="260" w:type="dxa"/>
            <w:vAlign w:val="bottom"/>
          </w:tcPr>
          <w:p>
            <w:pPr>
              <w:spacing w:after="0"/>
              <w:rPr>
                <w:sz w:val="13"/>
                <w:szCs w:val="13"/>
                <w:color w:val="auto"/>
              </w:rPr>
            </w:pPr>
          </w:p>
        </w:tc>
        <w:tc>
          <w:tcPr>
            <w:tcW w:w="8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0.24</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49.8</w:t>
            </w:r>
          </w:p>
        </w:tc>
        <w:tc>
          <w:tcPr>
            <w:tcW w:w="240" w:type="dxa"/>
            <w:vAlign w:val="bottom"/>
          </w:tcPr>
          <w:p>
            <w:pPr>
              <w:spacing w:after="0"/>
              <w:rPr>
                <w:sz w:val="13"/>
                <w:szCs w:val="13"/>
                <w:color w:val="auto"/>
              </w:rPr>
            </w:pPr>
          </w:p>
        </w:tc>
        <w:tc>
          <w:tcPr>
            <w:tcW w:w="8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0.24</w:t>
            </w:r>
          </w:p>
        </w:tc>
        <w:tc>
          <w:tcPr>
            <w:tcW w:w="24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95.6</w:t>
            </w:r>
          </w:p>
        </w:tc>
        <w:tc>
          <w:tcPr>
            <w:tcW w:w="120" w:type="dxa"/>
            <w:vAlign w:val="bottom"/>
          </w:tcPr>
          <w:p>
            <w:pPr>
              <w:spacing w:after="0"/>
              <w:rPr>
                <w:sz w:val="13"/>
                <w:szCs w:val="13"/>
                <w:color w:val="auto"/>
              </w:rPr>
            </w:pPr>
          </w:p>
        </w:tc>
        <w:tc>
          <w:tcPr>
            <w:tcW w:w="98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0.48</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99.4</w:t>
            </w:r>
          </w:p>
        </w:tc>
        <w:tc>
          <w:tcPr>
            <w:tcW w:w="260" w:type="dxa"/>
            <w:vAlign w:val="bottom"/>
          </w:tcPr>
          <w:p>
            <w:pPr>
              <w:spacing w:after="0"/>
              <w:rPr>
                <w:sz w:val="13"/>
                <w:szCs w:val="13"/>
                <w:color w:val="auto"/>
              </w:rPr>
            </w:pPr>
          </w:p>
        </w:tc>
        <w:tc>
          <w:tcPr>
            <w:tcW w:w="8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185"/>
        </w:trPr>
        <w:tc>
          <w:tcPr>
            <w:tcW w:w="2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intangibles</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180" w:type="dxa"/>
            <w:vAlign w:val="bottom"/>
            <w:tcBorders>
              <w:left w:val="single" w:sz="8" w:color="auto"/>
              <w:right w:val="single" w:sz="8" w:color="auto"/>
            </w:tcBorders>
            <w:shd w:val="clear" w:color="auto" w:fill="CCEEFF"/>
          </w:tcPr>
          <w:p>
            <w:pPr>
              <w:ind w:left="140"/>
              <w:spacing w:after="0" w:line="151" w:lineRule="exact"/>
              <w:rPr>
                <w:sz w:val="20"/>
                <w:szCs w:val="20"/>
                <w:color w:val="auto"/>
              </w:rPr>
            </w:pPr>
            <w:r>
              <w:rPr>
                <w:rFonts w:ascii="Arial" w:cs="Arial" w:eastAsia="Arial" w:hAnsi="Arial"/>
                <w:sz w:val="14"/>
                <w:szCs w:val="14"/>
                <w:color w:val="auto"/>
              </w:rPr>
              <w:t>Acquisition and integration-</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40" w:type="dxa"/>
            <w:vAlign w:val="bottom"/>
            <w:shd w:val="clear" w:color="auto" w:fill="CCEEFF"/>
          </w:tcPr>
          <w:p>
            <w:pPr>
              <w:spacing w:after="0"/>
              <w:rPr>
                <w:sz w:val="13"/>
                <w:szCs w:val="13"/>
                <w:color w:val="auto"/>
              </w:rPr>
            </w:pPr>
          </w:p>
        </w:tc>
        <w:tc>
          <w:tcPr>
            <w:tcW w:w="86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260" w:type="dxa"/>
            <w:vAlign w:val="bottom"/>
            <w:shd w:val="clear" w:color="auto" w:fill="CCEEFF"/>
          </w:tcPr>
          <w:p>
            <w:pPr>
              <w:spacing w:after="0"/>
              <w:rPr>
                <w:sz w:val="13"/>
                <w:szCs w:val="13"/>
                <w:color w:val="auto"/>
              </w:rPr>
            </w:pPr>
          </w:p>
        </w:tc>
        <w:tc>
          <w:tcPr>
            <w:tcW w:w="8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1"/>
        </w:trPr>
        <w:tc>
          <w:tcPr>
            <w:tcW w:w="2180" w:type="dxa"/>
            <w:vAlign w:val="bottom"/>
            <w:tcBorders>
              <w:left w:val="single" w:sz="8" w:color="auto"/>
              <w:right w:val="single" w:sz="8" w:color="auto"/>
            </w:tcBorders>
            <w:shd w:val="clear" w:color="auto" w:fill="CCEEFF"/>
          </w:tcPr>
          <w:p>
            <w:pPr>
              <w:ind w:left="140"/>
              <w:spacing w:after="0" w:line="201" w:lineRule="exact"/>
              <w:rPr>
                <w:sz w:val="20"/>
                <w:szCs w:val="20"/>
                <w:color w:val="auto"/>
              </w:rPr>
            </w:pPr>
            <w:r>
              <w:rPr>
                <w:rFonts w:ascii="Arial" w:cs="Arial" w:eastAsia="Arial" w:hAnsi="Arial"/>
                <w:sz w:val="14"/>
                <w:szCs w:val="14"/>
                <w:color w:val="auto"/>
              </w:rPr>
              <w:t xml:space="preserve">related charges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tcBorders>
              <w:right w:val="single" w:sz="8" w:color="auto"/>
            </w:tcBorders>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tcBorders>
              <w:right w:val="single" w:sz="8" w:color="auto"/>
            </w:tcBorders>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auto"/>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4"/>
                <w:szCs w:val="14"/>
                <w:color w:val="auto"/>
              </w:rPr>
              <w:t xml:space="preserve">Exit of business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9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0.01</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Medical device regulations </w:t>
            </w:r>
            <w:r>
              <w:rPr>
                <w:rFonts w:ascii="Arial" w:cs="Arial" w:eastAsia="Arial" w:hAnsi="Arial"/>
                <w:sz w:val="18"/>
                <w:szCs w:val="18"/>
                <w:color w:val="auto"/>
                <w:vertAlign w:val="superscript"/>
              </w:rPr>
              <w:t>(3)</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4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9"/>
        </w:trPr>
        <w:tc>
          <w:tcPr>
            <w:tcW w:w="21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Business optimization charges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80" w:type="dxa"/>
            <w:vAlign w:val="bottom"/>
            <w:tcBorders>
              <w:left w:val="single" w:sz="8" w:color="auto"/>
              <w:right w:val="single" w:sz="8" w:color="auto"/>
            </w:tcBorders>
          </w:tcPr>
          <w:p>
            <w:pPr>
              <w:ind w:left="140"/>
              <w:spacing w:after="0" w:line="95" w:lineRule="exact"/>
              <w:rPr>
                <w:sz w:val="20"/>
                <w:szCs w:val="20"/>
                <w:color w:val="auto"/>
              </w:rPr>
            </w:pPr>
            <w:r>
              <w:rPr>
                <w:rFonts w:ascii="Arial" w:cs="Arial" w:eastAsia="Arial" w:hAnsi="Arial"/>
                <w:sz w:val="9"/>
                <w:szCs w:val="9"/>
                <w:color w:val="auto"/>
              </w:rPr>
              <w:t>(4)</w:t>
            </w:r>
          </w:p>
        </w:tc>
        <w:tc>
          <w:tcPr>
            <w:tcW w:w="220" w:type="dxa"/>
            <w:vAlign w:val="bottom"/>
          </w:tcPr>
          <w:p>
            <w:pPr>
              <w:spacing w:after="0"/>
              <w:rPr>
                <w:sz w:val="8"/>
                <w:szCs w:val="8"/>
                <w:color w:val="auto"/>
              </w:rPr>
            </w:pPr>
          </w:p>
        </w:tc>
        <w:tc>
          <w:tcPr>
            <w:tcW w:w="8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8"/>
                <w:szCs w:val="8"/>
                <w:color w:val="auto"/>
              </w:rPr>
            </w:pPr>
          </w:p>
        </w:tc>
        <w:tc>
          <w:tcPr>
            <w:tcW w:w="840" w:type="dxa"/>
            <w:vAlign w:val="bottom"/>
            <w:tcBorders>
              <w:right w:val="single" w:sz="8" w:color="auto"/>
            </w:tcBorders>
            <w:vMerge w:val="restart"/>
          </w:tcPr>
          <w:p>
            <w:pPr>
              <w:jc w:val="right"/>
              <w:ind w:right="8"/>
              <w:spacing w:after="0" w:line="149" w:lineRule="exact"/>
              <w:rPr>
                <w:sz w:val="20"/>
                <w:szCs w:val="20"/>
                <w:color w:val="auto"/>
              </w:rPr>
            </w:pPr>
            <w:r>
              <w:rPr>
                <w:rFonts w:ascii="Arial" w:cs="Arial" w:eastAsia="Arial" w:hAnsi="Arial"/>
                <w:sz w:val="14"/>
                <w:szCs w:val="14"/>
                <w:color w:val="auto"/>
              </w:rPr>
              <w:t>0.01</w:t>
            </w:r>
          </w:p>
        </w:tc>
        <w:tc>
          <w:tcPr>
            <w:tcW w:w="240" w:type="dxa"/>
            <w:vAlign w:val="bottom"/>
          </w:tcPr>
          <w:p>
            <w:pPr>
              <w:spacing w:after="0"/>
              <w:rPr>
                <w:sz w:val="8"/>
                <w:szCs w:val="8"/>
                <w:color w:val="auto"/>
              </w:rPr>
            </w:pPr>
          </w:p>
        </w:tc>
        <w:tc>
          <w:tcPr>
            <w:tcW w:w="8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8"/>
                <w:szCs w:val="8"/>
                <w:color w:val="auto"/>
              </w:rPr>
            </w:pPr>
          </w:p>
        </w:tc>
        <w:tc>
          <w:tcPr>
            <w:tcW w:w="860" w:type="dxa"/>
            <w:vAlign w:val="bottom"/>
            <w:tcBorders>
              <w:right w:val="single" w:sz="8" w:color="auto"/>
            </w:tcBorders>
            <w:vMerge w:val="restart"/>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8"/>
                <w:szCs w:val="8"/>
                <w:color w:val="auto"/>
              </w:rPr>
            </w:pPr>
          </w:p>
        </w:tc>
        <w:tc>
          <w:tcPr>
            <w:tcW w:w="840" w:type="dxa"/>
            <w:vAlign w:val="bottom"/>
            <w:vMerge w:val="restart"/>
          </w:tcPr>
          <w:p>
            <w:pPr>
              <w:jc w:val="right"/>
              <w:ind w:right="8"/>
              <w:spacing w:after="0" w:line="14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8"/>
                <w:szCs w:val="8"/>
                <w:color w:val="auto"/>
              </w:rPr>
            </w:pPr>
          </w:p>
        </w:tc>
        <w:tc>
          <w:tcPr>
            <w:tcW w:w="980" w:type="dxa"/>
            <w:vAlign w:val="bottom"/>
            <w:tcBorders>
              <w:right w:val="single" w:sz="8" w:color="auto"/>
            </w:tcBorders>
            <w:vMerge w:val="restart"/>
          </w:tcPr>
          <w:p>
            <w:pPr>
              <w:jc w:val="right"/>
              <w:ind w:right="28"/>
              <w:spacing w:after="0" w:line="149" w:lineRule="exact"/>
              <w:rPr>
                <w:sz w:val="20"/>
                <w:szCs w:val="20"/>
                <w:color w:val="auto"/>
              </w:rPr>
            </w:pPr>
            <w:r>
              <w:rPr>
                <w:rFonts w:ascii="Arial" w:cs="Arial" w:eastAsia="Arial" w:hAnsi="Arial"/>
                <w:sz w:val="14"/>
                <w:szCs w:val="14"/>
                <w:color w:val="auto"/>
              </w:rPr>
              <w:t>0.02</w:t>
            </w:r>
          </w:p>
        </w:tc>
        <w:tc>
          <w:tcPr>
            <w:tcW w:w="220" w:type="dxa"/>
            <w:vAlign w:val="bottom"/>
          </w:tcPr>
          <w:p>
            <w:pPr>
              <w:spacing w:after="0"/>
              <w:rPr>
                <w:sz w:val="8"/>
                <w:szCs w:val="8"/>
                <w:color w:val="auto"/>
              </w:rPr>
            </w:pPr>
          </w:p>
        </w:tc>
        <w:tc>
          <w:tcPr>
            <w:tcW w:w="8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8"/>
                <w:szCs w:val="8"/>
                <w:color w:val="auto"/>
              </w:rPr>
            </w:pPr>
          </w:p>
        </w:tc>
        <w:tc>
          <w:tcPr>
            <w:tcW w:w="840" w:type="dxa"/>
            <w:vAlign w:val="bottom"/>
            <w:tcBorders>
              <w:right w:val="single" w:sz="8" w:color="auto"/>
            </w:tcBorders>
            <w:vMerge w:val="restart"/>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2180" w:type="dxa"/>
            <w:vAlign w:val="bottom"/>
            <w:tcBorders>
              <w:left w:val="single" w:sz="8" w:color="auto"/>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right w:val="single" w:sz="8" w:color="auto"/>
            </w:tcBorders>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Borders>
              <w:right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277.6</w:t>
            </w:r>
          </w:p>
        </w:tc>
        <w:tc>
          <w:tcPr>
            <w:tcW w:w="2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4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0.09</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285.2</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2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tcPr>
          <w:p>
            <w:pPr>
              <w:ind w:left="140"/>
              <w:spacing w:after="0" w:line="153" w:lineRule="exact"/>
              <w:rPr>
                <w:sz w:val="20"/>
                <w:szCs w:val="20"/>
                <w:color w:val="auto"/>
              </w:rPr>
            </w:pPr>
            <w:r>
              <w:rPr>
                <w:rFonts w:ascii="Arial" w:cs="Arial" w:eastAsia="Arial" w:hAnsi="Arial"/>
                <w:sz w:val="14"/>
                <w:szCs w:val="14"/>
                <w:color w:val="auto"/>
              </w:rPr>
              <w:t>Tax effects related to the</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(55.4)</w:t>
            </w:r>
          </w:p>
        </w:tc>
        <w:tc>
          <w:tcPr>
            <w:tcW w:w="260" w:type="dxa"/>
            <w:vAlign w:val="bottom"/>
          </w:tcPr>
          <w:p>
            <w:pPr>
              <w:spacing w:after="0"/>
              <w:rPr>
                <w:sz w:val="13"/>
                <w:szCs w:val="13"/>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(0.28)</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240" w:type="dxa"/>
            <w:vAlign w:val="bottom"/>
          </w:tcPr>
          <w:p>
            <w:pPr>
              <w:spacing w:after="0"/>
              <w:rPr>
                <w:sz w:val="13"/>
                <w:szCs w:val="13"/>
                <w:color w:val="auto"/>
              </w:rPr>
            </w:pP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(0.06)</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13"/>
                <w:szCs w:val="13"/>
                <w:color w:val="auto"/>
              </w:rPr>
            </w:pPr>
          </w:p>
        </w:tc>
        <w:tc>
          <w:tcPr>
            <w:tcW w:w="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(0.36)</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(25.8)</w:t>
            </w:r>
          </w:p>
        </w:tc>
        <w:tc>
          <w:tcPr>
            <w:tcW w:w="260" w:type="dxa"/>
            <w:vAlign w:val="bottom"/>
          </w:tcPr>
          <w:p>
            <w:pPr>
              <w:spacing w:after="0"/>
              <w:rPr>
                <w:sz w:val="13"/>
                <w:szCs w:val="13"/>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85"/>
        </w:trPr>
        <w:tc>
          <w:tcPr>
            <w:tcW w:w="2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above items</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Intra-entity asset transfers </w:t>
            </w:r>
            <w:r>
              <w:rPr>
                <w:rFonts w:ascii="Arial" w:cs="Arial" w:eastAsia="Arial" w:hAnsi="Arial"/>
                <w:sz w:val="18"/>
                <w:szCs w:val="18"/>
                <w:color w:val="auto"/>
                <w:vertAlign w:val="superscript"/>
              </w:rPr>
              <w:t>(6)</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2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0.21</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24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0.18</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2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98"/>
        </w:trPr>
        <w:tc>
          <w:tcPr>
            <w:tcW w:w="2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315.3</w:t>
            </w:r>
          </w:p>
        </w:tc>
        <w:tc>
          <w:tcPr>
            <w:tcW w:w="260" w:type="dxa"/>
            <w:vAlign w:val="bottom"/>
          </w:tcPr>
          <w:p>
            <w:pPr>
              <w:spacing w:after="0"/>
              <w:rPr>
                <w:sz w:val="17"/>
                <w:szCs w:val="17"/>
                <w:color w:val="auto"/>
              </w:rPr>
            </w:pPr>
          </w:p>
        </w:tc>
        <w:tc>
          <w:tcPr>
            <w:tcW w:w="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1.61</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105.8</w:t>
            </w:r>
          </w:p>
        </w:tc>
        <w:tc>
          <w:tcPr>
            <w:tcW w:w="240" w:type="dxa"/>
            <w:vAlign w:val="bottom"/>
          </w:tcPr>
          <w:p>
            <w:pPr>
              <w:spacing w:after="0"/>
              <w:rPr>
                <w:sz w:val="17"/>
                <w:szCs w:val="17"/>
                <w:color w:val="auto"/>
              </w:rPr>
            </w:pP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0.52</w:t>
            </w:r>
          </w:p>
        </w:tc>
        <w:tc>
          <w:tcPr>
            <w:tcW w:w="24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401.5</w:t>
            </w:r>
          </w:p>
        </w:tc>
        <w:tc>
          <w:tcPr>
            <w:tcW w:w="120" w:type="dxa"/>
            <w:vAlign w:val="bottom"/>
          </w:tcPr>
          <w:p>
            <w:pPr>
              <w:spacing w:after="0"/>
              <w:rPr>
                <w:sz w:val="17"/>
                <w:szCs w:val="17"/>
                <w:color w:val="auto"/>
              </w:rPr>
            </w:pPr>
          </w:p>
        </w:tc>
        <w:tc>
          <w:tcPr>
            <w:tcW w:w="9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2.04</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185.9</w:t>
            </w:r>
          </w:p>
        </w:tc>
        <w:tc>
          <w:tcPr>
            <w:tcW w:w="260" w:type="dxa"/>
            <w:vAlign w:val="bottom"/>
          </w:tcPr>
          <w:p>
            <w:pPr>
              <w:spacing w:after="0"/>
              <w:rPr>
                <w:sz w:val="17"/>
                <w:szCs w:val="17"/>
                <w:color w:val="auto"/>
              </w:rPr>
            </w:pPr>
          </w:p>
        </w:tc>
        <w:tc>
          <w:tcPr>
            <w:tcW w:w="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206"/>
        </w:trPr>
        <w:tc>
          <w:tcPr>
            <w:tcW w:w="2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Non-GAAP Net Income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193.5</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0.96</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377.9</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47"/>
        </w:trPr>
        <w:tc>
          <w:tcPr>
            <w:tcW w:w="2180" w:type="dxa"/>
            <w:vAlign w:val="bottom"/>
          </w:tcPr>
          <w:p>
            <w:pPr>
              <w:ind w:left="20"/>
              <w:spacing w:after="0" w:line="147" w:lineRule="exact"/>
              <w:rPr>
                <w:sz w:val="20"/>
                <w:szCs w:val="20"/>
                <w:color w:val="auto"/>
              </w:rPr>
            </w:pPr>
            <w:r>
              <w:rPr>
                <w:rFonts w:ascii="Arial" w:cs="Arial" w:eastAsia="Arial" w:hAnsi="Arial"/>
                <w:sz w:val="14"/>
                <w:szCs w:val="14"/>
                <w:color w:val="auto"/>
              </w:rPr>
              <w:t>Weighted average diluted shares</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195.6</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200.7</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196.1</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200.9</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80" w:type="dxa"/>
            <w:vAlign w:val="bottom"/>
          </w:tcPr>
          <w:p>
            <w:pPr>
              <w:ind w:left="20"/>
              <w:spacing w:after="0"/>
              <w:rPr>
                <w:sz w:val="20"/>
                <w:szCs w:val="20"/>
                <w:color w:val="auto"/>
              </w:rPr>
            </w:pPr>
            <w:r>
              <w:rPr>
                <w:rFonts w:ascii="Arial" w:cs="Arial" w:eastAsia="Arial" w:hAnsi="Arial"/>
                <w:sz w:val="14"/>
                <w:szCs w:val="14"/>
                <w:color w:val="auto"/>
              </w:rPr>
              <w:t>used</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EPS, amounts and percentages may not sum or recalculate due to rounding.</w:t>
      </w:r>
    </w:p>
    <w:p>
      <w:pPr>
        <w:spacing w:after="0" w:line="242"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There were no acquisition and integration-related charges in the three and six months ended April 30, 2026.</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147" w:right="339" w:bottom="1440" w:gutter="0" w:footer="0" w:header="0"/>
        </w:sectPr>
      </w:pPr>
    </w:p>
    <w:bookmarkStart w:id="9" w:name="page10"/>
    <w:bookmarkEnd w:id="9"/>
    <w:p>
      <w:pPr>
        <w:ind w:right="20"/>
        <w:spacing w:after="0" w:line="267" w:lineRule="auto"/>
        <w:rPr>
          <w:sz w:val="20"/>
          <w:szCs w:val="20"/>
          <w:color w:val="auto"/>
        </w:rPr>
      </w:pPr>
      <w:r>
        <w:rPr>
          <w:rFonts w:ascii="Arial" w:cs="Arial" w:eastAsia="Arial" w:hAnsi="Arial"/>
          <w:sz w:val="14"/>
          <w:szCs w:val="14"/>
          <w:color w:val="auto"/>
        </w:rPr>
        <w:t>The acquisition and integration-related charges in fiscal 2025 were primarily related to the obp Surgical and Cook Medical acquisition and integration expenses. Charges included $3.5 million and $4.8 million related to redundant personnel costs for transitional employees, $1.1 million and $2.4 million of professional services fees, $1.2 million and $2.1 million of inventory fair value step-up amortization, $1.1 million and $1.8 million of facility rationalization costs, and $0.3 million and $0.4 million of other acquisition and integration-related activities in the three and six months ended April 30, 2025. The three months ended April 30, 2025 also included $2.4 million of acquisition-related non-cash cumulative true-up adjustments reflecting changes in compensation.</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Charges in this category may include the direct effects of acquisition accounting, such as amortization of inventory fair value step-up, professional services fees, regulatory fees, and items related to integrating acquired businesses, such as redundant personnel costs for transitional employees, acquisition-related non-cash cumulative true up adjustments reflecting changes in compensation, other acquisition-related costs, integration-related professional services, long-lived asset write-offs, manufacturing integration costs, legal entity and facility rationalization, and other integration-related activities.</w:t>
      </w:r>
    </w:p>
    <w:p>
      <w:pPr>
        <w:spacing w:after="0" w:line="210" w:lineRule="exact"/>
        <w:rPr>
          <w:sz w:val="20"/>
          <w:szCs w:val="20"/>
          <w:color w:val="auto"/>
        </w:rPr>
      </w:pPr>
    </w:p>
    <w:p>
      <w:pPr>
        <w:ind w:right="340" w:firstLine="8"/>
        <w:spacing w:after="0" w:line="273" w:lineRule="auto"/>
        <w:tabs>
          <w:tab w:leader="none" w:pos="154"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There were no charges related to the exit of business in the three months ended April 30, 2026. The six months ended April 30, 2026 included $1.7 million of specifically-identified long-lived asset write-offs and $0.1 million of other costs related to product line exits.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There were no exit of business charges in the three and six months ended April 30, 2025.</w:t>
      </w:r>
    </w:p>
    <w:p>
      <w:pPr>
        <w:spacing w:after="0" w:line="258"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Charges in this category may include costs related to product line exits such as inventory write-offs, employee severance costs, and specifically-identified long-lived asset write-offs.</w:t>
      </w:r>
    </w:p>
    <w:p>
      <w:pPr>
        <w:spacing w:after="0" w:line="200" w:lineRule="exact"/>
        <w:rPr>
          <w:sz w:val="20"/>
          <w:szCs w:val="20"/>
          <w:color w:val="auto"/>
        </w:rPr>
      </w:pPr>
    </w:p>
    <w:p>
      <w:pPr>
        <w:spacing w:after="0" w:line="205" w:lineRule="exact"/>
        <w:rPr>
          <w:sz w:val="20"/>
          <w:szCs w:val="20"/>
          <w:color w:val="auto"/>
        </w:rPr>
      </w:pPr>
    </w:p>
    <w:p>
      <w:pPr>
        <w:jc w:val="both"/>
        <w:ind w:right="140" w:firstLine="8"/>
        <w:spacing w:after="0" w:line="272" w:lineRule="auto"/>
        <w:tabs>
          <w:tab w:leader="none" w:pos="154"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Charges represent incremental costs of complying with the new European Union (E.U.) medical device regulations and the E.U. in vitro diagnostic medical device regulation (collectively, the "Medical device regulations") for previously registered products and primarily include charges for contractors supporting the project and other direct third-party expenses. We consider these costs to be limited to a specific time period.</w:t>
      </w:r>
    </w:p>
    <w:p>
      <w:pPr>
        <w:spacing w:after="0" w:line="209" w:lineRule="exact"/>
        <w:rPr>
          <w:rFonts w:ascii="Arial" w:cs="Arial" w:eastAsia="Arial" w:hAnsi="Arial"/>
          <w:sz w:val="17"/>
          <w:szCs w:val="17"/>
          <w:color w:val="auto"/>
          <w:vertAlign w:val="superscript"/>
        </w:rPr>
      </w:pPr>
    </w:p>
    <w:p>
      <w:pPr>
        <w:ind w:right="380" w:firstLine="8"/>
        <w:spacing w:after="0" w:line="251" w:lineRule="auto"/>
        <w:tabs>
          <w:tab w:leader="none" w:pos="154"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Charges included $1.1 million and $2.3 million of redundant personnel costs for transitional employees in the three and six months ended April 30, 2026. The six months ended April 30, 2026 also included $0.4 million of employee severance costs and $0.3 million of other business optimization charges.</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There were no business optimization charges in the three and six months ended April 30, 2025.</w:t>
      </w:r>
    </w:p>
    <w:p>
      <w:pPr>
        <w:spacing w:after="0" w:line="258" w:lineRule="exact"/>
        <w:rPr>
          <w:sz w:val="20"/>
          <w:szCs w:val="20"/>
          <w:color w:val="auto"/>
        </w:rPr>
      </w:pPr>
    </w:p>
    <w:p>
      <w:pPr>
        <w:jc w:val="both"/>
        <w:ind w:right="20"/>
        <w:spacing w:after="0" w:line="283" w:lineRule="auto"/>
        <w:rPr>
          <w:sz w:val="20"/>
          <w:szCs w:val="20"/>
          <w:color w:val="auto"/>
        </w:rPr>
      </w:pPr>
      <w:r>
        <w:rPr>
          <w:rFonts w:ascii="Arial" w:cs="Arial" w:eastAsia="Arial" w:hAnsi="Arial"/>
          <w:sz w:val="14"/>
          <w:szCs w:val="14"/>
          <w:color w:val="auto"/>
        </w:rPr>
        <w:t>Charges in this category represent costs associated with initiatives to increase efficiency and optimize the cost structure, and may include, among other items, changes to our IT infrastructure and operations, employee severance costs, redundant personnel costs for transitional employees, legal entity and other business reorganizations, and inventories associated with the business optimization activities.</w:t>
      </w:r>
    </w:p>
    <w:p>
      <w:pPr>
        <w:spacing w:after="0" w:line="186" w:lineRule="exact"/>
        <w:rPr>
          <w:sz w:val="20"/>
          <w:szCs w:val="20"/>
          <w:color w:val="auto"/>
        </w:rPr>
      </w:pPr>
    </w:p>
    <w:p>
      <w:pPr>
        <w:ind w:right="100" w:firstLine="8"/>
        <w:spacing w:after="0" w:line="305" w:lineRule="auto"/>
        <w:tabs>
          <w:tab w:leader="none" w:pos="154" w:val="left"/>
        </w:tabs>
        <w:numPr>
          <w:ilvl w:val="0"/>
          <w:numId w:val="15"/>
        </w:numPr>
        <w:rPr>
          <w:rFonts w:ascii="Arial" w:cs="Arial" w:eastAsia="Arial" w:hAnsi="Arial"/>
          <w:sz w:val="9"/>
          <w:szCs w:val="9"/>
          <w:color w:val="auto"/>
        </w:rPr>
      </w:pPr>
      <w:r>
        <w:rPr>
          <w:rFonts w:ascii="Arial" w:cs="Arial" w:eastAsia="Arial" w:hAnsi="Arial"/>
          <w:sz w:val="14"/>
          <w:szCs w:val="14"/>
          <w:color w:val="auto"/>
        </w:rPr>
        <w:t>Charges included $4.5 million and $11.2 million related to legal matters and $0.9 million and $1.8 million of gains and losses on minority interest investments in the three and six months ended April 30, 2026. The three months ended April 30, 2026 also included $272.2 million related to litigation expense and associated legal costs.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Charges in the three months ended April 30, 2025 included $16.7 million of gains and losses on minority interest investments, of which $15.7 million was related to loss on disposal of a minority interest investment, and $0.7 million of accretion of interest attributable to acquisition installment payables. Charges in the six months ended April 30, 2025 included $17.9 million of gains and losses on a minority interest investment, $1.4 million of accretion of interest attributable to acquisition installment payables, and $0.6 million legal fees.</w:t>
      </w:r>
    </w:p>
    <w:p>
      <w:pPr>
        <w:spacing w:after="0" w:line="382" w:lineRule="exact"/>
        <w:rPr>
          <w:sz w:val="20"/>
          <w:szCs w:val="20"/>
          <w:color w:val="auto"/>
        </w:rPr>
      </w:pPr>
    </w:p>
    <w:p>
      <w:pPr>
        <w:ind w:right="420"/>
        <w:spacing w:after="0" w:line="305" w:lineRule="auto"/>
        <w:rPr>
          <w:sz w:val="20"/>
          <w:szCs w:val="20"/>
          <w:color w:val="auto"/>
        </w:rPr>
      </w:pPr>
      <w:r>
        <w:rPr>
          <w:rFonts w:ascii="Arial" w:cs="Arial" w:eastAsia="Arial" w:hAnsi="Arial"/>
          <w:sz w:val="14"/>
          <w:szCs w:val="14"/>
          <w:color w:val="auto"/>
        </w:rPr>
        <w:t>Charges in this category may include legal matters, litigation expense, and other items that are not part of ordinary operations. The adjustments to arrive at non-GAAP net income also include gains and losses on minority interest investments and accretion of interest attributable to acquisition installment payables.</w:t>
      </w:r>
    </w:p>
    <w:p>
      <w:pPr>
        <w:spacing w:after="0" w:line="185" w:lineRule="exact"/>
        <w:rPr>
          <w:sz w:val="20"/>
          <w:szCs w:val="20"/>
          <w:color w:val="auto"/>
        </w:rPr>
      </w:pPr>
    </w:p>
    <w:p>
      <w:pPr>
        <w:ind w:right="600" w:firstLine="8"/>
        <w:spacing w:after="0" w:line="263" w:lineRule="auto"/>
        <w:tabs>
          <w:tab w:leader="none" w:pos="154"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In fiscal 2021, the Company transferred its CooperVision intellectual property and goodwill to its UK subsidiary. As a result, we recorded a deferred tax asset equal to approximately $2.0 billion as a one-time tax benefit in accordance with U.S. GAAP in fiscal 2021 as subsequently adjusted for changes in UK tax law. The non-GAAP adjustments reflect the ongoing net deferred tax benefit from tax amortization each period under UK tax law.</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Audio Webcast and Conference Call</w:t>
      </w:r>
    </w:p>
    <w:p>
      <w:pPr>
        <w:spacing w:after="0" w:line="253" w:lineRule="exact"/>
        <w:rPr>
          <w:sz w:val="20"/>
          <w:szCs w:val="20"/>
          <w:color w:val="auto"/>
        </w:rPr>
      </w:pPr>
    </w:p>
    <w:p>
      <w:pPr>
        <w:ind w:right="120"/>
        <w:spacing w:after="0" w:line="381" w:lineRule="auto"/>
        <w:rPr>
          <w:sz w:val="20"/>
          <w:szCs w:val="20"/>
          <w:color w:val="auto"/>
        </w:rPr>
      </w:pPr>
      <w:r>
        <w:rPr>
          <w:rFonts w:ascii="Arial" w:cs="Arial" w:eastAsia="Arial" w:hAnsi="Arial"/>
          <w:sz w:val="20"/>
          <w:szCs w:val="20"/>
          <w:color w:val="auto"/>
        </w:rPr>
        <w:t>The Company will host an audio webcast today for the public, investors, analysts and news media to discuss its second quarter results and current corporate developments. The audio webcast will be broadcast live on CooperCompanies' website, www.investor.coopercos.com, at approximately 5:00 PM ET. It will also be available for replay on CooperCompanies' website, www.investor.coopercos.com. Alternatively, you can dial in to the conference call at 800-715-9871; conference ID 6529381.</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143"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About CooperCompanies</w:t>
      </w:r>
    </w:p>
    <w:p>
      <w:pPr>
        <w:spacing w:after="0" w:line="253" w:lineRule="exact"/>
        <w:rPr>
          <w:sz w:val="20"/>
          <w:szCs w:val="20"/>
          <w:color w:val="auto"/>
        </w:rPr>
      </w:pPr>
    </w:p>
    <w:p>
      <w:pPr>
        <w:ind w:right="40"/>
        <w:spacing w:after="0" w:line="400" w:lineRule="auto"/>
        <w:rPr>
          <w:sz w:val="20"/>
          <w:szCs w:val="20"/>
          <w:color w:val="auto"/>
        </w:rPr>
      </w:pPr>
      <w:r>
        <w:rPr>
          <w:rFonts w:ascii="Arial" w:cs="Arial" w:eastAsia="Arial" w:hAnsi="Arial"/>
          <w:sz w:val="19"/>
          <w:szCs w:val="19"/>
          <w:color w:val="auto"/>
        </w:rPr>
        <w:t xml:space="preserve">CooperCompanies (Nasdaq: COO) is a leading global medical device company focused on helping people experience life's beautiful moments through its two business units, CooperVision and CooperSurgical. CooperVision is a trusted leader in the contact lens industry, helping to improve the way people see each day. CooperSurgical is a leading fertility and women's healthcare company dedicated to putting time on the side of women, babies, and families at the healthcare moments that matter most. Headquartered in San Ramon, CA, CooperCompanies has a workforce of more than 15,000, sells products in over 130 countries, and positively impacts over fifty million lives each year. For more information, please visit </w:t>
      </w:r>
      <w:r>
        <w:rPr>
          <w:rFonts w:ascii="Arial" w:cs="Arial" w:eastAsia="Arial" w:hAnsi="Arial"/>
          <w:sz w:val="19"/>
          <w:szCs w:val="19"/>
          <w:color w:val="0094FF"/>
        </w:rPr>
        <w:t>www.coopercos.com</w:t>
      </w:r>
      <w:r>
        <w:rPr>
          <w:rFonts w:ascii="Arial" w:cs="Arial" w:eastAsia="Arial" w:hAnsi="Arial"/>
          <w:sz w:val="19"/>
          <w:szCs w:val="19"/>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53" w:lineRule="exact"/>
        <w:rPr>
          <w:sz w:val="20"/>
          <w:szCs w:val="20"/>
          <w:color w:val="auto"/>
        </w:rPr>
      </w:pPr>
    </w:p>
    <w:p>
      <w:pPr>
        <w:ind w:right="40"/>
        <w:spacing w:after="0" w:line="374" w:lineRule="auto"/>
        <w:rPr>
          <w:sz w:val="20"/>
          <w:szCs w:val="20"/>
          <w:color w:val="auto"/>
        </w:rPr>
      </w:pPr>
      <w:r>
        <w:rPr>
          <w:rFonts w:ascii="Arial" w:cs="Arial" w:eastAsia="Arial" w:hAnsi="Arial"/>
          <w:sz w:val="20"/>
          <w:szCs w:val="20"/>
          <w:color w:val="auto"/>
        </w:rPr>
        <w:t>This earnings release contains "forward-looking statements" as defined by the Private Securities Litigation Reform Act of 1995. Statements relating to guidance, plans, prospects, goals, strategies, future actions, events or performance and other statements of which are other than statements of historical fact, including our fiscal year 2026 financial guidance, are forward looking. In addition, all statements regarding anticipated growth in our revenues, expected savings from reorganization activities,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w:t>
      </w:r>
    </w:p>
    <w:p>
      <w:pPr>
        <w:spacing w:after="0" w:line="88" w:lineRule="exact"/>
        <w:rPr>
          <w:sz w:val="20"/>
          <w:szCs w:val="20"/>
          <w:color w:val="auto"/>
        </w:rPr>
      </w:pPr>
    </w:p>
    <w:p>
      <w:pPr>
        <w:ind w:right="40"/>
        <w:spacing w:after="0" w:line="374" w:lineRule="auto"/>
        <w:rPr>
          <w:sz w:val="20"/>
          <w:szCs w:val="20"/>
          <w:color w:val="auto"/>
        </w:rPr>
      </w:pPr>
      <w:r>
        <w:rPr>
          <w:rFonts w:ascii="Arial" w:cs="Arial" w:eastAsia="Arial" w:hAnsi="Arial"/>
          <w:sz w:val="20"/>
          <w:szCs w:val="20"/>
          <w:color w:val="auto"/>
        </w:rPr>
        <w:t>Among the factors that could cause our actual results and future actions to differ materially from those described in forward-looking statements are: 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 the impact of international conflicts, including the ongoing conflict in the Middle East, and the global response to international conflicts on the global and local economy, financial markets, energy markets, currency rates and our ability to supply product to, or through, or around, affected countries; our substantial and expanding international operations and the challenges of managing an organization spread throughout multiple countries and complying with a variety of legal, compliance and regulatory requirements; the actual imposition or threats of tariffs, customs duties and fees by the U.S. government and other nations in response and other retaliatory actions,</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948" w:right="339" w:bottom="1440" w:gutter="0" w:footer="0" w:header="0"/>
        </w:sectPr>
      </w:pPr>
    </w:p>
    <w:bookmarkStart w:id="11" w:name="page12"/>
    <w:bookmarkEnd w:id="11"/>
    <w:p>
      <w:pPr>
        <w:ind w:right="20"/>
        <w:spacing w:after="0" w:line="393" w:lineRule="auto"/>
        <w:rPr>
          <w:sz w:val="20"/>
          <w:szCs w:val="20"/>
          <w:color w:val="auto"/>
        </w:rPr>
      </w:pPr>
      <w:r>
        <w:rPr>
          <w:rFonts w:ascii="Arial" w:cs="Arial" w:eastAsia="Arial" w:hAnsi="Arial"/>
          <w:sz w:val="19"/>
          <w:szCs w:val="19"/>
          <w:color w:val="auto"/>
        </w:rPr>
        <w:t>such as trade protection measures, import or export licensing requirements, new or different customs duties, trade embargoes and sanctions and other trade barriers, as well as the impact of the Company’s efforts to mitigate the effects of such tariffs or similar measures; foreign currency exchange rate and interest rate fluctuations including the risk of fluctuations in the value of foreign currencies or interest rates that would decrease our net sales and earnings; our existing and future variable rate indebtedness and associated interest expense is impacted by rate increases, which could adversely affect our financial health or limit our ability to borrow additional funds; changes in tax laws, examinations by tax authorities, and changes in our geographic composition of income; 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 compliance costs and potential liability in connection with U.S. and foreign laws and health care regulations pertaining to privacy and security of personal information such as the Health Insurance Portability and Accountability Act of 1996 and the California Consumer Privacy Act in the U.S. and the General Data Protection Regulation requirements in Europe, including but not limited to those resulting from data security breaches; 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 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 a successful cybersecurity attack which could interrupt or disrupt our information technology systems, or those of our third-party service providers, or cause the loss of confidential or protected data; market consolidation of large customers globally through mergers or acquisitions resulting in a larger proportion or concentration of our business being derived from fewer customers; disruptions in supplies of raw materials, particularly components used to manufacture our silicone hydrogel lenses; 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955" w:right="339" w:bottom="1440" w:gutter="0" w:footer="0" w:header="0"/>
        </w:sectPr>
      </w:pPr>
    </w:p>
    <w:bookmarkStart w:id="12" w:name="page13"/>
    <w:bookmarkEnd w:id="12"/>
    <w:p>
      <w:pPr>
        <w:ind w:right="20"/>
        <w:spacing w:after="0" w:line="374" w:lineRule="auto"/>
        <w:rPr>
          <w:sz w:val="20"/>
          <w:szCs w:val="20"/>
          <w:color w:val="auto"/>
        </w:rPr>
      </w:pPr>
      <w:r>
        <w:rPr>
          <w:rFonts w:ascii="Arial" w:cs="Arial" w:eastAsia="Arial" w:hAnsi="Arial"/>
          <w:sz w:val="20"/>
          <w:szCs w:val="20"/>
          <w:color w:val="auto"/>
        </w:rPr>
        <w:t>(MDR) and the EU In Vitro Diagnostic Medical Devices Regulation; legal costs, insurance expenses, settlement costs and the risk of an adverse decision, prohibitive injunction or settlement related to product liability, patent infringement, contractual disputes, or other litigation; limitations on sales following product introductions due to poor market acceptance; new competitors, product innovations or technologies, including but not limited to, technological advances by competitors, new products and patents attained by competitors, and competitors' expansion through acquisitions; reduced sales, loss of customers, reputational harm and costs and expenses, including from claims and litigation related to product recalls and warning letters; failure to receive, or delays in receiving, regulatory approvals or certifications for products; failure of our customers and end users to obtain adequate coverage and reimbursement from third-party payers for our products and services; the requirement to provide for a significant liability or to write off, or accelerate depreciation on, a significant asset, including goodwill, other intangible assets and idle manufacturing facilities and equipment; the success of our research and development activities and other start-up projects; dilution to earnings per share from acquisitions or issuing stock; impact and costs incurred from changes in accounting standards and policies; risks related to environmental laws and requirements applicable to our facilities, products or manufacturing processes, including evolving regulations regarding the use of hazardous substances or chemicals in our products; risks related to environmental, social and corporate governance issues, including those related to regulatory and disclosure requirements, climate change and sustainability; and other events described in our United States Securities and Exchange Commission filings, including the “Business”, “Risk Factors” and "Management's Discussion and Analysis of Financial Condition and Results of Operations" sections in the Company’s Annual Report on Form 10-K for the fiscal year ended October 31, 2025, as such Risk Factors may be updated in annual and quarterly filings.</w:t>
      </w:r>
    </w:p>
    <w:p>
      <w:pPr>
        <w:spacing w:after="0" w:line="70" w:lineRule="exact"/>
        <w:rPr>
          <w:sz w:val="20"/>
          <w:szCs w:val="20"/>
          <w:color w:val="auto"/>
        </w:rPr>
      </w:pPr>
    </w:p>
    <w:p>
      <w:pPr>
        <w:ind w:right="40"/>
        <w:spacing w:after="0" w:line="398" w:lineRule="auto"/>
        <w:rPr>
          <w:sz w:val="20"/>
          <w:szCs w:val="20"/>
          <w:color w:val="auto"/>
        </w:rPr>
      </w:pPr>
      <w:r>
        <w:rPr>
          <w:rFonts w:ascii="Arial" w:cs="Arial" w:eastAsia="Arial" w:hAnsi="Arial"/>
          <w:sz w:val="20"/>
          <w:szCs w:val="20"/>
          <w:color w:val="auto"/>
        </w:rPr>
        <w:t>We caution investors that forward-looking statements reflect our analysis only on their stated date. We disclaim any obligation to update or revise them except as required by law.</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Kim Duncan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Risk Management</w:t>
      </w:r>
    </w:p>
    <w:p>
      <w:pPr>
        <w:spacing w:after="0"/>
        <w:rPr>
          <w:sz w:val="20"/>
          <w:szCs w:val="20"/>
          <w:color w:val="auto"/>
        </w:rPr>
      </w:pPr>
      <w:r>
        <w:rPr>
          <w:rFonts w:ascii="Arial" w:cs="Arial" w:eastAsia="Arial" w:hAnsi="Arial"/>
          <w:sz w:val="20"/>
          <w:szCs w:val="20"/>
          <w:color w:val="auto"/>
        </w:rPr>
        <w:t>925-460-3663</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ir@cooperco.com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95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Condensed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3620" w:type="dxa"/>
            <w:vAlign w:val="bottom"/>
            <w:vMerge w:val="restart"/>
          </w:tcPr>
          <w:p>
            <w:pPr>
              <w:ind w:left="162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April 30, 2026</w:t>
            </w:r>
          </w:p>
        </w:tc>
        <w:tc>
          <w:tcPr>
            <w:tcW w:w="200" w:type="dxa"/>
            <w:vAlign w:val="bottom"/>
          </w:tcPr>
          <w:p>
            <w:pPr>
              <w:spacing w:after="0"/>
              <w:rPr>
                <w:sz w:val="20"/>
                <w:szCs w:val="20"/>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October 31, 2025</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receivables, net</w:t>
            </w:r>
          </w:p>
        </w:tc>
        <w:tc>
          <w:tcPr>
            <w:tcW w:w="3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30"/>
        </w:trPr>
        <w:tc>
          <w:tcPr>
            <w:tcW w:w="362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3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 and other current assets</w:t>
            </w:r>
          </w:p>
        </w:tc>
        <w:tc>
          <w:tcPr>
            <w:tcW w:w="3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assets</w:t>
            </w:r>
          </w:p>
        </w:tc>
        <w:tc>
          <w:tcPr>
            <w:tcW w:w="3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2,106.4</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3,888.5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3,853.4</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3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1,586.3</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1,994.7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2,077.5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23"/>
        </w:trPr>
        <w:tc>
          <w:tcPr>
            <w:tcW w:w="36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36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12,394.8</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3960" w:type="dxa"/>
            <w:vAlign w:val="bottom"/>
            <w:gridSpan w:val="2"/>
          </w:tcPr>
          <w:p>
            <w:pPr>
              <w:jc w:val="right"/>
              <w:ind w:right="10"/>
              <w:spacing w:after="0"/>
              <w:rPr>
                <w:sz w:val="20"/>
                <w:szCs w:val="20"/>
                <w:color w:val="auto"/>
              </w:rPr>
            </w:pPr>
            <w:r>
              <w:rPr>
                <w:rFonts w:ascii="Arial" w:cs="Arial" w:eastAsia="Arial" w:hAnsi="Arial"/>
                <w:sz w:val="18"/>
                <w:szCs w:val="18"/>
                <w:color w:val="auto"/>
              </w:rPr>
              <w:t>LIABILITIES AND STOCKHOLDERS’ EQUITY</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20"/>
              <w:spacing w:after="0"/>
              <w:rPr>
                <w:sz w:val="20"/>
                <w:szCs w:val="20"/>
                <w:color w:val="auto"/>
              </w:rPr>
            </w:pPr>
            <w:r>
              <w:rPr>
                <w:rFonts w:ascii="Arial" w:cs="Arial" w:eastAsia="Arial" w:hAnsi="Arial"/>
                <w:sz w:val="18"/>
                <w:szCs w:val="18"/>
                <w:color w:val="auto"/>
              </w:rPr>
              <w:t>Short-term debt</w:t>
            </w:r>
          </w:p>
        </w:tc>
        <w:tc>
          <w:tcPr>
            <w:tcW w:w="3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598.9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30"/>
        </w:trPr>
        <w:tc>
          <w:tcPr>
            <w:tcW w:w="3620" w:type="dxa"/>
            <w:vAlign w:val="bottom"/>
          </w:tcPr>
          <w:p>
            <w:pPr>
              <w:ind w:left="120"/>
              <w:spacing w:after="0"/>
              <w:rPr>
                <w:sz w:val="20"/>
                <w:szCs w:val="20"/>
                <w:color w:val="auto"/>
              </w:rPr>
            </w:pPr>
            <w:r>
              <w:rPr>
                <w:rFonts w:ascii="Arial" w:cs="Arial" w:eastAsia="Arial" w:hAnsi="Arial"/>
                <w:sz w:val="18"/>
                <w:szCs w:val="18"/>
                <w:color w:val="auto"/>
              </w:rPr>
              <w:t>Employee compensation and benefits</w:t>
            </w:r>
          </w:p>
        </w:tc>
        <w:tc>
          <w:tcPr>
            <w:tcW w:w="3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3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30"/>
        </w:trPr>
        <w:tc>
          <w:tcPr>
            <w:tcW w:w="3620" w:type="dxa"/>
            <w:vAlign w:val="bottom"/>
          </w:tcPr>
          <w:p>
            <w:pPr>
              <w:ind w:left="120"/>
              <w:spacing w:after="0"/>
              <w:rPr>
                <w:sz w:val="20"/>
                <w:szCs w:val="20"/>
                <w:color w:val="auto"/>
              </w:rPr>
            </w:pPr>
            <w:r>
              <w:rPr>
                <w:rFonts w:ascii="Arial" w:cs="Arial" w:eastAsia="Arial" w:hAnsi="Arial"/>
                <w:sz w:val="18"/>
                <w:szCs w:val="18"/>
                <w:color w:val="auto"/>
              </w:rPr>
              <w:t>Accrued litigation liability</w:t>
            </w:r>
          </w:p>
        </w:tc>
        <w:tc>
          <w:tcPr>
            <w:tcW w:w="3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3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23"/>
        </w:trPr>
        <w:tc>
          <w:tcPr>
            <w:tcW w:w="36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1,804.7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1,112.8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2,457.5</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tax payable</w:t>
            </w:r>
          </w:p>
        </w:tc>
        <w:tc>
          <w:tcPr>
            <w:tcW w:w="3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3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3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4,155.7</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8,239.1</w:t>
            </w:r>
          </w:p>
        </w:tc>
        <w:tc>
          <w:tcPr>
            <w:tcW w:w="0" w:type="dxa"/>
            <w:vAlign w:val="bottom"/>
          </w:tcPr>
          <w:p>
            <w:pPr>
              <w:spacing w:after="0"/>
              <w:rPr>
                <w:sz w:val="1"/>
                <w:szCs w:val="1"/>
                <w:color w:val="auto"/>
              </w:rPr>
            </w:pPr>
          </w:p>
        </w:tc>
      </w:tr>
      <w:tr>
        <w:trPr>
          <w:trHeight w:val="223"/>
        </w:trPr>
        <w:tc>
          <w:tcPr>
            <w:tcW w:w="362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36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12,394.8</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890" w:right="339" w:bottom="1440" w:gutter="0" w:footer="0" w:header="0"/>
        </w:sectPr>
      </w:pPr>
    </w:p>
    <w:bookmarkStart w:id="14" w:name="page15"/>
    <w:bookmarkEnd w:id="14"/>
    <w:p>
      <w:pPr>
        <w:ind w:left="3380"/>
        <w:spacing w:after="0"/>
        <w:rPr>
          <w:sz w:val="20"/>
          <w:szCs w:val="20"/>
          <w:color w:val="auto"/>
        </w:rPr>
      </w:pPr>
      <w:r>
        <w:rPr>
          <w:rFonts w:ascii="Arial" w:cs="Arial" w:eastAsia="Arial" w:hAnsi="Arial"/>
          <w:sz w:val="18"/>
          <w:szCs w:val="18"/>
          <w:color w:val="auto"/>
        </w:rPr>
        <w:t>THE COOPER COMPANIES, INC. AND SUBSIDIARIES</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u w:val="single" w:color="auto"/>
          <w:color w:val="auto"/>
        </w:rPr>
        <w:t>Consolidated Condensed Statements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9" w:lineRule="exact"/>
        <w:rPr>
          <w:sz w:val="20"/>
          <w:szCs w:val="20"/>
          <w:color w:val="auto"/>
        </w:rPr>
      </w:pPr>
    </w:p>
    <w:tbl>
      <w:tblPr>
        <w:tblLayout w:type="fixed"/>
        <w:tblInd w:w="600" w:type="dxa"/>
        <w:tblCellMar>
          <w:top w:w="0" w:type="dxa"/>
          <w:left w:w="0" w:type="dxa"/>
          <w:bottom w:w="0" w:type="dxa"/>
          <w:right w:w="0" w:type="dxa"/>
        </w:tblCellMar>
      </w:tblPr>
      <w:tr>
        <w:trPr>
          <w:trHeight w:val="235"/>
        </w:trPr>
        <w:tc>
          <w:tcPr>
            <w:tcW w:w="5040" w:type="dxa"/>
            <w:vAlign w:val="bottom"/>
          </w:tcPr>
          <w:p>
            <w:pPr>
              <w:spacing w:after="0"/>
              <w:rPr>
                <w:sz w:val="20"/>
                <w:szCs w:val="20"/>
                <w:color w:val="auto"/>
              </w:rPr>
            </w:pPr>
          </w:p>
        </w:tc>
        <w:tc>
          <w:tcPr>
            <w:tcW w:w="2540" w:type="dxa"/>
            <w:vAlign w:val="bottom"/>
            <w:gridSpan w:val="6"/>
          </w:tcPr>
          <w:p>
            <w:pPr>
              <w:ind w:left="40"/>
              <w:spacing w:after="0"/>
              <w:rPr>
                <w:sz w:val="20"/>
                <w:szCs w:val="20"/>
                <w:color w:val="auto"/>
              </w:rPr>
            </w:pPr>
            <w:r>
              <w:rPr>
                <w:rFonts w:ascii="Arial" w:cs="Arial" w:eastAsia="Arial" w:hAnsi="Arial"/>
                <w:sz w:val="18"/>
                <w:szCs w:val="18"/>
                <w:color w:val="auto"/>
              </w:rPr>
              <w:t>Three Months Ended April 30,</w:t>
            </w:r>
          </w:p>
        </w:tc>
        <w:tc>
          <w:tcPr>
            <w:tcW w:w="140" w:type="dxa"/>
            <w:vAlign w:val="bottom"/>
          </w:tcPr>
          <w:p>
            <w:pPr>
              <w:spacing w:after="0"/>
              <w:rPr>
                <w:sz w:val="20"/>
                <w:szCs w:val="20"/>
                <w:color w:val="auto"/>
              </w:rPr>
            </w:pPr>
          </w:p>
        </w:tc>
        <w:tc>
          <w:tcPr>
            <w:tcW w:w="2320" w:type="dxa"/>
            <w:vAlign w:val="bottom"/>
            <w:gridSpan w:val="4"/>
          </w:tcPr>
          <w:p>
            <w:pPr>
              <w:jc w:val="right"/>
              <w:ind w:right="50"/>
              <w:spacing w:after="0"/>
              <w:rPr>
                <w:sz w:val="20"/>
                <w:szCs w:val="20"/>
                <w:color w:val="auto"/>
              </w:rPr>
            </w:pPr>
            <w:r>
              <w:rPr>
                <w:rFonts w:ascii="Arial" w:cs="Arial" w:eastAsia="Arial" w:hAnsi="Arial"/>
                <w:sz w:val="18"/>
                <w:szCs w:val="18"/>
                <w:color w:val="auto"/>
                <w:w w:val="99"/>
              </w:rPr>
              <w:t>Six Months Ended April 30,</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Earnings (loss) per share - diluted</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040" w:type="dxa"/>
            <w:vAlign w:val="bottom"/>
          </w:tcPr>
          <w:p>
            <w:pPr>
              <w:ind w:left="20"/>
              <w:spacing w:after="0" w:line="183" w:lineRule="exact"/>
              <w:rPr>
                <w:sz w:val="20"/>
                <w:szCs w:val="20"/>
                <w:color w:val="auto"/>
              </w:rPr>
            </w:pPr>
            <w:r>
              <w:rPr>
                <w:rFonts w:ascii="Arial" w:cs="Arial" w:eastAsia="Arial" w:hAnsi="Arial"/>
                <w:sz w:val="18"/>
                <w:szCs w:val="18"/>
                <w:color w:val="auto"/>
              </w:rPr>
              <w:t>Number of shares used to compute diluted earnings (loss) per</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8"/>
        </w:trPr>
        <w:tc>
          <w:tcPr>
            <w:tcW w:w="5040" w:type="dxa"/>
            <w:vAlign w:val="bottom"/>
          </w:tcPr>
          <w:p>
            <w:pPr>
              <w:ind w:left="20"/>
              <w:spacing w:after="0"/>
              <w:rPr>
                <w:sz w:val="20"/>
                <w:szCs w:val="20"/>
                <w:color w:val="auto"/>
              </w:rPr>
            </w:pPr>
            <w:r>
              <w:rPr>
                <w:rFonts w:ascii="Arial" w:cs="Arial" w:eastAsia="Arial" w:hAnsi="Arial"/>
                <w:sz w:val="18"/>
                <w:szCs w:val="18"/>
                <w:color w:val="auto"/>
              </w:rPr>
              <w:t>share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EPS, amounts and percentages may not sum or recalculate due to rounding.</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093" w:right="339" w:bottom="1440" w:gutter="0" w:footer="0" w:header="0"/>
          <w:type w:val="continuous"/>
        </w:sectPr>
      </w:pPr>
    </w:p>
    <w:bookmarkStart w:id="15" w:name="page16"/>
    <w:bookmarkEnd w:id="15"/>
    <w:p>
      <w:pPr>
        <w:ind w:left="3380"/>
        <w:spacing w:after="0"/>
        <w:rPr>
          <w:sz w:val="20"/>
          <w:szCs w:val="20"/>
          <w:color w:val="auto"/>
        </w:rPr>
      </w:pPr>
      <w:r>
        <w:rPr>
          <w:rFonts w:ascii="Arial" w:cs="Arial" w:eastAsia="Arial" w:hAnsi="Arial"/>
          <w:sz w:val="18"/>
          <w:szCs w:val="18"/>
          <w:color w:val="auto"/>
        </w:rPr>
        <w:t>THE COOPER COMPANIES, INC. AND SUBSIDIARIES</w:t>
      </w:r>
    </w:p>
    <w:p>
      <w:pPr>
        <w:spacing w:after="0" w:line="63"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GAAP to Non-GAAP Reconciliation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Constant Currency Revenue Growth and Organic Revenue Growth</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50" w:lineRule="exact"/>
        <w:rPr>
          <w:sz w:val="20"/>
          <w:szCs w:val="20"/>
          <w:color w:val="auto"/>
        </w:rPr>
      </w:pPr>
    </w:p>
    <w:tbl>
      <w:tblPr>
        <w:tblLayout w:type="fixed"/>
        <w:tblInd w:w="300" w:type="dxa"/>
        <w:tblCellMar>
          <w:top w:w="0" w:type="dxa"/>
          <w:left w:w="0" w:type="dxa"/>
          <w:bottom w:w="0" w:type="dxa"/>
          <w:right w:w="0" w:type="dxa"/>
        </w:tblCellMar>
      </w:tblPr>
      <w:tr>
        <w:trPr>
          <w:trHeight w:val="235"/>
        </w:trPr>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 change y/y</w:t>
            </w:r>
          </w:p>
        </w:tc>
        <w:tc>
          <w:tcPr>
            <w:tcW w:w="1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7"/>
              </w:rPr>
              <w:t>(In millions)</w:t>
            </w:r>
          </w:p>
        </w:tc>
        <w:tc>
          <w:tcPr>
            <w:tcW w:w="100" w:type="dxa"/>
            <w:vAlign w:val="bottom"/>
          </w:tcPr>
          <w:p>
            <w:pPr>
              <w:spacing w:after="0"/>
              <w:rPr>
                <w:sz w:val="24"/>
                <w:szCs w:val="24"/>
                <w:color w:val="auto"/>
              </w:rPr>
            </w:pPr>
          </w:p>
        </w:tc>
        <w:tc>
          <w:tcPr>
            <w:tcW w:w="1500" w:type="dxa"/>
            <w:vAlign w:val="bottom"/>
            <w:gridSpan w:val="2"/>
            <w:vMerge w:val="restart"/>
          </w:tcPr>
          <w:p>
            <w:pPr>
              <w:ind w:left="320"/>
              <w:spacing w:after="0"/>
              <w:rPr>
                <w:sz w:val="20"/>
                <w:szCs w:val="20"/>
                <w:color w:val="auto"/>
              </w:rPr>
            </w:pPr>
            <w:r>
              <w:rPr>
                <w:rFonts w:ascii="Arial" w:cs="Arial" w:eastAsia="Arial" w:hAnsi="Arial"/>
                <w:sz w:val="18"/>
                <w:szCs w:val="18"/>
                <w:color w:val="auto"/>
              </w:rPr>
              <w:t>Reported</w:t>
            </w:r>
          </w:p>
        </w:tc>
        <w:tc>
          <w:tcPr>
            <w:tcW w:w="1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9"/>
              </w:rPr>
              <w:t>Currency Impact</w:t>
            </w:r>
          </w:p>
        </w:tc>
        <w:tc>
          <w:tcPr>
            <w:tcW w:w="1520" w:type="dxa"/>
            <w:vAlign w:val="bottom"/>
            <w:gridSpan w:val="2"/>
          </w:tcPr>
          <w:p>
            <w:pPr>
              <w:ind w:left="320"/>
              <w:spacing w:after="0"/>
              <w:rPr>
                <w:sz w:val="20"/>
                <w:szCs w:val="20"/>
                <w:color w:val="auto"/>
              </w:rPr>
            </w:pPr>
            <w:r>
              <w:rPr>
                <w:rFonts w:ascii="Arial" w:cs="Arial" w:eastAsia="Arial" w:hAnsi="Arial"/>
                <w:sz w:val="18"/>
                <w:szCs w:val="18"/>
                <w:color w:val="auto"/>
              </w:rPr>
              <w:t>Constant</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rPr>
              <w:t>Acquisitions and</w:t>
            </w:r>
          </w:p>
        </w:tc>
        <w:tc>
          <w:tcPr>
            <w:tcW w:w="1380" w:type="dxa"/>
            <w:vAlign w:val="bottom"/>
            <w:vMerge w:val="restart"/>
          </w:tcPr>
          <w:p>
            <w:pPr>
              <w:jc w:val="right"/>
              <w:ind w:right="29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2Q26</w:t>
            </w:r>
          </w:p>
        </w:tc>
        <w:tc>
          <w:tcPr>
            <w:tcW w:w="10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520" w:type="dxa"/>
            <w:vAlign w:val="bottom"/>
            <w:gridSpan w:val="2"/>
          </w:tcPr>
          <w:p>
            <w:pPr>
              <w:ind w:left="320"/>
              <w:spacing w:after="0"/>
              <w:rPr>
                <w:sz w:val="20"/>
                <w:szCs w:val="20"/>
                <w:color w:val="auto"/>
              </w:rPr>
            </w:pPr>
            <w:r>
              <w:rPr>
                <w:rFonts w:ascii="Arial" w:cs="Arial" w:eastAsia="Arial" w:hAnsi="Arial"/>
                <w:sz w:val="18"/>
                <w:szCs w:val="18"/>
                <w:color w:val="auto"/>
              </w:rPr>
              <w:t>Currency</w:t>
            </w: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Divestitures</w:t>
            </w: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CooperVision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CooperSurgical</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6 %</w:t>
            </w: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gridSpan w:val="2"/>
          </w:tcPr>
          <w:p>
            <w:pPr>
              <w:ind w:left="110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8"/>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lvl w:ilvl="1">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2"/>
    </w:lvl>
  </w:abstractNum>
  <w:abstractNum w:abstractNumId="13">
    <w:nsid w:val="1BEFD79F"/>
    <w:multiLevelType w:val="hybridMultilevel"/>
    <w:lvl w:ilvl="0">
      <w:lvlJc w:val="left"/>
      <w:lvlText w:val="(%1)"/>
      <w:numFmt w:val="decimal"/>
      <w:start w:val="3"/>
    </w:lvl>
  </w:abstractNum>
  <w:abstractNum w:abstractNumId="14">
    <w:nsid w:val="41A7C4C9"/>
    <w:multiLevelType w:val="hybridMultilevel"/>
    <w:lvl w:ilvl="0">
      <w:lvlJc w:val="left"/>
      <w:lvlText w:val="(%1)"/>
      <w:numFmt w:val="decimal"/>
      <w:start w:val="5"/>
    </w:lvl>
  </w:abstractNum>
  <w:abstractNum w:abstractNumId="15">
    <w:nsid w:val="6B68079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2026-06-04T15:35:29Z</dcterms:created>
  <dcterms:modified xsi:type="dcterms:W3CDTF">2026-06-04T15:35:29Z</dcterms:modified>
</cp:coreProperties>
</file>