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sectPr>
      </w:pPr>
    </w:p>
    <w:p>
      <w:pPr>
        <w:spacing w:after="0" w:line="192"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40" w:space="720"/>
            <w:col w:w="92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Quarterly Period Ended January 31, 2018</w:t>
      </w:r>
    </w:p>
    <w:p>
      <w:pPr>
        <w:sectPr>
          <w:pgSz w:w="11900" w:h="16838" w:orient="portrait"/>
          <w:cols w:equalWidth="0" w:num="1">
            <w:col w:w="11420"/>
          </w:cols>
          <w:pgMar w:left="240" w:top="274" w:right="239" w:bottom="1440" w:gutter="0" w:footer="0" w:header="0"/>
          <w:type w:val="continuous"/>
        </w:sectPr>
      </w:pPr>
    </w:p>
    <w:p>
      <w:pPr>
        <w:spacing w:after="0" w:line="245" w:lineRule="exact"/>
        <w:rPr>
          <w:sz w:val="24"/>
          <w:szCs w:val="24"/>
          <w:color w:val="auto"/>
        </w:rPr>
      </w:pPr>
    </w:p>
    <w:p>
      <w:pPr>
        <w:ind w:left="14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4" w:lineRule="exact"/>
        <w:rPr>
          <w:sz w:val="24"/>
          <w:szCs w:val="24"/>
          <w:color w:val="auto"/>
        </w:rPr>
      </w:pPr>
    </w:p>
    <w:p>
      <w:pPr>
        <w:sectPr>
          <w:pgSz w:w="11900" w:h="16838" w:orient="portrait"/>
          <w:cols w:equalWidth="0" w:num="2">
            <w:col w:w="1420" w:space="720"/>
            <w:col w:w="9280"/>
          </w:cols>
          <w:pgMar w:left="240" w:top="274" w:right="2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6200" w:space="620"/>
            <w:col w:w="4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640" w:space="720"/>
            <w:col w:w="306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520" w:space="720"/>
            <w:col w:w="3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6140 Stoneridge Mall Road, Suite 590, Pleasanton, CA 94588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80" w:type="dxa"/>
            <w:vAlign w:val="bottom"/>
            <w:gridSpan w:val="2"/>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04"/>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ind w:left="500"/>
              <w:spacing w:after="0"/>
              <w:rPr>
                <w:sz w:val="20"/>
                <w:szCs w:val="20"/>
                <w:color w:val="auto"/>
              </w:rPr>
            </w:pPr>
            <w:r>
              <w:rPr>
                <w:rFonts w:ascii="Arial" w:cs="Arial" w:eastAsia="Arial" w:hAnsi="Arial"/>
                <w:sz w:val="18"/>
                <w:szCs w:val="18"/>
                <w:color w:val="auto"/>
              </w:rPr>
              <w:t>o</w:t>
            </w:r>
          </w:p>
        </w:tc>
        <w:tc>
          <w:tcPr>
            <w:tcW w:w="426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1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00"/>
              <w:spacing w:after="0"/>
              <w:rPr>
                <w:sz w:val="20"/>
                <w:szCs w:val="20"/>
                <w:color w:val="auto"/>
              </w:rPr>
            </w:pPr>
            <w:r>
              <w:rPr>
                <w:rFonts w:ascii="Arial" w:cs="Arial" w:eastAsia="Arial" w:hAnsi="Arial"/>
                <w:sz w:val="18"/>
                <w:szCs w:val="18"/>
                <w:color w:val="auto"/>
              </w:rPr>
              <w:t>o</w:t>
            </w:r>
          </w:p>
        </w:tc>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right="19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90"/>
              </w:rPr>
              <w:t>Common Stock, $.10 par value</w:t>
            </w:r>
          </w:p>
        </w:tc>
        <w:tc>
          <w:tcPr>
            <w:tcW w:w="4680" w:type="dxa"/>
            <w:vAlign w:val="bottom"/>
          </w:tcPr>
          <w:p>
            <w:pPr>
              <w:jc w:val="right"/>
              <w:ind w:right="1850"/>
              <w:spacing w:after="0"/>
              <w:rPr>
                <w:sz w:val="20"/>
                <w:szCs w:val="20"/>
                <w:color w:val="auto"/>
              </w:rPr>
            </w:pPr>
            <w:r>
              <w:rPr>
                <w:rFonts w:ascii="Arial" w:cs="Arial" w:eastAsia="Arial" w:hAnsi="Arial"/>
                <w:sz w:val="18"/>
                <w:szCs w:val="18"/>
                <w:color w:val="auto"/>
              </w:rPr>
              <w:t>49,022,319</w:t>
            </w:r>
          </w:p>
        </w:tc>
      </w:tr>
      <w:tr>
        <w:trPr>
          <w:trHeight w:val="27"/>
        </w:trPr>
        <w:tc>
          <w:tcPr>
            <w:tcW w:w="45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88"/>
              </w:rPr>
              <w:t>Class</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Outstanding at January 31, 2018</w:t>
            </w:r>
          </w:p>
        </w:tc>
      </w:tr>
    </w:tbl>
    <w:p>
      <w:pPr>
        <w:sectPr>
          <w:pgSz w:w="11900" w:h="16838" w:orient="portrait"/>
          <w:cols w:equalWidth="0" w:num="1">
            <w:col w:w="11420"/>
          </w:cols>
          <w:pgMar w:left="240" w:top="274" w:right="239" w:bottom="1440" w:gutter="0" w:footer="0" w:header="0"/>
          <w:type w:val="continuous"/>
        </w:sectPr>
      </w:pPr>
    </w:p>
    <w:bookmarkStart w:id="1" w:name="page2"/>
    <w:bookmarkEnd w:id="1"/>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Page No.</w:t>
            </w:r>
          </w:p>
        </w:tc>
      </w:tr>
      <w:tr>
        <w:trPr>
          <w:trHeight w:val="203"/>
        </w:trPr>
        <w:tc>
          <w:tcPr>
            <w:tcW w:w="138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8400" w:type="dxa"/>
            <w:vAlign w:val="bottom"/>
            <w:gridSpan w:val="17"/>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Financial Statements</w:t>
              </w:r>
            </w:hyperlink>
          </w:p>
        </w:tc>
        <w:tc>
          <w:tcPr>
            <w:tcW w:w="610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Statements of (Loss) Income - Three Months Ended January 31, 2018 and 2017</w:t>
            </w:r>
          </w:p>
        </w:tc>
        <w:tc>
          <w:tcPr>
            <w:tcW w:w="1540" w:type="dxa"/>
            <w:vAlign w:val="bottom"/>
            <w:gridSpan w:val="3"/>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Consolidated Statements of Comprehensive (Loss) Income - Three Months Ended January 31, 2018 and 2017</w:t>
            </w:r>
          </w:p>
        </w:tc>
        <w:tc>
          <w:tcPr>
            <w:tcW w:w="36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Consolidated Condensed Balance Sheets - January 31, 2018 and October 31, 2017</w:t>
            </w:r>
          </w:p>
        </w:tc>
        <w:tc>
          <w:tcPr>
            <w:tcW w:w="2340" w:type="dxa"/>
            <w:vAlign w:val="bottom"/>
            <w:gridSpan w:val="5"/>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6"/>
          </w:tcPr>
          <w:p>
            <w:pPr>
              <w:spacing w:after="0"/>
              <w:rPr>
                <w:sz w:val="20"/>
                <w:szCs w:val="20"/>
                <w:color w:val="auto"/>
              </w:rPr>
            </w:pPr>
            <w:r>
              <w:rPr>
                <w:rFonts w:ascii="Arial" w:cs="Arial" w:eastAsia="Arial" w:hAnsi="Arial"/>
                <w:sz w:val="18"/>
                <w:szCs w:val="18"/>
                <w:color w:val="0000FF"/>
              </w:rPr>
              <w:t>Consolidated Condensed Statements of Cash Flows - Three Months Ended January 31, 2018 and 2017</w:t>
            </w:r>
          </w:p>
        </w:tc>
        <w:tc>
          <w:tcPr>
            <w:tcW w:w="16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top w:val="single" w:sz="8" w:color="0000FF"/>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Condensed Financial Statements</w:t>
              </w:r>
            </w:hyperlink>
          </w:p>
        </w:tc>
        <w:tc>
          <w:tcPr>
            <w:tcW w:w="900" w:type="dxa"/>
            <w:vAlign w:val="bottom"/>
            <w:gridSpan w:val="2"/>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 About Market Risk</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8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120" w:type="dxa"/>
            <w:vAlign w:val="bottom"/>
            <w:gridSpan w:val="7"/>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652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7080" w:type="dxa"/>
            <w:vAlign w:val="bottom"/>
            <w:gridSpan w:val="1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4060" w:type="dxa"/>
            <w:vAlign w:val="bottom"/>
            <w:gridSpan w:val="6"/>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507"/>
        </w:trPr>
        <w:tc>
          <w:tcPr>
            <w:tcW w:w="1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1"/>
          </w:tcPr>
          <w:p>
            <w:pPr>
              <w:ind w:left="4240"/>
              <w:spacing w:after="0"/>
              <w:rPr>
                <w:sz w:val="20"/>
                <w:szCs w:val="20"/>
                <w:color w:val="auto"/>
              </w:rPr>
            </w:pPr>
            <w:r>
              <w:rPr>
                <w:rFonts w:ascii="Arial" w:cs="Arial" w:eastAsia="Arial" w:hAnsi="Arial"/>
                <w:sz w:val="18"/>
                <w:szCs w:val="18"/>
                <w:color w:val="auto"/>
                <w:w w:val="79"/>
              </w:rPr>
              <w:t>2</w:t>
            </w: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Research and development expense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Cooper stockholders</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earnings per share attributable to Cooper stockholders - basic</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(Loss) earnings per share attributable to Cooper stockholders - diluted</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Number of shares used to compute (loss) earnings per share:</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0" w:right="2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Cooper stockholders</w:t>
            </w:r>
          </w:p>
        </w:tc>
        <w:tc>
          <w:tcPr>
            <w:tcW w:w="1160" w:type="dxa"/>
            <w:vAlign w:val="bottom"/>
            <w:tcBorders>
              <w:top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104.0</w:t>
            </w: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4" w:name="page5"/>
    <w:bookmarkEnd w:id="4"/>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2018</w:t>
            </w:r>
          </w:p>
        </w:tc>
        <w:tc>
          <w:tcPr>
            <w:tcW w:w="260" w:type="dxa"/>
            <w:vAlign w:val="bottom"/>
          </w:tcPr>
          <w:p>
            <w:pPr>
              <w:spacing w:after="0"/>
              <w:rPr>
                <w:sz w:val="16"/>
                <w:szCs w:val="16"/>
                <w:color w:val="auto"/>
              </w:rPr>
            </w:pPr>
          </w:p>
        </w:tc>
        <w:tc>
          <w:tcPr>
            <w:tcW w:w="156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 for doubtful accounts of $11.8 at January 31, 2018 and</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$10.8 at October 31, 2017</w:t>
            </w: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1,846.8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1,587.8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pension liability and other</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w w:val="97"/>
              </w:rPr>
              <w:t>Preferred stock, 10 cents par value, shares authorized: 1.0; zero shares issued or outstanding</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10 cents par value, shares authorized: 120.0; issued 52.6 at January 31, 2018 and</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52.4 at October 31, 2017</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 shares at January 31, 2018 and 3.6 shares at October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3,175.8</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6,268.6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75.8</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Decrease in operating capital</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long-term tax payable</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non-cash items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Acquisitions of assets and businesses, net of cash acquired, and other</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(1,193.2)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(173.4)</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(1,244.6)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(169.1)</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(repayments) from short-term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acquisition costs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Proceeds from construction allowance</w:t>
            </w:r>
          </w:p>
        </w:tc>
        <w:tc>
          <w:tcPr>
            <w:tcW w:w="1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100.8</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0"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General</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accompanying unaudited interim consolidated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2017.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Financial Accounting Standards Board (FASB) issued Accounting Standards Update (ASU) 2017-07,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715): Improving the Presentation of Net Periodic Pension Cost and Net Periodic Postretirement Benefit Cost. </w:t>
      </w:r>
      <w:r>
        <w:rPr>
          <w:rFonts w:ascii="Arial" w:cs="Arial" w:eastAsia="Arial" w:hAnsi="Arial"/>
          <w:sz w:val="17"/>
          <w:szCs w:val="17"/>
          <w:color w:val="auto"/>
        </w:rPr>
        <w:t>The ASU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disaggregate the service cost component from the other components of net benefit cost. The service cost component is presented in the same line items as other compensation costs arising from services rendered by the pertinent employees during the period and the other components of net benefit costs are presented separately as other income/expense below income from operations. ASU 2017-07 is effective for the Company in our fiscal 2019 and is not expected to have a significant impact on the Company's consolidated financial statements.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provides guidance on the classification and presentation of changes in restricted cash and cash equivalents in the statement of cash flows. ASU 2016-18 will be effective for the Company in fiscal 2019 and is not expected to have a significant impact on the Company's Consolidated Statements of Cash Flows.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current guidance defers the income tax consequences until the asset is sold to an outside party or otherwise recognized. The guidance for the amendments of ASU 2016-16 requires companies to apply a modified retrospective approach with a cumulative catch-up adjustment to opening retained earnings in the period of adoption. We are currently evaluating the impact of ASU 2016-16 which is effective for the Company in our fiscal year and interim periods beginning on November 1, 2018.</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We are currently evaluating the impact of ASU 2016-02, which is effective for the Company in our fiscal year and interim periods beginning on November 1, 2019.</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requires revenue recognition to depict the transfer of goods or services to customers in an amount that reflects the consideration to which the entity expects to be entitled in exchange for those goods or services. ASU 2014-09 sets forth a new revenue recognition model that requires identifying the contract, identifying the performance obligations, determining the transaction price, allocating the transaction price to performance obligations and recognizing the revenue upon satisfaction of performance obligations. The amendments in the ASU can be applied either retrospectively to each prior reporting period presented or retrospectively with the cumulative effect of initially applying the update recognized at the date of the initial application along with additional disclosures.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been monitoring the activity of the FASB and the Transition Resource Group as it relates to specific industry interpretive guidance and further overall interpretations and clarifications. In fiscal year 2017, we began our plan on adoption of ASU 2014-09. Our plan entails activities such as reviewing significant revenue streams (and related costs) and representative contracts to determine the potential changes to existing accounting policies, completion of an accounting guidance gap analysis, and identifying and addressing the impact that ASU 2014-09 will have on business processes, systems and internal controls to support the recognition and disclosure requirements. We are currently in the process of completing our accounting gap analysis.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currently evaluating the full impact of ASU 2014-09 and related amendments on our consolidated financial statements and related disclosures. Currently, we have not identified any material expected changes due to the adoption of ASU 2014-09 on the Company’s consolidated financial statements, and are in the process of quantifying the impact. We plan to adopt ASU 2014-09, in our fiscal year and interim periods beginning on November 1, 2018 and we currently expect to apply the modified retrospective transition method. This would result in an adjustment to retained earnings for the cumulative effect, if any, of applying the ASU 2014-09 to contracts in process as of the adoption date. Under this method, the Company would not restate the prior consolidated financial statements presented. However, the Company would include additional disclosures of the amount by which each financial statement line item is affected in the current reporting period during our fiscal year 2019, as compared to the guidance that was in effect before the change, and an explanation of the reasons for significant changes, if 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Under current guidance, an entity subsequently measures inventory at the lower of cost or market, with market defined as replacement cost, net realizable value (NRV), or NRV less a normal profit margin. An entity uses current replacement cost provided that it is not above NRV (i.e., the ceiling) or below NRV less an approximately normal profit margin (i.e., the floor). ASU 2015-11 eliminates this analysis and requires entities to measure inventory “at the lower of cost and NRV.” ASU 2015-11 is effective prospectively for annual periods beginning after December 15, 2016, and interim periods therein. The Company adopted this guidance on November 1, 2017, and it did not have a material impact on the Company's reported 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allocation of the total purchase consideration for acquisitions that the Company completed during fiscal 2018 and 2017:</w:t>
      </w:r>
    </w:p>
    <w:p>
      <w:pPr>
        <w:spacing w:after="0" w:line="200" w:lineRule="exact"/>
        <w:rPr>
          <w:sz w:val="20"/>
          <w:szCs w:val="20"/>
          <w:color w:val="auto"/>
        </w:rPr>
      </w:pP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January 31, 2018</w:t>
            </w: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2017</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Composite Intangible Asset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1,061.9</w:t>
            </w:r>
          </w:p>
        </w:tc>
        <w:tc>
          <w:tcPr>
            <w:tcW w:w="10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Total identifiable intangible assets</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1,108.6</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121.9</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r>
      <w:tr>
        <w:trPr>
          <w:trHeight w:val="243"/>
        </w:trPr>
        <w:tc>
          <w:tcPr>
            <w:tcW w:w="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tangible assets (liabilities)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1,194.8</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the acquisitions were paid in cash and funded by our debt borrowings. We recorded the tangible and intangible assets acquired and liabilities assumed at their estimated and relative fair values as of the applicable date of acquisition.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or complementary products and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 2017, CooperSurgical acquired the assets of the PARAGARD Intrauterine Device (IUD) business (PARAGARD) from Teva Pharmaceuticals Industries Limited (Teva) for $1.1 billion.</w:t>
      </w:r>
    </w:p>
    <w:p>
      <w:pPr>
        <w:spacing w:after="0" w:line="18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This acquisition broadens and strengthens CooperSurgical's current product portfolio.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the only hormone-free, long lasting, reversible contraceptive approved by the United States Food and Drug Administration (FDA) available in the United States.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accounted for the acquisition of PARAGARD as a purchase of assets in accordance with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whereby the Company recognized assets acquired based on their estimated fair values on the acquisition date. Due to the required screening test, the acquisition does not meet the definition of a business as substantially all the fair value of the gross assets acquired is concentrated in a single identifiable asset. The Company retained independent appraisers to advise management in the determination of the relative fair value of the various assets acquired and liabilities assumed. The values assigned in these financial statements represent management’s best estimate of relative fair values as of the acquisition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relative fair values of net assets acquired and liabilities assumed using the cost accumulation and allocation model: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 millions)</w:t>
            </w:r>
          </w:p>
        </w:tc>
        <w:tc>
          <w:tcPr>
            <w:tcW w:w="1820" w:type="dxa"/>
            <w:vAlign w:val="bottom"/>
          </w:tcPr>
          <w:p>
            <w:pPr>
              <w:jc w:val="right"/>
              <w:ind w:right="70"/>
              <w:spacing w:after="0"/>
              <w:rPr>
                <w:sz w:val="20"/>
                <w:szCs w:val="20"/>
                <w:color w:val="auto"/>
              </w:rPr>
            </w:pPr>
            <w:r>
              <w:rPr>
                <w:rFonts w:ascii="Arial" w:cs="Arial" w:eastAsia="Arial" w:hAnsi="Arial"/>
                <w:sz w:val="18"/>
                <w:szCs w:val="18"/>
                <w:b w:val="1"/>
                <w:bCs w:val="1"/>
                <w:color w:val="auto"/>
              </w:rPr>
              <w:t>Relative Fair Value</w:t>
            </w:r>
          </w:p>
        </w:tc>
        <w:tc>
          <w:tcPr>
            <w:tcW w:w="0" w:type="dxa"/>
            <w:vAlign w:val="bottom"/>
          </w:tcPr>
          <w:p>
            <w:pPr>
              <w:spacing w:after="0"/>
              <w:rPr>
                <w:sz w:val="1"/>
                <w:szCs w:val="1"/>
                <w:color w:val="auto"/>
              </w:rPr>
            </w:pPr>
          </w:p>
        </w:tc>
      </w:tr>
      <w:tr>
        <w:trPr>
          <w:trHeight w:val="176"/>
        </w:trPr>
        <w:tc>
          <w:tcPr>
            <w:tcW w:w="9600" w:type="dxa"/>
            <w:vAlign w:val="bottom"/>
            <w:gridSpan w:val="3"/>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Composite Intangible asset </w:t>
            </w:r>
            <w:r>
              <w:rPr>
                <w:rFonts w:ascii="Arial" w:cs="Arial" w:eastAsia="Arial" w:hAnsi="Arial"/>
                <w:sz w:val="25"/>
                <w:szCs w:val="25"/>
                <w:color w:val="auto"/>
                <w:vertAlign w:val="superscript"/>
              </w:rPr>
              <w:t>(1)</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70"/>
        </w:trPr>
        <w:tc>
          <w:tcPr>
            <w:tcW w:w="96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Assembled workforce Intangible asset </w:t>
            </w:r>
            <w:r>
              <w:rPr>
                <w:rFonts w:ascii="Arial" w:cs="Arial" w:eastAsia="Arial" w:hAnsi="Arial"/>
                <w:sz w:val="25"/>
                <w:szCs w:val="25"/>
                <w:color w:val="auto"/>
                <w:vertAlign w:val="superscript"/>
              </w:rPr>
              <w:t>(2)</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96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5"/>
                <w:szCs w:val="25"/>
                <w:color w:val="auto"/>
                <w:vertAlign w:val="superscript"/>
              </w:rPr>
              <w:t>(3)</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Liabilities assumed</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proportionally allocated the acquisition costs to the net assets acquired. The acquisition-related costs included advisory, legal, valuation and other professional fees.</w:t>
      </w:r>
    </w:p>
    <w:p>
      <w:pPr>
        <w:spacing w:after="0" w:line="170" w:lineRule="exact"/>
        <w:rPr>
          <w:sz w:val="20"/>
          <w:szCs w:val="20"/>
          <w:color w:val="auto"/>
        </w:rPr>
      </w:pPr>
    </w:p>
    <w:p>
      <w:pPr>
        <w:ind w:right="340" w:firstLine="8"/>
        <w:spacing w:after="0" w:line="276" w:lineRule="auto"/>
        <w:tabs>
          <w:tab w:leader="none" w:pos="178" w:val="left"/>
        </w:tabs>
        <w:numPr>
          <w:ilvl w:val="0"/>
          <w:numId w:val="1"/>
        </w:numPr>
        <w:rPr>
          <w:rFonts w:ascii="Arial" w:cs="Arial" w:eastAsia="Arial" w:hAnsi="Arial"/>
          <w:sz w:val="20"/>
          <w:szCs w:val="20"/>
          <w:color w:val="auto"/>
          <w:vertAlign w:val="superscript"/>
        </w:rPr>
      </w:pPr>
      <w:r>
        <w:rPr>
          <w:rFonts w:ascii="Arial" w:cs="Arial" w:eastAsia="Arial" w:hAnsi="Arial"/>
          <w:sz w:val="15"/>
          <w:szCs w:val="15"/>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spacing w:after="0" w:line="1" w:lineRule="exact"/>
        <w:rPr>
          <w:rFonts w:ascii="Arial" w:cs="Arial" w:eastAsia="Arial" w:hAnsi="Arial"/>
          <w:sz w:val="20"/>
          <w:szCs w:val="20"/>
          <w:color w:val="auto"/>
          <w:vertAlign w:val="superscript"/>
        </w:rPr>
      </w:pPr>
    </w:p>
    <w:p>
      <w:pPr>
        <w:ind w:left="180" w:hanging="172"/>
        <w:spacing w:after="0" w:line="214" w:lineRule="auto"/>
        <w:tabs>
          <w:tab w:leader="none" w:pos="18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An assembled workforce was recognized as a separate acquired intangible asset, given the purchase of assets and will be amortized over 5 years.</w:t>
      </w:r>
    </w:p>
    <w:p>
      <w:pPr>
        <w:spacing w:after="0" w:line="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Inventory relative fair value includes step up of $45.4 million.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PARAGARD was considered an asset purchase as opposed to a business acquisition in accordance with the guidance under FASB ASC 805, Business Combinations, and ASU No. 2017-01, Business Combinations (Topic 805): Clarifying the Definition of a Business, the company has not included proforma financial statements which are applicable for a business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The purchase price allocation is preliminary and we are in the process of finalizing information related to assets, liabilities and the corresponding impact on goodwill.</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4, 2018, CooperVision acquired Blueyes, a long-standing distribution partner, with a leading position in the distribution of contact lenses to the Optical and Pharmacy sector in Israel. The purchase price allocation is preliminary and we are in the process of finalizing information related to assets, liabilities and the corresponding impact on goodwill.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2017, CooperVision completed the acquisition of Procornea Holding B.V. (Procornea). Procornea is a Netherlands based manufacturer and distributor of specialty contact lenses, mainly orthokeratology (ortho-k) which expands CooperVision's access to myopia (nearsightedness) management markets with new products. The purchase price allocation is preliminary and we are in the process of finalizing information related to assets, liabilities and the corresponding impact on goodwill.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2017, CooperVision completed the acquisition of Grand Vista LLC, a long-standing distribution partner in Russia. Grand Vista LLC is engaged in contact lens and contact lens solutions and lens care product distribution business in Russia. The purchase price allocation is preliminary and we are in the process of finalizing information related to assets, liabilities and the corresponding impact on goodwill.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4, 2016, CooperSurgical completed the acquisition of Wallace, the in vitro fertilization (IVF) segment of Smiths Medical International, Ltd., a division of Smiths Group plc. Wallace manufactures a range of IVF and ob/gyn products. We have completed the purchase price allocation for this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Inventories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31, 2018</w:t>
            </w:r>
          </w:p>
        </w:tc>
        <w:tc>
          <w:tcPr>
            <w:tcW w:w="340" w:type="dxa"/>
            <w:vAlign w:val="bottom"/>
          </w:tcPr>
          <w:p>
            <w:pPr>
              <w:spacing w:after="0"/>
              <w:rPr>
                <w:sz w:val="14"/>
                <w:szCs w:val="14"/>
                <w:color w:val="auto"/>
              </w:rPr>
            </w:pPr>
          </w:p>
        </w:tc>
        <w:tc>
          <w:tcPr>
            <w:tcW w:w="1820" w:type="dxa"/>
            <w:vAlign w:val="bottom"/>
          </w:tcPr>
          <w:p>
            <w:pPr>
              <w:jc w:val="right"/>
              <w:ind w:right="474"/>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454.1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CooperVision</w:t>
            </w:r>
          </w:p>
        </w:tc>
        <w:tc>
          <w:tcPr>
            <w:tcW w:w="2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CooperSurgical</w:t>
            </w:r>
          </w:p>
        </w:tc>
        <w:tc>
          <w:tcPr>
            <w:tcW w:w="400" w:type="dxa"/>
            <w:vAlign w:val="bottom"/>
          </w:tcPr>
          <w:p>
            <w:pPr>
              <w:spacing w:after="0"/>
              <w:rPr>
                <w:sz w:val="14"/>
                <w:szCs w:val="14"/>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additions during the year ended October 31, 2017</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2017</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 during the three months ended January 31, 2018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63.2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January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2,454.4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our annual impairment assessment in our third quarter of fiscal 2017 and 2016, and our analysis indicated that we had no impairment of goodwill. 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800"/>
              <w:spacing w:after="0"/>
              <w:rPr>
                <w:sz w:val="20"/>
                <w:szCs w:val="20"/>
                <w:color w:val="auto"/>
              </w:rPr>
            </w:pPr>
            <w:r>
              <w:rPr>
                <w:rFonts w:ascii="Arial" w:cs="Arial" w:eastAsia="Arial" w:hAnsi="Arial"/>
                <w:sz w:val="14"/>
                <w:szCs w:val="14"/>
                <w:b w:val="1"/>
                <w:bCs w:val="1"/>
                <w:color w:val="auto"/>
              </w:rPr>
              <w:t>January 31, 2018</w:t>
            </w:r>
          </w:p>
        </w:tc>
        <w:tc>
          <w:tcPr>
            <w:tcW w:w="200" w:type="dxa"/>
            <w:vAlign w:val="bottom"/>
          </w:tcPr>
          <w:p>
            <w:pPr>
              <w:spacing w:after="0"/>
              <w:rPr>
                <w:sz w:val="16"/>
                <w:szCs w:val="16"/>
                <w:color w:val="auto"/>
              </w:rPr>
            </w:pPr>
          </w:p>
        </w:tc>
        <w:tc>
          <w:tcPr>
            <w:tcW w:w="274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October 31, 2017</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2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53"/>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3"/>
                <w:szCs w:val="13"/>
                <w:color w:val="auto"/>
              </w:rPr>
            </w:pP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&amp; Translation</w:t>
            </w:r>
          </w:p>
        </w:tc>
        <w:tc>
          <w:tcPr>
            <w:tcW w:w="20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6"/>
              </w:rPr>
              <w:t>&amp; Translation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44.5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Composite intangible asset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License and distribution rights and other</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Less: accumulated amortization and translation</w:t>
            </w: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35"/>
              <w:spacing w:after="0"/>
              <w:rPr>
                <w:sz w:val="20"/>
                <w:szCs w:val="20"/>
                <w:color w:val="auto"/>
              </w:rPr>
            </w:pPr>
            <w:r>
              <w:rPr>
                <w:rFonts w:ascii="Arial" w:cs="Arial" w:eastAsia="Arial" w:hAnsi="Arial"/>
                <w:sz w:val="18"/>
                <w:szCs w:val="18"/>
                <w:color w:val="auto"/>
              </w:rPr>
              <w:t>414.4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35"/>
              <w:spacing w:after="0"/>
              <w:rPr>
                <w:sz w:val="20"/>
                <w:szCs w:val="20"/>
                <w:color w:val="auto"/>
              </w:rPr>
            </w:pPr>
            <w:r>
              <w:rPr>
                <w:rFonts w:ascii="Arial" w:cs="Arial" w:eastAsia="Arial" w:hAnsi="Arial"/>
                <w:sz w:val="18"/>
                <w:szCs w:val="18"/>
                <w:color w:val="auto"/>
              </w:rPr>
              <w:t>373.3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intangible assets,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estimate that amortization expense for our existing other intangible assets at January 31, 2018, will be $144.8 million in fiscal 2018, $142.6 million in fiscal 2019, $132.3 million in fiscal 2020, $130.8 million in fiscal 2021 and $128.8 million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Note 5. Debt</w:t>
            </w:r>
          </w:p>
        </w:tc>
        <w:tc>
          <w:tcPr>
            <w:tcW w:w="63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320" w:type="dxa"/>
            <w:vAlign w:val="bottom"/>
            <w:gridSpan w:val="4"/>
          </w:tcPr>
          <w:p>
            <w:pPr>
              <w:ind w:left="4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31, 2018</w:t>
            </w:r>
          </w:p>
        </w:tc>
        <w:tc>
          <w:tcPr>
            <w:tcW w:w="260" w:type="dxa"/>
            <w:vAlign w:val="bottom"/>
          </w:tcPr>
          <w:p>
            <w:pPr>
              <w:spacing w:after="0"/>
              <w:rPr>
                <w:sz w:val="24"/>
                <w:szCs w:val="24"/>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October 31, 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Overdraft and other credit facilities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Long term:</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Credit Agreement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43"/>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2,255.0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Less: unamortized debt issuance cost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 (2017 Term Loan Agreement)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new five-year, $1.425 billion, senior unsecured term loan agreement by and among the Company, the lenders party thereto and DNB Bank ASA, New York Branch, as administrative agent (2017 Term Loan Agreement)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 (2016 Credit Agreement)</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 2016, we entered into a new Revolving Credit and Term Loan Agreement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and a term loan facility in an aggregate principal amount of $830.0 million, each of which, unless terminated earlier, mature on March 1, 2021. In addition, we have the ability from time to time to request an increase to the size of the revolving credit facility or establish one or more new term loans under the term loan facility in an aggregate amount up to $750.0 million, subject to the discretionary participation of the lenders.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 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pay an annual commitment fee that ranges from 0.125% to 0.25% of the unused portion of the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January 31, 2018, we were in compliance with the Interest Coverage Ratio at 19.42 to 1.00 and the Total Leverage Ratio at 2.68 to1.00 for both the 2017 Term Loan Agreement and the 2016 Credit Agreement.</w:t>
      </w:r>
    </w:p>
    <w:p>
      <w:pPr>
        <w:spacing w:after="0" w:line="116" w:lineRule="exact"/>
        <w:rPr>
          <w:sz w:val="20"/>
          <w:szCs w:val="20"/>
          <w:color w:val="auto"/>
        </w:rPr>
      </w:pPr>
    </w:p>
    <w:p>
      <w:pPr>
        <w:ind w:right="800"/>
        <w:spacing w:after="0" w:line="452" w:lineRule="auto"/>
        <w:rPr>
          <w:sz w:val="20"/>
          <w:szCs w:val="20"/>
          <w:color w:val="auto"/>
        </w:rPr>
      </w:pPr>
      <w:r>
        <w:rPr>
          <w:rFonts w:ascii="Arial" w:cs="Arial" w:eastAsia="Arial" w:hAnsi="Arial"/>
          <w:sz w:val="18"/>
          <w:szCs w:val="18"/>
          <w:color w:val="auto"/>
        </w:rPr>
        <w:t xml:space="preserve">At January 31, 2018, we had $830.0 million outstanding under the Term Loan and $874.7 million available under the Revolving Credit Agreement. Refer to our Annual Report on Form 10-K for the fiscal year ended October 31, 2017 for more details. </w:t>
      </w:r>
      <w:r>
        <w:rPr>
          <w:rFonts w:ascii="Arial" w:cs="Arial" w:eastAsia="Arial" w:hAnsi="Arial"/>
          <w:sz w:val="18"/>
          <w:szCs w:val="18"/>
          <w:u w:val="single" w:color="auto"/>
          <w:color w:val="auto"/>
        </w:rPr>
        <w:t>Note 6. Income Taxes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Cuts and Jobs Act (2017 Act) was enacted into law on December 22, 2017 and significantly changes existing U.S. tax law. The 2017 Act adopts a territorial tax system, imposes a mandatory one-time transition tax on earnings of foreign subsidiaries that were previously tax deferred, and reduces the U.S. federal statutory tax rate from 35% to 21%. The reduction in the U.S. federal statutory tax rate is effective on January 1, 2018 which requires the Company to use a blended tax rate for fiscal 2018. Our blended tax rate is 23.34% for fiscal 2018 and is calculated by applying a pro-rated percentage based on the number of days in our fiscal 2018 before and after the January 1, 2018 effective date. For fiscal 2019 and subsequent years, the Company will utilize the enacted U.S. federal statutory tax rate of 21%.</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2017 Act includes several provisions that are effective for our fiscal 2019: (i) tax on global intangible low-taxed income (GILTI) of foreign subsidiaries,</w:t>
      </w:r>
    </w:p>
    <w:p>
      <w:pPr>
        <w:spacing w:after="0" w:line="46" w:lineRule="exact"/>
        <w:rPr>
          <w:sz w:val="20"/>
          <w:szCs w:val="20"/>
          <w:color w:val="auto"/>
        </w:rPr>
      </w:pPr>
    </w:p>
    <w:p>
      <w:pPr>
        <w:ind w:firstLine="8"/>
        <w:spacing w:after="0" w:line="290"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Act is effective in the first quarter of fiscal 2018. As of January 31, 2018, we have not completed our accounting for the tax effects of the enactment of the 2017 Act. Consistent with SEC guidance, we recorded a provisional tax expense in our financial statements based on reasonable estimates of the tax effects of the 2017 Act. The provisional tax expense is subject to revisions as we gather and prepare additional information to complete our analysis of the 2017 Act, and interpret additional guidance issued by the FASB, Internal Revenue Service and U.S. Treasury Department. The provisional tax expense will be finalized during the measurement period, which should not extend beyond one year from the enactment date, and could be materially different than our provisional tax expense. The provisional tax expense is described in more detail below.</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recorded a $177.9 million provisional tax expense for the mandatory deemed repatriation of deferred foreign earnings and plans to pay the applicable amounts over eight years. The 2017 Act requires us to incur a one-time transition tax on deferred foreign income not previously subject to U.S. income tax at a rate of 15.5% for foreign cash and certain other net current assets, and 8% on the remaining deferred foreign income. We have not completed our analysis of the transition tax because we are still gathering information and analyzing the earnings and profits, and foreign tax credits which are critical inputs to the calculation. Estimates have been used for fiscal 2017 and part of fiscal 2018 because tax returns have not been filed for those years.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a provisional tax expense of $13.2 million to record changes to the deferred taxes resulting from the U.S. federal rate decreasing from 35% to 21%. The amount is calculated using the applicable tax rates in the years in which the deferred tax assets and liabilities are expected to reverse. The Company is still analyzing certain aspects of the 2017 Act and refining the calculations, which could affect the measurement of the deferred taxes or give rise to new deferred tax amounts. The re-measurement of deferred taxes included in our financial statements will be subject to further revisions if our current estimates vary from our actual future operating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Due to the changes in the 2017 Act, we are reviewing our prior assertion that earnings from our foreign subsidiaries are indefinitely reinvested. For purposes of recording the provisional tax expense this quarter, we are no longer asserting that earnings from our foreign subsidiaries are indefinitely reinvested. Accordingly, we have recorded provisional estimates relating to additional state income taxes of $8.1 million and withholding taxes of $2.8 million relating to the unremitted foreign earnings. We have not completed our analysis because we are still gathering additional information to quantify the impact to the individual states and to quantify the withholding taxes that would be owed when future dividends are paid to the U.S. As the Company completes its analysis appropriate changes will be made to the financial statements within the measurement period.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Act imposes a new tax on foreign earnings and profits in excess of a deemed return on tangible assets of foreign subsidiaries referred to as GILTI. The 2017 Act also imposes a new tax on certain payments between a U.S. Corporation and its foreign subsidiaries referred to as BEAT. These new provisions are effective for fiscal 2019. Due to the complexity of the new GILTI and BEAT tax rules, we are continuing to evaluate these new provisions and the application of GAAP. With respect to GILTI, the Company has not progressed sufficiently in its analysis and has not made an accounting policy election to treat taxes due on the GILTI inclusion as a current period expense or factor such amounts into the measurement of our deferred taxes. The Company will continue its evaluation and make a policy election within the measurement period.</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2017 Act limits the future deductions relating to interest expense and certain executive compensation. These provisions are generally effective for the Company in fiscal 2019. Pursuant to transition rules provided in the 2017 Act relating to the deduction for executive compensation, companies will be allowed tax deductions for performance based plans in existence on or before November 2, 2017 and not materially modified after that date. Based on our current interpretation of the transition rules, we believe the Company will be able to deduct the executive compensation relating to those plans. Therefore, we have not recorded any provisional tax expense this quarter. As additional guidance, to clarify the transition rules, is provided by the tax authorities we will make appropriate changes within the measurement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Cooper's effective tax rates were 263.7% and 5.4% for the first quarters of fiscal 2018 and 2017, respectively. The increase in our effective tax rate for the first quarter of fiscal 2018 compared to the first quarter of fiscal 2017 was primarily due to the charge of $202.0 million related to the 2017 Act. Our effective tax rate for the first quarter of fiscal 2018 was higher than the U.S. Statutory rate because of the discrete tax expense relating to the 2017 Act, which was partially offset by a favorable mix of income from our foreign jurisdictions with lower tax rates and an excess tax benefit from share-based compensation. Our effective tax rate for the first quarter of fiscal 2017 was lower than the U.S. Statutory rate primarily because of a favorable mix of income from our foreign jurisdictions with lower tax rates and an excess tax benefit from share-based compensation.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recognize the benefit from a tax position only if it is more likely than not that the position would be sustained upon audit based solely on the technical merits of the tax position. As of January 31, 2018 and October 31, 2017, Cooper had unrecognized tax benefits of $61.9 million and $59.9 million respectively. The increase is primarily related to current period transfer pricing. It is our policy to recognize interest and penalties directly related to income taxes as additional income tax expense. It is reasonably possible that $6.1 million of unrecognized tax benefits could be settled during the next twelve months.</w:t>
      </w: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United States Federal income tax examinations for fiscal 2015 through 2017. Cooper remains subject to income tax examinations in other significant tax jurisdictions including the United Kingdom, Japan, France and Australia for the tax years 2013 through 2017.</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Kingdom tax authorities (U.K. Tax Authorities) enacted a Diverted Profits Tax (DPT) as of April 1, 2015 on profits of multinationals that they deemed artificially diverted from the United Kingdom. The tax rate is 25%. DPT is intended to apply in two situations; (a) where a foreign company has artificially avoided having a taxable presence in the United Kingdom and (b) where a group adopts a structure which lacks economic substance in order to divert profits from the United Kingdom.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fiscal 2017, The U.K. Tax Authorities began an inquiry regarding the application of the DPT for 2015. We believe that the transactions in question were at arm’s length with no intention to divert profit from the United Kingdom and therefore are outside the intended reach of the DPT.</w:t>
      </w:r>
    </w:p>
    <w:p>
      <w:pPr>
        <w:spacing w:after="0" w:line="14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the taxes were paid on the transfer, the UK Tax Authorities are challenging the value assigned to such property. We intend to contest the charging notice vigorously. The process for resolving such a notice can be lengthy and could involve litigation. The company is cooperating with the U.K. Tax Authorities to resolve this issue. The outcome of this matter cannot be predicted with certainty and may have an adverse impact on our financial condition and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(Loss) Earnings Per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3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60" w:type="dxa"/>
            <w:vAlign w:val="bottom"/>
          </w:tcPr>
          <w:p>
            <w:pPr>
              <w:spacing w:after="0"/>
              <w:rPr>
                <w:sz w:val="21"/>
                <w:szCs w:val="21"/>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Cooper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gridSpan w:val="5"/>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Basic (loss) earnings per common share attributable to Cooper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5"/>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5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34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59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potential dilutive common shares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5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(loss) earnings per common share attributable to Cooper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right="340"/>
        <w:spacing w:after="0" w:line="261" w:lineRule="auto"/>
        <w:rPr>
          <w:sz w:val="20"/>
          <w:szCs w:val="20"/>
          <w:color w:val="auto"/>
        </w:rPr>
      </w:pPr>
      <w:r>
        <w:rPr>
          <w:rFonts w:ascii="Arial" w:cs="Arial" w:eastAsia="Arial" w:hAnsi="Arial"/>
          <w:sz w:val="18"/>
          <w:szCs w:val="18"/>
          <w:i w:val="1"/>
          <w:iCs w:val="1"/>
          <w:color w:val="auto"/>
        </w:rPr>
        <w:t>*The number of diluted weighted average common shares used to calculate fiscal 2018 diluted loss per share excludes all potentially dilutive instruments because they would be antidilutive due to the net loss position.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stock options to purchase Cooper’s common stock and restricted stock units that were not included in the diluted (loss) earnings per share calculation because their effect would have been antidilutive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2180" w:type="dxa"/>
            <w:vAlign w:val="bottom"/>
          </w:tcPr>
          <w:p>
            <w:pPr>
              <w:jc w:val="right"/>
              <w:ind w:right="85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1"/>
                <w:szCs w:val="21"/>
                <w:color w:val="auto"/>
              </w:rPr>
            </w:pPr>
          </w:p>
        </w:tc>
        <w:tc>
          <w:tcPr>
            <w:tcW w:w="2160" w:type="dxa"/>
            <w:vAlign w:val="bottom"/>
          </w:tcPr>
          <w:p>
            <w:pPr>
              <w:jc w:val="right"/>
              <w:ind w:right="8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stock option shares excluded</w:t>
            </w:r>
          </w:p>
        </w:tc>
        <w:tc>
          <w:tcPr>
            <w:tcW w:w="2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w:t>
            </w:r>
          </w:p>
        </w:tc>
        <w:tc>
          <w:tcPr>
            <w:tcW w:w="2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Range of exercise prices</w:t>
            </w: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gridSpan w:val="3"/>
            <w:vMerge w:val="continue"/>
          </w:tcPr>
          <w:p>
            <w:pPr>
              <w:spacing w:after="0"/>
              <w:rPr>
                <w:sz w:val="19"/>
                <w:szCs w:val="19"/>
                <w:color w:val="auto"/>
              </w:rPr>
            </w:pPr>
          </w:p>
        </w:tc>
        <w:tc>
          <w:tcPr>
            <w:tcW w:w="2180" w:type="dxa"/>
            <w:vAlign w:val="bottom"/>
          </w:tcPr>
          <w:p>
            <w:pPr>
              <w:jc w:val="right"/>
              <w:ind w:right="14"/>
              <w:spacing w:after="0"/>
              <w:rPr>
                <w:sz w:val="20"/>
                <w:szCs w:val="20"/>
                <w:color w:val="auto"/>
              </w:rPr>
            </w:pPr>
            <w:r>
              <w:rPr>
                <w:rFonts w:ascii="Arial" w:cs="Arial" w:eastAsia="Arial" w:hAnsi="Arial"/>
                <w:sz w:val="18"/>
                <w:szCs w:val="18"/>
                <w:color w:val="auto"/>
              </w:rPr>
              <w:t>$15.83-$229.66</w:t>
            </w:r>
          </w:p>
        </w:tc>
        <w:tc>
          <w:tcPr>
            <w:tcW w:w="220" w:type="dxa"/>
            <w:vAlign w:val="bottom"/>
          </w:tcPr>
          <w:p>
            <w:pPr>
              <w:spacing w:after="0"/>
              <w:rPr>
                <w:sz w:val="19"/>
                <w:szCs w:val="19"/>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$162.28-$175.31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28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Numbers of restricted stock units excluded</w:t>
            </w:r>
          </w:p>
        </w:tc>
        <w:tc>
          <w:tcPr>
            <w:tcW w:w="2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Share-Based Compensation Plans</w:t>
      </w:r>
    </w:p>
    <w:p>
      <w:pPr>
        <w:spacing w:after="0" w:line="17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Cooper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2017. The compensation expense and related income tax benefit recognized in our consolidated condensed financial statements for share-based awards were as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29"/>
        </w:trPr>
        <w:tc>
          <w:tcPr>
            <w:tcW w:w="7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9"/>
                <w:szCs w:val="19"/>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7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r>
      <w:tr>
        <w:trPr>
          <w:trHeight w:val="243"/>
        </w:trPr>
        <w:tc>
          <w:tcPr>
            <w:tcW w:w="73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37"/>
        </w:trPr>
        <w:tc>
          <w:tcPr>
            <w:tcW w:w="738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65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6"/>
        </w:trPr>
        <w:tc>
          <w:tcPr>
            <w:tcW w:w="73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capitalized share-based compensation expense as part of the cost of inventory in the amounts of $1.3 million during the three months ended January 31, 2018, and $1.2 million during the three months ended January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20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Minimum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6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Adjustment</w:t>
            </w:r>
          </w:p>
        </w:tc>
        <w:tc>
          <w:tcPr>
            <w:tcW w:w="12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Pension Liability</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year ended October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Tax effect for the period</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Gross change in value during the three months ended January 31, 2018</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 We did not repurchase shares in the first quarter of fiscal 2018 and in fiscal 2017. At January 31, 2018, $563.5 million remains authorized for repurchase under the program.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paid a semiannual dividend of approximately $1.5 million or 3 cents per share on February 9, 2018, to stockholders of record on January 23,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Fair Value Measurements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January 31, 2018 and October 31, 2017,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Assets and liabilities are measured and reported at fair value per related accounting standards that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balances of our revolving credit agreement and term loans approximated their fair values at January 31, 2018 and October 31, 2017 and are categorized as Level 2 of the fair value hierarchy. The Company did not have any derivative assets or liabilities that may include interest rate swaps, cross currency swaps or foreign currency forward contracts as of January 31, 2018 and October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Employee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Cooper’s Retirement Income Plan (Plan), a defined benefit plan, covers substantially all full-time United States employees. Our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for the three months ended January 31, 2018 and 2017, reflect the following components of net periodic pension costs: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2"/>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1560" w:type="dxa"/>
            <w:vAlign w:val="bottom"/>
          </w:tcPr>
          <w:p>
            <w:pPr>
              <w:jc w:val="right"/>
              <w:ind w:right="7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9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Recognized net actuarial loss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0.7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did not contribute to the Plan in the first quarter of fiscal 2018, and expect to contribute $10.0 million during the remainder of fiscal 2018. We did not contribute to the Plan in the first quarter of fiscal 2017. The expected rate of return on plan assets for determining net periodic pension cost is 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Contingencies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The Company recorded a settlement accrual of $3.0 million in the third quarter fiscal ended July 31, 2017. The settlement remains subject to Court approval.</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Contingencies. Legal fees are expensed as incurred.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2017, the UK Tax Authorities began an inquiry regarding our application of DPT in fiscal 2015. We believe that the transactions in question were at arm’s length with no intention to divert profit from the UK and therefore are outside the intended reach of the Diverted Profit Tax.</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are challenging the value assigned to such property. We intend to contest the charging notice vigorously. The process for resolving such a notice can be lengthy and could involve litigation. The DPT legislation provides a one year review period, however, it requires prepayment of the charging notice to be made within 30 days of its issuance. As required, the payment of GBP 31.0 million was made on January 19, 2018. The company continues to cooperate with the U.K. Tax Authorities to resolve this issue. The outcome of this matter cannot be predicted with certainty and may have an adverse impact on our financial condition and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Business Segment Information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2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 net sales by category:</w:t>
            </w:r>
          </w:p>
        </w:tc>
        <w:tc>
          <w:tcPr>
            <w:tcW w:w="2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3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2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2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and other</w:t>
            </w:r>
          </w:p>
        </w:tc>
        <w:tc>
          <w:tcPr>
            <w:tcW w:w="2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27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CooperSurgical net sales</w:t>
            </w:r>
          </w:p>
        </w:tc>
        <w:tc>
          <w:tcPr>
            <w:tcW w:w="2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278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620" w:type="dxa"/>
            <w:vAlign w:val="bottom"/>
            <w:tcBorders>
              <w:bottom w:val="single" w:sz="8" w:color="CCEEFF"/>
            </w:tcBorders>
          </w:tcPr>
          <w:p>
            <w:pPr>
              <w:spacing w:after="0"/>
              <w:rPr>
                <w:sz w:val="5"/>
                <w:szCs w:val="5"/>
                <w:color w:val="auto"/>
              </w:rPr>
            </w:pPr>
          </w:p>
        </w:tc>
        <w:tc>
          <w:tcPr>
            <w:tcW w:w="27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 (loss):</w:t>
            </w:r>
          </w:p>
        </w:tc>
        <w:tc>
          <w:tcPr>
            <w:tcW w:w="27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2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2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2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2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42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278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80" w:type="dxa"/>
            <w:vAlign w:val="bottom"/>
            <w:vMerge w:val="restart"/>
          </w:tcPr>
          <w:p>
            <w:pPr>
              <w:jc w:val="right"/>
              <w:ind w:right="1310"/>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2018</w:t>
            </w:r>
          </w:p>
        </w:tc>
        <w:tc>
          <w:tcPr>
            <w:tcW w:w="320" w:type="dxa"/>
            <w:vAlign w:val="bottom"/>
          </w:tcPr>
          <w:p>
            <w:pPr>
              <w:spacing w:after="0"/>
              <w:rPr>
                <w:sz w:val="14"/>
                <w:szCs w:val="14"/>
                <w:color w:val="auto"/>
              </w:rPr>
            </w:pPr>
          </w:p>
        </w:tc>
        <w:tc>
          <w:tcPr>
            <w:tcW w:w="1740" w:type="dxa"/>
            <w:vAlign w:val="bottom"/>
          </w:tcPr>
          <w:p>
            <w:pPr>
              <w:jc w:val="center"/>
              <w:ind w:right="214"/>
              <w:spacing w:after="0"/>
              <w:rPr>
                <w:sz w:val="20"/>
                <w:szCs w:val="20"/>
                <w:color w:val="auto"/>
              </w:rPr>
            </w:pPr>
            <w:r>
              <w:rPr>
                <w:rFonts w:ascii="Arial" w:cs="Arial" w:eastAsia="Arial" w:hAnsi="Arial"/>
                <w:sz w:val="14"/>
                <w:szCs w:val="14"/>
                <w:b w:val="1"/>
                <w:bCs w:val="1"/>
                <w:color w:val="auto"/>
                <w:w w:val="92"/>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2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3,826.7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3,562.6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2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 to external customers by country of domicile:</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2018</w:t>
            </w:r>
          </w:p>
        </w:tc>
        <w:tc>
          <w:tcPr>
            <w:tcW w:w="320" w:type="dxa"/>
            <w:vAlign w:val="bottom"/>
          </w:tcPr>
          <w:p>
            <w:pPr>
              <w:spacing w:after="0"/>
              <w:rPr>
                <w:sz w:val="24"/>
                <w:szCs w:val="24"/>
                <w:color w:val="auto"/>
              </w:rPr>
            </w:pPr>
          </w:p>
        </w:tc>
        <w:tc>
          <w:tcPr>
            <w:tcW w:w="1740" w:type="dxa"/>
            <w:vAlign w:val="bottom"/>
          </w:tcPr>
          <w:p>
            <w:pPr>
              <w:jc w:val="center"/>
              <w:ind w:right="214"/>
              <w:spacing w:after="0"/>
              <w:rPr>
                <w:sz w:val="20"/>
                <w:szCs w:val="20"/>
                <w:color w:val="auto"/>
              </w:rPr>
            </w:pPr>
            <w:r>
              <w:rPr>
                <w:rFonts w:ascii="Arial" w:cs="Arial" w:eastAsia="Arial" w:hAnsi="Arial"/>
                <w:sz w:val="14"/>
                <w:szCs w:val="14"/>
                <w:b w:val="1"/>
                <w:bCs w:val="1"/>
                <w:color w:val="auto"/>
                <w:w w:val="92"/>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 by country of domicile:</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2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as defined by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4" w:lineRule="exact"/>
        <w:rPr>
          <w:sz w:val="20"/>
          <w:szCs w:val="20"/>
          <w:color w:val="auto"/>
        </w:rPr>
      </w:pPr>
    </w:p>
    <w:p>
      <w:pPr>
        <w:jc w:val="both"/>
        <w:ind w:left="660" w:hanging="652"/>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United Kingdom’s election to withdraw from the European Union.</w:t>
      </w:r>
    </w:p>
    <w:p>
      <w:pPr>
        <w:spacing w:after="0" w:line="111"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their interpretation and changes in statutory tax rates, including but not limited to, the United States, the United Kingdom and other countries with proposed changes to tax laws, some of which may affect our taxation of earnings recognized in foreign jurisdictions and/or negatively impact our effective tax rate.</w:t>
      </w:r>
    </w:p>
    <w:p>
      <w:pPr>
        <w:spacing w:after="0" w:line="12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integration of acquisitions, natural disasters, system upgrades or other causes.</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health care industry, including the contact lens industry specifically and the medical device or pharmaceutical industries generally.</w:t>
      </w:r>
    </w:p>
    <w:p>
      <w:pPr>
        <w:spacing w:after="0" w:line="185"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pending General Data Protection Regulation requirements which are to take effect in Europe on May 25, 2018, including but not limited to those resulting from data security breaches.</w:t>
      </w:r>
    </w:p>
    <w:p>
      <w:pPr>
        <w:spacing w:after="0" w:line="12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receive, or delays in receiving, U.S. or foreign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our customers and end users to obtain adequate coverage and reimbursement from third party payors for our products and services.</w:t>
      </w:r>
    </w:p>
    <w:p>
      <w:pPr>
        <w:spacing w:after="0" w:line="182"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principles or estimates.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2017, as such Risk Factors may be updated in quarterly filings.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this section, we discuss the results of our operations for the first quarter of fiscal 2018 ended January 31, 2018, and compare them with the same periods of fiscal 2017. We discuss our cash flows and current financial condition under “Capital Resources and Liquidity.” Within the tables presented, percentages are calculated based on the underlying whole-dollar amounts and, therefore, may not recalculate from the rounded numbers used for disclosure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of $590.0 million, up 18% from $499.1 million. CooperVision net sales up 14% to $444.8 million. CooperSurgical net sales up 32% to $145.2 million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$370.9 million, up 19% from $312.4 million. Gross margin 63%, same as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$90.2 million, down 1% from $90.7 million.</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(loss) earnings per share of ($2.50) per share, down from $1.53 per share in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provided by operations $26.2 million, compared to $108.4 million in the prior year period.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debt concerns, the uncertainty caused by the United Kingdom's intention to withdraw from the European Union, and the trend of consolidation within the health care industry, impact our current performance and continue to represent a risk to our future performance.</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and multifocal contact lenses offered in a variety of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using silicone hydrogel Aquaform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is focused on greater worldwide market penetration using recently introduced products, and we continue to expand our presence in existing and emerging markets, including through acquisitions.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4, 2018, CooperVision acquired Blueyes, a long-standing distribution partner, with a leading position in the distribution of contact lenses to the Optical and Pharmacy sector in Israel. On December 1, 2017, CooperVision acquired Paragon Vision Sciences, a leading provider of orthokeratology (ortho-</w:t>
      </w:r>
    </w:p>
    <w:p>
      <w:pPr>
        <w:jc w:val="both"/>
        <w:ind w:firstLine="8"/>
        <w:spacing w:after="0" w:line="255"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specialty contact lenses and oxygen permeable rigid contact lens materials. In fiscal 2017, CooperVision acquired Procornea, a Netherlands based manufacturer of specialty contact lenses, which expands CooperVision's access to myopia (nearsightedness) management markets with new products; and Grand Vista LLC, a distributor in Russia of soft contact lenses.</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Sales of contact lenses utilizing silicone hydrogel materials continue to grow and this material represents about half of the industry. Our ability to compete successfully with a full range of silicone hydrogel products is an important factor to achieving our desired future levels of sales growth and profitability. CooperVision manufactures and markets a wide variety of silicone hydrogel contact lenses within the daily, two-week and monthly modalities along with manufacturing some of these lenses as toric and/or multifocal lenses. We market these lenses under a number of different brand names, including but not limited to Biofinity</w:t>
      </w:r>
      <w:r>
        <w:rPr>
          <w:rFonts w:ascii="Arial" w:cs="Arial" w:eastAsia="Arial" w:hAnsi="Arial"/>
          <w:sz w:val="25"/>
          <w:szCs w:val="25"/>
          <w:color w:val="auto"/>
          <w:vertAlign w:val="superscript"/>
        </w:rPr>
        <w:t>®</w:t>
      </w:r>
      <w:r>
        <w:rPr>
          <w:rFonts w:ascii="Arial" w:cs="Arial" w:eastAsia="Arial" w:hAnsi="Arial"/>
          <w:sz w:val="18"/>
          <w:szCs w:val="18"/>
          <w:color w:val="auto"/>
        </w:rPr>
        <w:t>,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Avaira</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the global market for single-use contact lenses will continue growing and our single-use silicone hydrogel products represent an opportunity for our business. Our clariti 1day brand provides the only single-use silicone hydrogel lenses in the marketplace with a complete line of spherical, toric and multifocal contact lenses. We expect increasing aggregate demand for clariti 1day and MyDay products, as well as future single-use products.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focus on advancing the health of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fertility,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diagnostics and contraception. CooperSurgical has established its market presence and distribution system by developing products and acquiring companies, products and services that complement its business model. CooperSurgical product sales are categorized based on the point of health care delivery including products used in medical office and surgical procedures primarily by obstetricians and gynecologists (ob/gyns) that represented 61% of CooperSurgical's net sales in the first quarter of fiscal 2018 compared to 48% in the prior year. CooperSurgical's remaining sales are specialized products and services that largely target the in vitro fertilization (IVF) process used in fertility that now represent 39% of CooperSurgical's net sales from 52% in the prior year. This change in product mix was primarily attributable to recent acquisitions discussed below.</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continued to invest in CooperSurgical's business through the acquisition of companies and product lines for new or complementary products and services.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 2017, CooperSurgical acquired the assets of the PARAGARD Intrauterine Device (IUD) business (PARAGARD) from Teva Pharmaceuticals Industries Limited (Teva) for $1.1 billion. We acquired PARAGARD as the product broadens and strengthens CooperSurgical's current women's health product portfolio. PARAGARD is the only non-hormonal, long lasting, reversible contraceptive option approved by FDA available in the United States. IUDs represent a large and growing segment of the contraceptive market and this acquisition allows CooperSurgical to accelerate growth providing opportunities for operational synergies. In connection with the acquisition, we entered into a new five-year, $1.425 billion, senior unsecured term loan agreement by and among the Company, the lenders party thereto and DNB Bank, as administrative agent. We used part of the facility to fund the acquisition of PARAGARD and used the remainder of the funds to partially repay outstanding borrowings under our revolving credit agreement.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fiscal 2017, CooperSurgical acquired Wallace, the IVF segment of Smiths Medical International Ltd. We intend to continue investing in CooperSurgical's business with the goal of expanding our integrated solutions model within the areas of women's health, fertility and diagnostics.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January 31, 2018, we had $91.7 million in cash, primarily held outside the United States, and $874.7 million available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syndicated revolving credit agreement. The $830.0 million term loan entered on March 1, 2016 and $1.425 billion term loan entered on November 1, 2017 remained outstanding at January 31, 2018.</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 2016, we entered into a syndicated revolving Credit and Term Loan Agreement with Keybank as administrative agent (2016 Credit Agreement). This agreement, maturing on March 1, 2021, replaced our previous revolving credit agreement, entered into on January 12, 2011 and provides for a multi-currency revolving credit facility in an aggregate principal amount of $1.0 billion and a term loan facility in the aggregate principal amount of $830.0 million. On November 1, 2017, we entered into a syndicated Term Loan Agreement with DNB Bank as administrative agent (2017 Term Loan Agreement). We used funds from the 2017 Term Loan Agreement to fund the acquisition of PARAGARD, to repay outstanding amounts under the 2016 Credit Agreement, and for general corporate purposes. See Note 5. Debt for additional information.</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believes that current cash, cash equivalents, restricted cash, and future cash flow from operating activities will be sufficient to meet the Company’s anticipated cash needs, including working capital needs, capital expenditures and contractual obligations for at least 12 months from the issuance date of these financial statements.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Sales and Growth</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2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Percentage of Sales</w:t>
            </w:r>
          </w:p>
        </w:tc>
        <w:tc>
          <w:tcPr>
            <w:tcW w:w="10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w w:val="90"/>
              </w:rPr>
              <w:t>Three Months Ended January 31,</w:t>
            </w:r>
          </w:p>
        </w:tc>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4"/>
                <w:szCs w:val="4"/>
                <w:color w:val="auto"/>
              </w:rPr>
            </w:pPr>
          </w:p>
        </w:tc>
        <w:tc>
          <w:tcPr>
            <w:tcW w:w="2580" w:type="dxa"/>
            <w:vAlign w:val="bottom"/>
            <w:tcBorders>
              <w:bottom w:val="single" w:sz="8" w:color="auto"/>
            </w:tcBorders>
            <w:vMerge w:val="continue"/>
          </w:tcPr>
          <w:p>
            <w:pPr>
              <w:spacing w:after="0"/>
              <w:rPr>
                <w:sz w:val="4"/>
                <w:szCs w:val="4"/>
                <w:color w:val="auto"/>
              </w:rPr>
            </w:pPr>
          </w:p>
        </w:tc>
        <w:tc>
          <w:tcPr>
            <w:tcW w:w="50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580" w:type="dxa"/>
            <w:vAlign w:val="bottom"/>
            <w:tcBorders>
              <w:bottom w:val="single" w:sz="8" w:color="CCEEFF"/>
            </w:tcBorders>
          </w:tcPr>
          <w:p>
            <w:pPr>
              <w:spacing w:after="0"/>
              <w:rPr>
                <w:sz w:val="4"/>
                <w:szCs w:val="4"/>
                <w:color w:val="auto"/>
              </w:rPr>
            </w:pPr>
          </w:p>
        </w:tc>
        <w:tc>
          <w:tcPr>
            <w:tcW w:w="504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Amortization of intangibles</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two business units, CooperVision and CooperSurgical, generate all of our sales. Our consolidated net sales grew by $90.9 million or 18%, in the three months ended January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4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74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4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499.1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achieve comfortable and healthy contact lens wear, products are sold with recommended replacement schedules, often defined as modalities, with the primary modalities being single-use, two-week and monthly. CooperVision offers spherical, toric, multifocal and toric multifocal lens products in most modalities.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Single-use lenses are designed for daily replacement and frequently replaced lenses are designed for two-week or monthly replacement. Significantly, the market for spherical lenses is growing with value-added spherical lenses to alleviate dry eye symptoms, to reduce eye fatigue from use of digital devices, to add aspherical optical properties and/or higher oxygen permeable lenses such as silicone hydrogels.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manufacture CooperVision’s silicone hydrogel Biofinity brand spherical, toric and multifocal contact lenses, Avaira brand spherical and toric lenses and MyDay brand spherical and toric lenses using proprietary Aquaform technology to increase oxygen transmissibility for longer wear. Our silicone hydrogel clariti brand spherical, toric and multifocal contact lenses are available in monthly and single-use modalities. We believe the clariti single-use silicone hydrogel lens products provide a competitive advantage in approved markets as clariti is the only single-use silicone hydrogel lens available in all vision correction categories - spherical, toric and multifocal.</w:t>
      </w:r>
    </w:p>
    <w:p>
      <w:pPr>
        <w:spacing w:after="0" w:line="18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CooperVision’s Proclear brand aspheric, toric and multifocal contact lenses, manufactured using PC Technology</w:t>
      </w:r>
      <w:r>
        <w:rPr>
          <w:rFonts w:ascii="Arial" w:cs="Arial" w:eastAsia="Arial" w:hAnsi="Arial"/>
          <w:sz w:val="25"/>
          <w:szCs w:val="25"/>
          <w:color w:val="auto"/>
          <w:vertAlign w:val="superscript"/>
        </w:rPr>
        <w:t>TM</w:t>
      </w:r>
      <w:r>
        <w:rPr>
          <w:rFonts w:ascii="Arial" w:cs="Arial" w:eastAsia="Arial" w:hAnsi="Arial"/>
          <w:sz w:val="18"/>
          <w:szCs w:val="18"/>
          <w:color w:val="auto"/>
        </w:rPr>
        <w:t>, help enhance tissue/device compatibility and offer improved lens comfort.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7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8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78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first quarter of fiscal 2018, CooperVision's toric and multifocal lenses grew largely through the success of our Biofinity, clariti and MyDay portfolios, offset by declines in older hydrogel products. Single-use sphere lenses growth was largely attributed to clariti and MyDay lenses offset by declines in older hydrogel products. Non single-use spheres grew largely on sales of Biofinity offset by declines in older hydrogel products. The term "other" products primarily includes lens care, representing approximately 3% of net sales in first quarter of fiscal 2018. Total silicone hydrogel products, including clariti, Biofinity, Avaira and MyDay grew 22% in first quarter of fiscal 2018, representing 67% of net sales compared to 63% in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three primary regions: the Americas, EMEA (Europe, Middle East and Africa) and Asia Pacific.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73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CooperVision's first quarter of fiscal 2018 net sales growth includes foreign exchange rate fluctuations positively impacting net sales by $20.4 million. Americas net sales growth was primarily due to market gains of silicone hydrogel contact lenses including Biofinity, clariti and MyDay, partially offset by a decrease in sales of older hydrogel lens products. EMEA net sales growth was largely due to market gains of silicone hydrogel contact lenses including Biofinity, clariti and MyDay, offset by a decrease in sales of older hydrogel products. Net sales in the Asia Pacific region grew on market gains of silicone hydrogel and hydrogel lenses, including Biofinity, clariti and MyDay.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CooperVision’s net sales growth was driven primarily by increases in the volume of lenses sold, including recently introduced silicone hydrogel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While unit growth and product mix have influenced CooperVision’s net sales, average realized prices by product have not materially influenced sales growth.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CooperSurgical supplies the family health care market with a diversified portfolio of products and services for use in surgical and other medical procedures that are performed primarily by obstetricians and gynecologists in hospitals, surgical centers, fertility clinics and in the medical office. Fertility offerings include highly specialized products and services that target the IVF process with a goal to make fertility treatment safer, more efficient and convenient.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00" w:type="dxa"/>
            <w:vAlign w:val="bottom"/>
          </w:tcPr>
          <w:p>
            <w:pPr>
              <w:jc w:val="right"/>
              <w:ind w:right="357"/>
              <w:spacing w:after="0"/>
              <w:rPr>
                <w:sz w:val="20"/>
                <w:szCs w:val="20"/>
                <w:color w:val="auto"/>
              </w:rPr>
            </w:pPr>
            <w:r>
              <w:rPr>
                <w:rFonts w:ascii="Arial" w:cs="Arial" w:eastAsia="Arial" w:hAnsi="Arial"/>
                <w:sz w:val="14"/>
                <w:szCs w:val="14"/>
                <w:b w:val="1"/>
                <w:bCs w:val="1"/>
                <w:color w:val="auto"/>
              </w:rPr>
              <w:t>% Net</w:t>
            </w:r>
          </w:p>
        </w:tc>
        <w:tc>
          <w:tcPr>
            <w:tcW w:w="120" w:type="dxa"/>
            <w:vAlign w:val="bottom"/>
          </w:tcPr>
          <w:p>
            <w:pPr>
              <w:spacing w:after="0"/>
              <w:rPr>
                <w:sz w:val="14"/>
                <w:szCs w:val="14"/>
                <w:color w:val="auto"/>
              </w:rPr>
            </w:pPr>
          </w:p>
        </w:tc>
        <w:tc>
          <w:tcPr>
            <w:tcW w:w="132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417"/>
              <w:spacing w:after="0" w:line="158" w:lineRule="exact"/>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3"/>
                <w:szCs w:val="13"/>
                <w:color w:val="auto"/>
              </w:rPr>
            </w:pPr>
          </w:p>
        </w:tc>
        <w:tc>
          <w:tcPr>
            <w:tcW w:w="1320" w:type="dxa"/>
            <w:vAlign w:val="bottom"/>
          </w:tcPr>
          <w:p>
            <w:pPr>
              <w:jc w:val="right"/>
              <w:ind w:right="262"/>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Fertility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Office and surgical products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CooperSurgical’s net sales grew by 32% in first quarter of fiscal 2018 compared to prior year period, primarily due to the acquisition of the PARAGARD IUD. Net sales in fertility product line remained flat compared to the prior year as the growth of fertility solutions including media products was offset by a decline in genetic testing revenue. The net sales of medical office and surgical procedures increased compared to prior year due to continued growth in recently acquired products primarily PARAGARD. Further, unit growth and product mix positively influenced sales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Sales/Gross Profit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29"/>
        </w:trPr>
        <w:tc>
          <w:tcPr>
            <w:tcW w:w="82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CooperVision's increase in gross margin in first quarter of fiscal 2018 compared to fiscal 2017 was primarily due to the increase in sales of higher margin products including Biofinity and favorable currency impact to CooperVision's revenue and cost of sales primarily led by the weakening of the Euro and British pound compared to the United States dollar. CooperVision's cost of sales included $5.6 million from primarily incremental costs associated with the impact of Hurricane Maria on our Puerto Rico manufacturing facility and other manufacturing related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CooperSurgical's gross margin was positively impacted by the inclusion of the higher gross margin PARAGARD IUD product, offset by $5.1 million of integration costs and $16.9 million of inventory step-up relating to the PARAGARD acquisition, resulting in a decrease of gross margin in the first quarter of fiscal 2018 compared to fiscal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4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4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8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4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CooperVision's SGA in first quarter of fiscal 2018 compared to fiscal 2017 in absolute dollars and as a percentage of sales was due to investments to support our long term objectives, including increased headcount in sales, marketing and G&amp;A, investments in information technology and higher distribution expenses to support revenue growth. CooperVision's SGA in first quarter of fiscal 2018 included $2.5 million of third party consulting costs, acquisition and integration costs.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CooperSurgical's SGA in first quarter of fiscal 2018 compared to fiscal 2017 in absolute dollars was primarily due to addition of PARAGARD marketing expenses and sales headcount investment to support growth. CooperSurgical's SGA included $6.2 million of legal costs, professional fees and acquisition and integration expenses of acquired companies.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180"/>
        <w:spacing w:after="0" w:line="465" w:lineRule="auto"/>
        <w:rPr>
          <w:sz w:val="20"/>
          <w:szCs w:val="20"/>
          <w:color w:val="auto"/>
        </w:rPr>
      </w:pPr>
      <w:r>
        <w:rPr>
          <w:rFonts w:ascii="Arial" w:cs="Arial" w:eastAsia="Arial" w:hAnsi="Arial"/>
          <w:sz w:val="18"/>
          <w:szCs w:val="18"/>
          <w:color w:val="auto"/>
        </w:rPr>
        <w:t xml:space="preserve">The decrease in Corporate SGA in first quarter of fiscal 2018 compared to fiscal 2017 was primarily due to timing of some corporate projects. </w:t>
      </w:r>
      <w:r>
        <w:rPr>
          <w:rFonts w:ascii="Arial" w:cs="Arial" w:eastAsia="Arial" w:hAnsi="Arial"/>
          <w:sz w:val="18"/>
          <w:szCs w:val="18"/>
          <w:b w:val="1"/>
          <w:bCs w:val="1"/>
          <w:color w:val="auto"/>
        </w:rPr>
        <w:t>Research and Development Expense (R&amp;D)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440" w:type="dxa"/>
            <w:vAlign w:val="bottom"/>
          </w:tcPr>
          <w:p>
            <w:pPr>
              <w:jc w:val="right"/>
              <w:ind w:right="237"/>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40" w:type="dxa"/>
            <w:vAlign w:val="bottom"/>
          </w:tcPr>
          <w:p>
            <w:pPr>
              <w:jc w:val="right"/>
              <w:ind w:right="29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CooperVision's research and development (R&amp;D) increased in first quarter of fiscal 2018 compared to fiscal 2017 mainly due to increased costs from acquisitions and increase in headcount. As a percentage of sales, R&amp;D expense remained flat. CooperVision's R&amp;D activities are primarily focused on the development of contact lenses and manufacturing improvements.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CooperSurgical's R&amp;D in first quarter of fiscal 2018 compared to 2017 was primarily due to increased activity to bring newly acquired products to market, increased investment in projects to develop new products and the upgrade of existing products. As a percentage of sales, R&amp;D expense remained flat. CooperSurgical's R&amp;D activities include in vitro fertilization product development and the design and upgrade of surgical procedure devices.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32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amortization expense in the first quarter of fiscal 2018 compared to 2017 was primarily due to amortization of intangible assets acquired in recent acquisitions primarily PARAGARD partially offset by fully amortized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39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8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5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90.2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consolidated operating income in first quarter of fiscal 2018 compared to fiscal 2017 in absolute dollars and as a percentage of net sales was primarily due to higher operating expenses relating to acquisitions. The increase in CooperVision operating income in first quarter of fiscal 2018 compared to fiscal 2017 was primarily due to the favorable currency impact to revenue and cost of sales, increase in sales and gross margin primarily from higher margin products including Biofinity and lower restructuring and integration costs. The decrease in CooperSurgical operating income in first quarter of fiscal 2018 compared to fiscal 2017 was due to higher operating expenses relating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including the PARAGARD inventory step up and amortization of intangibles, and investments to support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January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228"/>
              <w:spacing w:after="0"/>
              <w:rPr>
                <w:sz w:val="20"/>
                <w:szCs w:val="20"/>
                <w:color w:val="auto"/>
              </w:rPr>
            </w:pPr>
            <w:r>
              <w:rPr>
                <w:rFonts w:ascii="Arial" w:cs="Arial" w:eastAsia="Arial" w:hAnsi="Arial"/>
                <w:sz w:val="14"/>
                <w:szCs w:val="14"/>
                <w:b w:val="1"/>
                <w:bCs w:val="1"/>
                <w:color w:val="auto"/>
              </w:rPr>
              <w:t>% Net</w:t>
            </w:r>
          </w:p>
        </w:tc>
        <w:tc>
          <w:tcPr>
            <w:tcW w:w="12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left="20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5"/>
              </w:rPr>
              <w:t>2018 vs 2017</w:t>
            </w: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Sales</w:t>
            </w:r>
          </w:p>
        </w:tc>
        <w:tc>
          <w:tcPr>
            <w:tcW w:w="12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18.4</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  $</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 in interest expense in absolute dollars and as a percentage of sales reflect higher average debt balances as a result of debt incurred in connection with acquisitions as well as higher interest rates mainly due to the new $1.425 billion term loan entered into on November 1, 2017 to primarily fund the PARAGARD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9"/>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(gain)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exchange (gain) loss is primarily resulting from revaluation and settlement of foreign currencies-denominated balances. Other expense remained flat in first quarter of fiscal 2018 from prior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Cooper's effective tax rates were 263.7% and 5.4% for the first quarters of fiscal 2018 and 2017, respectively. The increase in our effective tax rate for the first quarter of fiscal 2018 compared to the first quarter of fiscal 2017 was primarily due to the charge of $202.0 million related to the 2017 Act. Our effective tax rate for the first quarter of fiscal 2018 was higher than the U.S. Statutory rate because of the discrete tax expense relating to the 2017 Act, which was partially offset by a favorable mix of income from our foreign jurisdictions with lower tax rates and an excess tax benefit from share-based compensation. Our effective tax rate for the first quarter of fiscal 2017 was lower than the U.S. Statutory rate primarily because of a favorable mix of income from our foreign jurisdictions with lower tax rates and an excess tax benefit from share-based compensation.</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ASC 740, Income Taxes, requires companies to recognize the effect of the tax law changes in the period of enactment. However, in December 2017, the SEC provided regulatory guidance for accounting referred to as SAB 118. Under the guidance in SAB 118, the income tax effects, which the accounting under ASC 740 is incomplete, are reported as a provisional amount based on a reasonable estimate. The reasonable estimate is subject to adjustment during a "measurement period", not to exceed one year, until the accounting is complete. The estimate is also subject to the finalization of management’s analysis related to certain matters, such as developing interpretations of the provision, changes to certain estimates and amounts related to the earnings and profits of certain subsidiaries and the filing of tax returns. The Company has recorded provisional charge for the first quarter of fiscal 2018. In determining this charge, the Company utilized the most recent information and guidance available related to the calculation of the tax liability and the impact to its deferred tax assets and liabilities, including those recorded for foreign local and withholding taxes that the Company assessed as of January 31, 2018. The provisional charge may require further adjustments and changes to the Company’s estimates as new guidance is made available. Revisions to the provisional charge may be material to the Company's financial results.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December 2011, our Board of Directors authorized the 2012 Share Repurchase Program and through subsequent amendments, the most recent in March 2017, the total repurchase authorization was increased from $500.0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 $1.0 billion of the Company's common stock. The program has no expiration date and may be discontinued at any time. We did not repurchase any shares during the first quarter of fiscal 2018. At January 31, 2018, we had remaining authorization to repurchase $563.5 million of our common stock. See the notes to consolidated condensed financial statements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Cooper has several share-based compensation plans that are described in our Annual Report on Form 10-K for the fiscal year ended October 31, 2017. The compensation expense and related income tax benefit recognized in our consolidated condensed financial statements for share-based awards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w:t>
            </w: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7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capitalized share-based compensation expense as part of the cost of inventory in the amounts of $1.3 million during the three months ended January 31, 2018, and $1.2 million during the three months ended January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cash flow $26.2 million compared to $108.4 million in the first quarter of fiscal 2017</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$51.4 million compared to $28.7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payments for acquisitions, $1,193.2 million, compared to $173.4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January 31, 2018</w:t>
            </w:r>
          </w:p>
        </w:tc>
        <w:tc>
          <w:tcPr>
            <w:tcW w:w="340" w:type="dxa"/>
            <w:vAlign w:val="bottom"/>
          </w:tcPr>
          <w:p>
            <w:pPr>
              <w:spacing w:after="0"/>
              <w:rPr>
                <w:sz w:val="14"/>
                <w:szCs w:val="14"/>
                <w:color w:val="auto"/>
              </w:rPr>
            </w:pPr>
          </w:p>
        </w:tc>
        <w:tc>
          <w:tcPr>
            <w:tcW w:w="1880" w:type="dxa"/>
            <w:vAlign w:val="bottom"/>
          </w:tcPr>
          <w:p>
            <w:pPr>
              <w:jc w:val="right"/>
              <w:ind w:right="512"/>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6,268.6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4,858.7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557.1</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2,402.5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1,172.7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3,156.4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3,175.8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Ratio of debt to equity</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0.37:1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as a percentage of total capitalization</w:t>
            </w: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increase in working capital at January 31, 2018 from the end of fiscal 2017 was primarily due to increase in accounts receivable and inventories from PARAGARD acquisition and prepayments made during the period. This was partially offset by the increase in accounts payable and other liabilities.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January 31, 2018, our inventory months on hand (MOH) were 6.9 compared to 6.5 at October 31, 2017. The $52.2 million increase in inventories was primarily due to increase in finished goods and raw materials to support product launches and production levels and from PARAGARD. Our days sales outstanding (DSO) were 57 days at January 31, 2018, compared to 53 days at October 31, 2017 and 54 days at January 31, 2017.</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reviewed our needs in the United States and have determined there is sufficient cash to fund working capital without repatriating cash from our foreign subsidiaries. For purposes of recording the provisional tax expense this quarter, we are no longer asserting that earnings from our foreign subsidiaries are indefinitely reinvested. However, the Company has not completed its analysis and will make a final decision within the measurement period. If the Company changes its assertion to not indefinitely reinvest foreign earnings, there will be more flexibility in using the cash from our foreign operations to fund future working capital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Cash provided by operating activities decreased by $82.2 million from $108.4 million during the first quarter of fiscal 2017 to $26.2 million during the first quarter of fiscal 2018. This decrease primarily consists of an increase of $146.7 million in the net cash outflow from changes in operating capital, from $30.3 million during the first quarter of fiscal 2017 to $177.0 million in the first quarter of fiscal 2018, offset by an increase of $67.6 million in the net cash inflow from other non-cash items, from $15.1 million in the first quarter of fiscal 2017 to $82.7 million in the first quarter of fiscal 2018.</w:t>
      </w:r>
    </w:p>
    <w:p>
      <w:pPr>
        <w:spacing w:after="0" w:line="17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$146.7 million increase from the comparable period in the net cash outflow from changes in operating capital is due to a $121.9 million greater increase in receivables, primarily from PARAGARD, and a $43.6 million greater increase in prepaids and other assets, primarily from a $42.0 million payment to the U.K. tax authorities. The $67.6 million increase from the comparable period in the net cash inflow from other non-cash items is primarily due to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$16.8 million release of a fair value adjustment to inventory acquired from PARAGARD and a $34.4 million adjustment to deferred taxes due to tax reform.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of $1,244.6 million in the first quarter of fiscal 2018 was driven by capital expenditures of $51.4 million, primarily to increase distribution and manufacturing capacity, and payments of $1,193.2 million related to acquisitions, primarily the acquisition of PARAGARD as discussed in Outlook above and in Note 2. Acquisitions.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of $202.1 million in the first quarter of fiscal 2017 was driven by capital expenditures of $28.7 million, primarily to increase distribution and manufacturing capacity, and payments of $173.4 million related to acquisitions, primarily the acquisition of Wallace in the first quarter of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in cash provided by financing activities primarily relate to borrowings and repayments of debt as well as the effects of share-based compensation awards. Cash provided by financing activities of $1,217.4 million in the first quarter of fiscal 2018 was driven by $1,672.8 million of proceeds from long term debt, partially offset by $445.8 million net repayments of debt and $10.5 million primarily for net taxes paid related to vested share-based compensation awards.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of $83.5 million in the first quarter of fiscal 2017 was driven by $91.1 million from net borrowings of debt, partially offset by $8.1 million for taxes paid related to vested share-based compensation awards.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both the 2017 Term Loan Agreement and the 2016 Credit Agreement, we are required to maintain an Interest Coverage Ratio of at least 3.00 to 1.00, and a Total Leverage Ratio of no higher than 3.75 to 1.00.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January 31, 2018, we had $874.7 million available under the 2016 Credit Agreement. We are in compliance with our financial covenants including the Interest Coverage Ratio at 19.42 to 1.00 and the Total Leverage Ratio at 2.68 to 1.00 for both the 2017 Term Loan Agreement and the 2016 Credit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3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of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Eurodollar rate. We may decrease this interest rate risk by hedging a portion of variable rate debt effectively converting it to fixed rate debt for varying periods. For additional detail, see Item 1A. Risk Factors and Note 1 and Note 11 to the consolidated financial statements in our Annual Report on Form 10-K for the fiscal year ended October 31, 2017.</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1, 2016, we entered into a syndicated Revolving Credit and Term Loan Agreement (2016 Credit Agreement) with Keybank as administrative agent. The agreement provides for a multicurrency revolving credit facility in an aggregate principal amount of $1.0 billion and a term loan facility in the aggregate principal amount of $830.0 million. The 2016 Credit Agreement replaced our previous credit agreement and funds from the new term loan were used to repay the outstanding amounts under the previous credit agreement, to partially repay our other outstanding term loans and for general corporate purposes. At January 31, 2018, we had $874.7 million available under the revolving credit facility and $830.0 million outstanding under the term loan.</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new five-year, $1.425 billion, senior unsecured term loan agreement by and among the Company, the lenders party thereto and DNB Bank ASA, New York Branch, as administrative agent (2017 Term Loan Agreement)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$6.0 million based on average debt outstanding for the first fiscal quarter of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for additional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Principal Executive Officer and Principal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 2017, the Company acquired PARAGARD. Management is reviewing and evaluating its internal control procedures and the design of those control procedures related to the PARAGARD acquisition and assessing when it will complete an evaluation and review of PARAGARD's internal controls over financial reporting.</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as described above, there has been no change in our internal control over financial reporting that occurred during our first quarter of fiscal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9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The Company recorded a settlement accrual of $3.0 million in the third quarter fiscal ended July 31, 2017. The settlement remains subject to Court approval.</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Contingencies. Legal fees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31, 2017. Except for the risk factors set forth below, there have been no material changes in our risk factors from those previously discussed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fiscal year October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22, 2017, the U.S. President signed The Tax Cuts and Jobs Act (“2017 Act”) into law. Consistent with SEC guidance, the Company has made a reasonable estimate of the effects of the 2017 Act and recorded provisional income tax expense of $202.0 million in the financial statements this quarter. Compliance with the 2017 Act may require the collection of information not regularly produced within the Company, the use of estimates in our financial statements, and the exercise of significant judgment in accounting for its provisions. As regulations and guidance evolve with respect to the 2017 Act, and as we gather more information and perform additional analysis, our results may differ from previous estimates and may materially affect our financial position. For additional information regarding the 2017 Act, see Part 1, Item 1, Note 7, Income Taxes, of the Notes to the Consolidated Financial Statements included in this Quarterly Report on Form 10-Q.</w:t>
      </w:r>
    </w:p>
    <w:p>
      <w:pPr>
        <w:spacing w:after="0" w:line="18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expend excessive costs</w:t>
      </w:r>
      <w:r>
        <w:rPr>
          <w:rFonts w:ascii="Arial" w:cs="Arial" w:eastAsia="Arial" w:hAnsi="Arial"/>
          <w:sz w:val="17"/>
          <w:szCs w:val="17"/>
          <w:color w:val="auto"/>
        </w:rPr>
        <w:t>.</w:t>
      </w:r>
    </w:p>
    <w:p>
      <w:pPr>
        <w:spacing w:after="0" w:line="14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1" w:right="239" w:bottom="1440" w:gutter="0" w:footer="0" w:header="0"/>
        </w:sectPr>
      </w:pPr>
    </w:p>
    <w:bookmarkStart w:id="34" w:name="page35"/>
    <w:bookmarkEnd w:id="34"/>
    <w:p>
      <w:pPr>
        <w:ind w:right="380"/>
        <w:spacing w:after="0" w:line="277" w:lineRule="auto"/>
        <w:rPr>
          <w:sz w:val="20"/>
          <w:szCs w:val="20"/>
          <w:color w:val="auto"/>
        </w:rPr>
      </w:pPr>
      <w:r>
        <w:rPr>
          <w:rFonts w:ascii="Arial" w:cs="Arial" w:eastAsia="Arial" w:hAnsi="Arial"/>
          <w:sz w:val="18"/>
          <w:szCs w:val="18"/>
          <w:color w:val="auto"/>
        </w:rPr>
        <w:t>cannot assure that there will not be associated excessive costs or disruptions in portions of our business in the course of our maintenance, support and/or upgrade of these systems.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in the midst of a multiyear process of implementing a new enterprise resource planning (ERP) system at CooperVision.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60"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January 31, 2018.</w:t>
      </w:r>
    </w:p>
    <w:p>
      <w:pPr>
        <w:spacing w:after="0" w:line="2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Share Repurchase Program was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2018, approximately $563.5 million remained authorized under the 2012 Share Repurchase Program.</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9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THE COOPER COMPANIES, INC. AND SUBSIDIARIES</w:t>
            </w:r>
          </w:p>
        </w:tc>
      </w:tr>
      <w:tr>
        <w:trPr>
          <w:trHeight w:val="797"/>
        </w:trPr>
        <w:tc>
          <w:tcPr>
            <w:tcW w:w="16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46"/>
        </w:trPr>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Exhibit</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0"/>
        </w:trPr>
        <w:tc>
          <w:tcPr>
            <w:tcW w:w="1640" w:type="dxa"/>
            <w:vAlign w:val="bottom"/>
            <w:gridSpan w:val="4"/>
          </w:tcPr>
          <w:p>
            <w:pPr>
              <w:ind w:left="40"/>
              <w:spacing w:after="0" w:line="190" w:lineRule="exact"/>
              <w:rPr>
                <w:sz w:val="20"/>
                <w:szCs w:val="20"/>
                <w:color w:val="auto"/>
              </w:rPr>
            </w:pPr>
            <w:r>
              <w:rPr>
                <w:rFonts w:ascii="Arial" w:cs="Arial" w:eastAsia="Arial" w:hAnsi="Arial"/>
                <w:sz w:val="18"/>
                <w:szCs w:val="18"/>
                <w:color w:val="auto"/>
              </w:rPr>
              <w:t>Number</w:t>
            </w:r>
          </w:p>
        </w:tc>
        <w:tc>
          <w:tcPr>
            <w:tcW w:w="9740" w:type="dxa"/>
            <w:vAlign w:val="bottom"/>
            <w:gridSpan w:val="7"/>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40" w:type="dxa"/>
            <w:vAlign w:val="bottom"/>
            <w:tcBorders>
              <w:bottom w:val="single" w:sz="8" w:color="0000FF"/>
            </w:tcBorders>
            <w:gridSpan w:val="7"/>
          </w:tcPr>
          <w:p>
            <w:pPr>
              <w:spacing w:after="0"/>
              <w:rPr>
                <w:rFonts w:ascii="Arial" w:cs="Arial" w:eastAsia="Arial" w:hAnsi="Arial"/>
                <w:sz w:val="18"/>
                <w:szCs w:val="18"/>
                <w:color w:val="0000FF"/>
                <w:w w:val="91"/>
              </w:rPr>
            </w:pPr>
            <w:hyperlink r:id="rId8">
              <w:r>
                <w:rPr>
                  <w:rFonts w:ascii="Arial" w:cs="Arial" w:eastAsia="Arial" w:hAnsi="Arial"/>
                  <w:sz w:val="18"/>
                  <w:szCs w:val="18"/>
                  <w:color w:val="0000FF"/>
                  <w:w w:val="91"/>
                </w:rPr>
                <w:t>Loan Agreement, dated as of November 1, 2017, among The Cooper Companies, Inc., the lenders party thereto, and DNB Bank ASA,</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4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8">
              <w:r>
                <w:rPr>
                  <w:rFonts w:ascii="Arial" w:cs="Arial" w:eastAsia="Arial" w:hAnsi="Arial"/>
                  <w:sz w:val="18"/>
                  <w:szCs w:val="18"/>
                  <w:color w:val="0000FF"/>
                  <w:w w:val="93"/>
                </w:rPr>
                <w:t>New York Branch, as administrative agent, incorporated by reference to Exhibit 10.1 of the Company’s Current Report on Form 8-K</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FF"/>
              </w:rPr>
            </w:pPr>
            <w:hyperlink r:id="rId8">
              <w:r>
                <w:rPr>
                  <w:rFonts w:ascii="Arial" w:cs="Arial" w:eastAsia="Arial" w:hAnsi="Arial"/>
                  <w:sz w:val="18"/>
                  <w:szCs w:val="18"/>
                  <w:color w:val="0000FF"/>
                </w:rPr>
                <w:t>filed November 1, 2017.</w:t>
              </w:r>
            </w:hyperlink>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42"/>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Calculation of (Loss) Earnings Per Share</w:t>
            </w:r>
          </w:p>
        </w:tc>
      </w:tr>
      <w:tr>
        <w:trPr>
          <w:trHeight w:val="36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the Chief Executive Officer, pursuant to Rule 13a-14(a) under the Securities Exchange Act of 1934</w:t>
              </w:r>
            </w:hyperlink>
          </w:p>
        </w:tc>
        <w:tc>
          <w:tcPr>
            <w:tcW w:w="1440" w:type="dxa"/>
            <w:vAlign w:val="bottom"/>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the Chief Financial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the Chief Executive Officer, pursuant to 18 U.S.C. Section 1350</w:t>
              </w:r>
            </w:hyperlink>
          </w:p>
        </w:tc>
        <w:tc>
          <w:tcPr>
            <w:tcW w:w="2460" w:type="dxa"/>
            <w:vAlign w:val="bottom"/>
            <w:tcBorders>
              <w:top w:val="single" w:sz="8" w:color="0000FF"/>
            </w:tcBorders>
          </w:tcPr>
          <w:p>
            <w:pPr>
              <w:spacing w:after="0"/>
              <w:rPr>
                <w:sz w:val="24"/>
                <w:szCs w:val="24"/>
                <w:color w:val="auto"/>
              </w:rPr>
            </w:pPr>
          </w:p>
        </w:tc>
        <w:tc>
          <w:tcPr>
            <w:tcW w:w="1500" w:type="dxa"/>
            <w:vAlign w:val="bottom"/>
            <w:gridSpan w:val="2"/>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the Chief Financial Officer, pursuant to 18 U.S.C. Section 1350</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640" w:hanging="1443"/>
        <w:spacing w:after="0" w:line="255"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three months periods ended January 31, 2018, formatted in Extensible Business Reporting Language (XBRL): (i) Consolidated Statements of (Loss) Income for the three months ended January 31, 2018 and 2017, (ii) Consolidated Statements of Comprehensive (Loss) Income for the three months ended January 31, 2018 and 2017, (iii) Consolidated Condensed Balance Sheets at January 31, 2018 and October 31, 2017, (iv) Consolidated Condensed Statements of Cash Flows for the three months ended January 31, 2018 and 2017 and (v) related notes to consolidated condensed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00" w:right="60" w:hanging="459"/>
        <w:spacing w:after="0" w:line="277" w:lineRule="auto"/>
        <w:rPr>
          <w:rFonts w:ascii="Arial" w:cs="Arial" w:eastAsia="Arial" w:hAnsi="Arial"/>
          <w:sz w:val="18"/>
          <w:szCs w:val="18"/>
          <w:color w:val="auto"/>
        </w:rPr>
      </w:pPr>
      <w:r>
        <w:rPr>
          <w:rFonts w:ascii="Arial" w:cs="Arial" w:eastAsia="Arial" w:hAnsi="Arial"/>
          <w:sz w:val="18"/>
          <w:szCs w:val="18"/>
          <w:color w:val="auto"/>
        </w:rPr>
        <w:t>*The information called for in this Exhibit is provided in Note 7. (Loss) Earnings Per Share to the Consolidated Condensed Financial Statements in this report.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9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72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Chief Financial Officer and Chief Strategy Officer</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Tax and Chief Accounting Officer</w:t>
      </w:r>
    </w:p>
    <w:p>
      <w:pPr>
        <w:spacing w:after="0" w:line="3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391"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S. Weiss,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2018</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Robert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23495</wp:posOffset>
            </wp:positionV>
            <wp:extent cx="225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Robert S. Weiss</w:t>
      </w:r>
    </w:p>
    <w:p>
      <w:pPr>
        <w:spacing w:after="0" w:line="5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58" w:lineRule="auto"/>
        <w:tabs>
          <w:tab w:leader="none" w:pos="52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340" w:right="200" w:hanging="8"/>
        <w:spacing w:after="0" w:line="261" w:lineRule="auto"/>
        <w:tabs>
          <w:tab w:leader="none" w:pos="5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9, 2018</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31750</wp:posOffset>
            </wp:positionV>
            <wp:extent cx="2538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Executive Vice President, Chief Financial Officer and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Chief Strategy Officer</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Robert S. Weiss,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quarterly period ended January 31,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6"/>
          <w:szCs w:val="16"/>
          <w:color w:val="auto"/>
        </w:rPr>
        <w:t>/s/ Robert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S. Weiss</w:t>
      </w: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20"/>
          <w:szCs w:val="20"/>
          <w:color w:val="auto"/>
        </w:rPr>
        <w:t>the Quarterly Report on Form 10-Q of the Company for the quarterly period ended January 31,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Executive Vice President, Chief Financial Officer and Chief Strategy Officer</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8" Type="http://schemas.openxmlformats.org/officeDocument/2006/relationships/hyperlink" Target="http://www.sec.gov/Archives/edgar/data/711404/000119312517329498/d48234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2019-12-28T23:36:34Z</dcterms:created>
  <dcterms:modified xsi:type="dcterms:W3CDTF">2019-12-28T23:36:34Z</dcterms:modified>
</cp:coreProperties>
</file>