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6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2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7, 2026</w:t>
      </w:r>
    </w:p>
    <w:p>
      <w:pPr>
        <w:spacing w:after="0" w:line="5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ectPr>
          <w:pgSz w:w="11900" w:h="16838" w:orient="portrait"/>
          <w:cols w:equalWidth="0" w:num="1">
            <w:col w:w="11100"/>
          </w:cols>
          <w:pgMar w:left="320" w:top="1064" w:right="479" w:bottom="1440" w:gutter="0" w:footer="0" w:header="0"/>
        </w:sectPr>
      </w:pPr>
    </w:p>
    <w:p>
      <w:pPr>
        <w:spacing w:after="0" w:line="38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1-8597</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94-2657368</w:t>
      </w:r>
    </w:p>
    <w:p>
      <w:pPr>
        <w:spacing w:after="0" w:line="42" w:lineRule="exact"/>
        <w:rPr>
          <w:sz w:val="24"/>
          <w:szCs w:val="24"/>
          <w:color w:val="auto"/>
        </w:rPr>
      </w:pPr>
    </w:p>
    <w:p>
      <w:pPr>
        <w:sectPr>
          <w:pgSz w:w="11900" w:h="16838" w:orient="portrait"/>
          <w:cols w:equalWidth="0" w:num="3">
            <w:col w:w="4940" w:space="720"/>
            <w:col w:w="2840" w:space="720"/>
            <w:col w:w="1880"/>
          </w:cols>
          <w:pgMar w:left="320" w:top="1064" w:right="47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ind w:left="140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ind w:left="20"/>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800" w:space="720"/>
            <w:col w:w="2880" w:space="720"/>
            <w:col w:w="1980"/>
          </w:cols>
          <w:pgMar w:left="320" w:top="1064" w:right="479" w:bottom="1440" w:gutter="0" w:footer="0" w:header="0"/>
          <w:type w:val="continuous"/>
        </w:sectPr>
      </w:pP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6101 Bollinger Canyon Road, Suite 500, San Ramon, California 94583</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(925) 460-3600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100"/>
          </w:cols>
          <w:pgMar w:left="320" w:top="1064" w:right="479" w:bottom="1440" w:gutter="0" w:footer="0" w:header="0"/>
          <w:type w:val="continuous"/>
        </w:sectPr>
      </w:pPr>
    </w:p>
    <w:p>
      <w:pPr>
        <w:spacing w:after="0" w:line="12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w:t>
      </w:r>
    </w:p>
    <w:p>
      <w:pPr>
        <w:spacing w:after="0" w:line="88" w:lineRule="exact"/>
        <w:rPr>
          <w:sz w:val="24"/>
          <w:szCs w:val="24"/>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03"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7"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0" w:lineRule="exact"/>
        <w:rPr>
          <w:rFonts w:ascii="MS PGothic" w:cs="MS PGothic" w:eastAsia="MS PGothic" w:hAnsi="MS PGothic"/>
          <w:sz w:val="36"/>
          <w:szCs w:val="36"/>
          <w:color w:val="auto"/>
          <w:vertAlign w:val="subscript"/>
        </w:rPr>
      </w:pPr>
    </w:p>
    <w:p>
      <w:pPr>
        <w:ind w:left="540" w:hanging="514"/>
        <w:spacing w:after="0"/>
        <w:tabs>
          <w:tab w:leader="none" w:pos="5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4" w:lineRule="exact"/>
        <w:rPr>
          <w:rFonts w:ascii="MS PGothic" w:cs="MS PGothic" w:eastAsia="MS PGothic" w:hAnsi="MS PGothic"/>
          <w:sz w:val="36"/>
          <w:szCs w:val="36"/>
          <w:color w:val="auto"/>
          <w:vertAlign w:val="subscript"/>
        </w:rPr>
      </w:pPr>
    </w:p>
    <w:p>
      <w:pPr>
        <w:ind w:left="540" w:hanging="514"/>
        <w:spacing w:after="0"/>
        <w:tabs>
          <w:tab w:leader="none" w:pos="5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37"/>
        </w:trPr>
        <w:tc>
          <w:tcPr>
            <w:tcW w:w="600" w:type="dxa"/>
            <w:vAlign w:val="bottom"/>
          </w:tcPr>
          <w:p>
            <w:pPr>
              <w:spacing w:after="0"/>
              <w:rPr>
                <w:sz w:val="24"/>
                <w:szCs w:val="24"/>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600" w:type="dxa"/>
            <w:vAlign w:val="bottom"/>
          </w:tcPr>
          <w:p>
            <w:pPr>
              <w:spacing w:after="0"/>
              <w:rPr>
                <w:sz w:val="19"/>
                <w:szCs w:val="19"/>
                <w:color w:val="auto"/>
              </w:rPr>
            </w:pPr>
          </w:p>
        </w:tc>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$.10 par value</w:t>
            </w:r>
          </w:p>
        </w:tc>
        <w:tc>
          <w:tcPr>
            <w:tcW w:w="140" w:type="dxa"/>
            <w:vAlign w:val="bottom"/>
          </w:tcPr>
          <w:p>
            <w:pPr>
              <w:spacing w:after="0"/>
              <w:rPr>
                <w:sz w:val="19"/>
                <w:szCs w:val="19"/>
                <w:color w:val="auto"/>
              </w:rPr>
            </w:pPr>
          </w:p>
        </w:tc>
        <w:tc>
          <w:tcPr>
            <w:tcW w:w="1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160" w:type="dxa"/>
            <w:vAlign w:val="bottom"/>
          </w:tcPr>
          <w:p>
            <w:pPr>
              <w:spacing w:after="0"/>
              <w:rPr>
                <w:sz w:val="19"/>
                <w:szCs w:val="19"/>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0" w:lineRule="exact"/>
        <w:rPr>
          <w:sz w:val="24"/>
          <w:szCs w:val="24"/>
          <w:color w:val="auto"/>
        </w:rPr>
      </w:pPr>
    </w:p>
    <w:p>
      <w:pPr>
        <w:spacing w:after="0" w:line="344" w:lineRule="exact"/>
        <w:rPr>
          <w:sz w:val="24"/>
          <w:szCs w:val="24"/>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1800"/>
        <w:spacing w:after="0" w:line="19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ind w:right="2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64"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2026, The Cooper Companies, Inc. (the "Company") held its 2026 Annual Meeting of Stockholders. The matters listed below were submitted to a vote of the stockholders through the solicitation of proxies, and the proposals are described in detail in the Company's definitive proxy statement filed with the United States Securities and Exchange Commission on February 24, 2026 (the "Proxy Statement"). Votes were cast by the stockholders as set forth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Directors</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individuals were elected to serve as directors of the Company until the 2027 Annual Meeting of Stockholders or until their successors have been duly elected and qualified.</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0" w:type="dxa"/>
            <w:vAlign w:val="bottom"/>
            <w:shd w:val="clear" w:color="auto" w:fill="F2F2F2"/>
          </w:tcPr>
          <w:p>
            <w:pPr>
              <w:spacing w:after="0"/>
              <w:rPr>
                <w:sz w:val="17"/>
                <w:szCs w:val="17"/>
                <w:color w:val="auto"/>
              </w:rPr>
            </w:pPr>
          </w:p>
        </w:tc>
        <w:tc>
          <w:tcPr>
            <w:tcW w:w="1680" w:type="dxa"/>
            <w:vAlign w:val="bottom"/>
            <w:gridSpan w:val="2"/>
            <w:shd w:val="clear" w:color="auto" w:fill="F2F2F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Nominee</w:t>
            </w:r>
          </w:p>
        </w:tc>
        <w:tc>
          <w:tcPr>
            <w:tcW w:w="760" w:type="dxa"/>
            <w:vAlign w:val="bottom"/>
            <w:shd w:val="clear" w:color="auto" w:fill="F2F2F2"/>
          </w:tcPr>
          <w:p>
            <w:pPr>
              <w:spacing w:after="0"/>
              <w:rPr>
                <w:sz w:val="17"/>
                <w:szCs w:val="17"/>
                <w:color w:val="auto"/>
              </w:rPr>
            </w:pPr>
          </w:p>
        </w:tc>
        <w:tc>
          <w:tcPr>
            <w:tcW w:w="1020" w:type="dxa"/>
            <w:vAlign w:val="bottom"/>
            <w:gridSpan w:val="2"/>
            <w:shd w:val="clear" w:color="auto" w:fill="F2F2F2"/>
          </w:tcPr>
          <w:p>
            <w:pPr>
              <w:jc w:val="center"/>
              <w:ind w:right="760"/>
              <w:spacing w:after="0"/>
              <w:rPr>
                <w:sz w:val="20"/>
                <w:szCs w:val="20"/>
                <w:color w:val="auto"/>
              </w:rPr>
            </w:pPr>
            <w:r>
              <w:rPr>
                <w:rFonts w:ascii="Times New Roman" w:cs="Times New Roman" w:eastAsia="Times New Roman" w:hAnsi="Times New Roman"/>
                <w:sz w:val="18"/>
                <w:szCs w:val="18"/>
                <w:color w:val="auto"/>
              </w:rPr>
              <w:t>For</w:t>
            </w:r>
          </w:p>
        </w:tc>
        <w:tc>
          <w:tcPr>
            <w:tcW w:w="560" w:type="dxa"/>
            <w:vAlign w:val="bottom"/>
            <w:shd w:val="clear" w:color="auto" w:fill="F2F2F2"/>
          </w:tcPr>
          <w:p>
            <w:pPr>
              <w:spacing w:after="0"/>
              <w:rPr>
                <w:sz w:val="17"/>
                <w:szCs w:val="17"/>
                <w:color w:val="auto"/>
              </w:rPr>
            </w:pPr>
          </w:p>
        </w:tc>
        <w:tc>
          <w:tcPr>
            <w:tcW w:w="114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Against</w:t>
            </w:r>
          </w:p>
        </w:tc>
        <w:tc>
          <w:tcPr>
            <w:tcW w:w="560" w:type="dxa"/>
            <w:vAlign w:val="bottom"/>
            <w:shd w:val="clear" w:color="auto" w:fill="F2F2F2"/>
          </w:tcPr>
          <w:p>
            <w:pPr>
              <w:spacing w:after="0"/>
              <w:rPr>
                <w:sz w:val="17"/>
                <w:szCs w:val="17"/>
                <w:color w:val="auto"/>
              </w:rPr>
            </w:pPr>
          </w:p>
        </w:tc>
        <w:tc>
          <w:tcPr>
            <w:tcW w:w="11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rPr>
              <w:t>Abstain</w:t>
            </w:r>
          </w:p>
        </w:tc>
        <w:tc>
          <w:tcPr>
            <w:tcW w:w="2360" w:type="dxa"/>
            <w:vAlign w:val="bottom"/>
            <w:gridSpan w:val="3"/>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960" w:type="dxa"/>
            <w:vAlign w:val="bottom"/>
            <w:tcBorders>
              <w:top w:val="single" w:sz="8" w:color="F2F2F2"/>
            </w:tcBorders>
            <w:shd w:val="clear" w:color="auto" w:fill="F2F2F2"/>
          </w:tcPr>
          <w:p>
            <w:pPr>
              <w:spacing w:after="0" w:line="20" w:lineRule="exact"/>
              <w:rPr>
                <w:sz w:val="1"/>
                <w:szCs w:val="1"/>
                <w:color w:val="auto"/>
              </w:rPr>
            </w:pPr>
          </w:p>
        </w:tc>
        <w:tc>
          <w:tcPr>
            <w:tcW w:w="660" w:type="dxa"/>
            <w:vAlign w:val="bottom"/>
            <w:tcBorders>
              <w:top w:val="single" w:sz="8" w:color="auto"/>
            </w:tcBorders>
            <w:shd w:val="clear" w:color="auto" w:fill="F2F2F2"/>
          </w:tcPr>
          <w:p>
            <w:pPr>
              <w:spacing w:after="0" w:line="20" w:lineRule="exact"/>
              <w:rPr>
                <w:sz w:val="1"/>
                <w:szCs w:val="1"/>
                <w:color w:val="auto"/>
              </w:rPr>
            </w:pPr>
          </w:p>
        </w:tc>
        <w:tc>
          <w:tcPr>
            <w:tcW w:w="1020" w:type="dxa"/>
            <w:vAlign w:val="bottom"/>
            <w:tcBorders>
              <w:top w:val="single" w:sz="8" w:color="F2F2F2"/>
            </w:tcBorders>
            <w:shd w:val="clear" w:color="auto" w:fill="F2F2F2"/>
          </w:tcPr>
          <w:p>
            <w:pPr>
              <w:spacing w:after="0" w:line="20" w:lineRule="exact"/>
              <w:rPr>
                <w:sz w:val="1"/>
                <w:szCs w:val="1"/>
                <w:color w:val="auto"/>
              </w:rPr>
            </w:pPr>
          </w:p>
        </w:tc>
        <w:tc>
          <w:tcPr>
            <w:tcW w:w="760" w:type="dxa"/>
            <w:vAlign w:val="bottom"/>
            <w:tcBorders>
              <w:top w:val="single" w:sz="8" w:color="F2F2F2"/>
            </w:tcBorders>
            <w:shd w:val="clear" w:color="auto" w:fill="F2F2F2"/>
          </w:tcPr>
          <w:p>
            <w:pPr>
              <w:spacing w:after="0" w:line="20" w:lineRule="exact"/>
              <w:rPr>
                <w:sz w:val="1"/>
                <w:szCs w:val="1"/>
                <w:color w:val="auto"/>
              </w:rPr>
            </w:pPr>
          </w:p>
        </w:tc>
        <w:tc>
          <w:tcPr>
            <w:tcW w:w="260" w:type="dxa"/>
            <w:vAlign w:val="bottom"/>
            <w:tcBorders>
              <w:top w:val="single" w:sz="8" w:color="auto"/>
            </w:tcBorders>
            <w:shd w:val="clear" w:color="auto" w:fill="F2F2F2"/>
          </w:tcPr>
          <w:p>
            <w:pPr>
              <w:spacing w:after="0" w:line="20" w:lineRule="exact"/>
              <w:rPr>
                <w:sz w:val="1"/>
                <w:szCs w:val="1"/>
                <w:color w:val="auto"/>
              </w:rPr>
            </w:pPr>
          </w:p>
        </w:tc>
        <w:tc>
          <w:tcPr>
            <w:tcW w:w="76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auto"/>
            </w:tcBorders>
            <w:shd w:val="clear" w:color="auto" w:fill="F2F2F2"/>
          </w:tcPr>
          <w:p>
            <w:pPr>
              <w:spacing w:after="0" w:line="20" w:lineRule="exact"/>
              <w:rPr>
                <w:sz w:val="1"/>
                <w:szCs w:val="1"/>
                <w:color w:val="auto"/>
              </w:rPr>
            </w:pPr>
          </w:p>
        </w:tc>
        <w:tc>
          <w:tcPr>
            <w:tcW w:w="58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auto"/>
            </w:tcBorders>
            <w:shd w:val="clear" w:color="auto" w:fill="F2F2F2"/>
          </w:tcPr>
          <w:p>
            <w:pPr>
              <w:spacing w:after="0" w:line="20" w:lineRule="exact"/>
              <w:rPr>
                <w:sz w:val="1"/>
                <w:szCs w:val="1"/>
                <w:color w:val="auto"/>
              </w:rPr>
            </w:pPr>
          </w:p>
        </w:tc>
        <w:tc>
          <w:tcPr>
            <w:tcW w:w="620" w:type="dxa"/>
            <w:vAlign w:val="bottom"/>
            <w:tcBorders>
              <w:top w:val="single" w:sz="8" w:color="F2F2F2"/>
            </w:tcBorders>
            <w:shd w:val="clear" w:color="auto" w:fill="F2F2F2"/>
          </w:tcPr>
          <w:p>
            <w:pPr>
              <w:spacing w:after="0" w:line="20" w:lineRule="exact"/>
              <w:rPr>
                <w:sz w:val="1"/>
                <w:szCs w:val="1"/>
                <w:color w:val="auto"/>
              </w:rPr>
            </w:pPr>
          </w:p>
        </w:tc>
        <w:tc>
          <w:tcPr>
            <w:tcW w:w="520" w:type="dxa"/>
            <w:vAlign w:val="bottom"/>
            <w:tcBorders>
              <w:top w:val="single" w:sz="8" w:color="F2F2F2"/>
            </w:tcBorders>
            <w:shd w:val="clear" w:color="auto" w:fill="F2F2F2"/>
          </w:tcPr>
          <w:p>
            <w:pPr>
              <w:spacing w:after="0" w:line="20" w:lineRule="exact"/>
              <w:rPr>
                <w:sz w:val="1"/>
                <w:szCs w:val="1"/>
                <w:color w:val="auto"/>
              </w:rPr>
            </w:pPr>
          </w:p>
        </w:tc>
        <w:tc>
          <w:tcPr>
            <w:tcW w:w="1320" w:type="dxa"/>
            <w:vAlign w:val="bottom"/>
            <w:tcBorders>
              <w:top w:val="single" w:sz="8" w:color="auto"/>
            </w:tcBorders>
            <w:shd w:val="clear" w:color="auto" w:fill="F2F2F2"/>
          </w:tcPr>
          <w:p>
            <w:pPr>
              <w:spacing w:after="0" w:line="20" w:lineRule="exact"/>
              <w:rPr>
                <w:sz w:val="1"/>
                <w:szCs w:val="1"/>
                <w:color w:val="auto"/>
              </w:rPr>
            </w:pPr>
          </w:p>
        </w:tc>
        <w:tc>
          <w:tcPr>
            <w:tcW w:w="520" w:type="dxa"/>
            <w:vAlign w:val="bottom"/>
            <w:tcBorders>
              <w:top w:val="single" w:sz="8" w:color="F2F2F2"/>
            </w:tcBorders>
            <w:shd w:val="clear" w:color="auto" w:fill="F2F2F2"/>
          </w:tcPr>
          <w:p>
            <w:pPr>
              <w:spacing w:after="0" w:line="20" w:lineRule="exact"/>
              <w:rPr>
                <w:sz w:val="1"/>
                <w:szCs w:val="1"/>
                <w:color w:val="auto"/>
              </w:rPr>
            </w:pPr>
          </w:p>
        </w:tc>
      </w:tr>
      <w:tr>
        <w:trPr>
          <w:trHeight w:val="230"/>
        </w:trPr>
        <w:tc>
          <w:tcPr>
            <w:tcW w:w="26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Colleen E. Jay</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168,376,523</w:t>
            </w: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12,944,967</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51,475</w:t>
            </w:r>
          </w:p>
        </w:tc>
        <w:tc>
          <w:tcPr>
            <w:tcW w:w="620" w:type="dxa"/>
            <w:vAlign w:val="bottom"/>
          </w:tcPr>
          <w:p>
            <w:pPr>
              <w:spacing w:after="0"/>
              <w:rPr>
                <w:sz w:val="19"/>
                <w:szCs w:val="19"/>
                <w:color w:val="auto"/>
              </w:rPr>
            </w:pPr>
          </w:p>
        </w:tc>
        <w:tc>
          <w:tcPr>
            <w:tcW w:w="18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tcPr>
          <w:p>
            <w:pPr>
              <w:spacing w:after="0"/>
              <w:rPr>
                <w:sz w:val="19"/>
                <w:szCs w:val="19"/>
                <w:color w:val="auto"/>
              </w:rPr>
            </w:pPr>
          </w:p>
        </w:tc>
      </w:tr>
      <w:tr>
        <w:trPr>
          <w:trHeight w:val="229"/>
        </w:trPr>
        <w:tc>
          <w:tcPr>
            <w:tcW w:w="2640" w:type="dxa"/>
            <w:vAlign w:val="bottom"/>
            <w:gridSpan w:val="3"/>
            <w:shd w:val="clear" w:color="auto" w:fill="DBDBDB"/>
          </w:tcPr>
          <w:p>
            <w:pPr>
              <w:jc w:val="center"/>
              <w:ind w:right="40"/>
              <w:spacing w:after="0"/>
              <w:rPr>
                <w:sz w:val="20"/>
                <w:szCs w:val="20"/>
                <w:color w:val="auto"/>
              </w:rPr>
            </w:pPr>
            <w:r>
              <w:rPr>
                <w:rFonts w:ascii="Times New Roman" w:cs="Times New Roman" w:eastAsia="Times New Roman" w:hAnsi="Times New Roman"/>
                <w:sz w:val="18"/>
                <w:szCs w:val="18"/>
                <w:color w:val="auto"/>
                <w:w w:val="99"/>
              </w:rPr>
              <w:t>Barbara A. Carbone</w:t>
            </w:r>
          </w:p>
        </w:tc>
        <w:tc>
          <w:tcPr>
            <w:tcW w:w="178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179,479,519</w:t>
            </w:r>
          </w:p>
        </w:tc>
        <w:tc>
          <w:tcPr>
            <w:tcW w:w="170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1,826,628</w:t>
            </w:r>
          </w:p>
        </w:tc>
        <w:tc>
          <w:tcPr>
            <w:tcW w:w="1120" w:type="dxa"/>
            <w:vAlign w:val="bottom"/>
            <w:gridSpan w:val="2"/>
            <w:shd w:val="clear" w:color="auto" w:fill="DBDBDB"/>
          </w:tcPr>
          <w:p>
            <w:pPr>
              <w:jc w:val="center"/>
              <w:ind w:left="450"/>
              <w:spacing w:after="0"/>
              <w:rPr>
                <w:sz w:val="20"/>
                <w:szCs w:val="20"/>
                <w:color w:val="auto"/>
              </w:rPr>
            </w:pPr>
            <w:r>
              <w:rPr>
                <w:rFonts w:ascii="Times New Roman" w:cs="Times New Roman" w:eastAsia="Times New Roman" w:hAnsi="Times New Roman"/>
                <w:sz w:val="18"/>
                <w:szCs w:val="18"/>
                <w:color w:val="auto"/>
              </w:rPr>
              <w:t>66,818</w:t>
            </w:r>
          </w:p>
        </w:tc>
        <w:tc>
          <w:tcPr>
            <w:tcW w:w="620" w:type="dxa"/>
            <w:vAlign w:val="bottom"/>
            <w:shd w:val="clear" w:color="auto" w:fill="DBDBDB"/>
          </w:tcPr>
          <w:p>
            <w:pPr>
              <w:spacing w:after="0"/>
              <w:rPr>
                <w:sz w:val="19"/>
                <w:szCs w:val="19"/>
                <w:color w:val="auto"/>
              </w:rPr>
            </w:pPr>
          </w:p>
        </w:tc>
        <w:tc>
          <w:tcPr>
            <w:tcW w:w="1840" w:type="dxa"/>
            <w:vAlign w:val="bottom"/>
            <w:gridSpan w:val="2"/>
            <w:shd w:val="clear" w:color="auto" w:fill="DBDBDB"/>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shd w:val="clear" w:color="auto" w:fill="DBDBDB"/>
          </w:tcPr>
          <w:p>
            <w:pPr>
              <w:spacing w:after="0"/>
              <w:rPr>
                <w:sz w:val="19"/>
                <w:szCs w:val="19"/>
                <w:color w:val="auto"/>
              </w:rPr>
            </w:pPr>
          </w:p>
        </w:tc>
      </w:tr>
      <w:tr>
        <w:trPr>
          <w:trHeight w:val="229"/>
        </w:trPr>
        <w:tc>
          <w:tcPr>
            <w:tcW w:w="26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Lawrence E. Kurzius</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173,792,254</w:t>
            </w: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7,503,348</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77,363</w:t>
            </w:r>
          </w:p>
        </w:tc>
        <w:tc>
          <w:tcPr>
            <w:tcW w:w="620" w:type="dxa"/>
            <w:vAlign w:val="bottom"/>
          </w:tcPr>
          <w:p>
            <w:pPr>
              <w:spacing w:after="0"/>
              <w:rPr>
                <w:sz w:val="19"/>
                <w:szCs w:val="19"/>
                <w:color w:val="auto"/>
              </w:rPr>
            </w:pPr>
          </w:p>
        </w:tc>
        <w:tc>
          <w:tcPr>
            <w:tcW w:w="18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tcPr>
          <w:p>
            <w:pPr>
              <w:spacing w:after="0"/>
              <w:rPr>
                <w:sz w:val="19"/>
                <w:szCs w:val="19"/>
                <w:color w:val="auto"/>
              </w:rPr>
            </w:pPr>
          </w:p>
        </w:tc>
      </w:tr>
      <w:tr>
        <w:trPr>
          <w:trHeight w:val="230"/>
        </w:trPr>
        <w:tc>
          <w:tcPr>
            <w:tcW w:w="2640" w:type="dxa"/>
            <w:vAlign w:val="bottom"/>
            <w:gridSpan w:val="3"/>
            <w:shd w:val="clear" w:color="auto" w:fill="DBDBDB"/>
          </w:tcPr>
          <w:p>
            <w:pPr>
              <w:jc w:val="center"/>
              <w:ind w:right="60"/>
              <w:spacing w:after="0"/>
              <w:rPr>
                <w:sz w:val="20"/>
                <w:szCs w:val="20"/>
                <w:color w:val="auto"/>
              </w:rPr>
            </w:pPr>
            <w:r>
              <w:rPr>
                <w:rFonts w:ascii="Times New Roman" w:cs="Times New Roman" w:eastAsia="Times New Roman" w:hAnsi="Times New Roman"/>
                <w:sz w:val="18"/>
                <w:szCs w:val="18"/>
                <w:color w:val="auto"/>
              </w:rPr>
              <w:t>Cynthia L. Lucchese</w:t>
            </w:r>
          </w:p>
        </w:tc>
        <w:tc>
          <w:tcPr>
            <w:tcW w:w="178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174,519,348</w:t>
            </w:r>
          </w:p>
        </w:tc>
        <w:tc>
          <w:tcPr>
            <w:tcW w:w="170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6,777,710</w:t>
            </w:r>
          </w:p>
        </w:tc>
        <w:tc>
          <w:tcPr>
            <w:tcW w:w="1120" w:type="dxa"/>
            <w:vAlign w:val="bottom"/>
            <w:gridSpan w:val="2"/>
            <w:shd w:val="clear" w:color="auto" w:fill="DBDBDB"/>
          </w:tcPr>
          <w:p>
            <w:pPr>
              <w:jc w:val="center"/>
              <w:ind w:left="450"/>
              <w:spacing w:after="0"/>
              <w:rPr>
                <w:sz w:val="20"/>
                <w:szCs w:val="20"/>
                <w:color w:val="auto"/>
              </w:rPr>
            </w:pPr>
            <w:r>
              <w:rPr>
                <w:rFonts w:ascii="Times New Roman" w:cs="Times New Roman" w:eastAsia="Times New Roman" w:hAnsi="Times New Roman"/>
                <w:sz w:val="18"/>
                <w:szCs w:val="18"/>
                <w:color w:val="auto"/>
              </w:rPr>
              <w:t>75,907</w:t>
            </w:r>
          </w:p>
        </w:tc>
        <w:tc>
          <w:tcPr>
            <w:tcW w:w="620" w:type="dxa"/>
            <w:vAlign w:val="bottom"/>
            <w:shd w:val="clear" w:color="auto" w:fill="DBDBDB"/>
          </w:tcPr>
          <w:p>
            <w:pPr>
              <w:spacing w:after="0"/>
              <w:rPr>
                <w:sz w:val="19"/>
                <w:szCs w:val="19"/>
                <w:color w:val="auto"/>
              </w:rPr>
            </w:pPr>
          </w:p>
        </w:tc>
        <w:tc>
          <w:tcPr>
            <w:tcW w:w="1840" w:type="dxa"/>
            <w:vAlign w:val="bottom"/>
            <w:gridSpan w:val="2"/>
            <w:shd w:val="clear" w:color="auto" w:fill="DBDBDB"/>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shd w:val="clear" w:color="auto" w:fill="DBDBDB"/>
          </w:tcPr>
          <w:p>
            <w:pPr>
              <w:spacing w:after="0"/>
              <w:rPr>
                <w:sz w:val="19"/>
                <w:szCs w:val="19"/>
                <w:color w:val="auto"/>
              </w:rPr>
            </w:pPr>
          </w:p>
        </w:tc>
      </w:tr>
      <w:tr>
        <w:trPr>
          <w:trHeight w:val="229"/>
        </w:trPr>
        <w:tc>
          <w:tcPr>
            <w:tcW w:w="2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Teresa S. Madden</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178,796,239</w:t>
            </w: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2,498,480</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78,246</w:t>
            </w:r>
          </w:p>
        </w:tc>
        <w:tc>
          <w:tcPr>
            <w:tcW w:w="620" w:type="dxa"/>
            <w:vAlign w:val="bottom"/>
          </w:tcPr>
          <w:p>
            <w:pPr>
              <w:spacing w:after="0"/>
              <w:rPr>
                <w:sz w:val="19"/>
                <w:szCs w:val="19"/>
                <w:color w:val="auto"/>
              </w:rPr>
            </w:pPr>
          </w:p>
        </w:tc>
        <w:tc>
          <w:tcPr>
            <w:tcW w:w="18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tcPr>
          <w:p>
            <w:pPr>
              <w:spacing w:after="0"/>
              <w:rPr>
                <w:sz w:val="19"/>
                <w:szCs w:val="19"/>
                <w:color w:val="auto"/>
              </w:rPr>
            </w:pPr>
          </w:p>
        </w:tc>
      </w:tr>
      <w:tr>
        <w:trPr>
          <w:trHeight w:val="230"/>
        </w:trPr>
        <w:tc>
          <w:tcPr>
            <w:tcW w:w="2640" w:type="dxa"/>
            <w:vAlign w:val="bottom"/>
            <w:gridSpan w:val="3"/>
            <w:shd w:val="clear" w:color="auto" w:fill="DBDBDB"/>
          </w:tcPr>
          <w:p>
            <w:pPr>
              <w:jc w:val="center"/>
              <w:ind w:right="60"/>
              <w:spacing w:after="0"/>
              <w:rPr>
                <w:sz w:val="20"/>
                <w:szCs w:val="20"/>
                <w:color w:val="auto"/>
              </w:rPr>
            </w:pPr>
            <w:r>
              <w:rPr>
                <w:rFonts w:ascii="Times New Roman" w:cs="Times New Roman" w:eastAsia="Times New Roman" w:hAnsi="Times New Roman"/>
                <w:sz w:val="18"/>
                <w:szCs w:val="18"/>
                <w:color w:val="auto"/>
                <w:w w:val="98"/>
              </w:rPr>
              <w:t>Maria Rivas, M.D.</w:t>
            </w:r>
          </w:p>
        </w:tc>
        <w:tc>
          <w:tcPr>
            <w:tcW w:w="178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178,782,933</w:t>
            </w:r>
          </w:p>
        </w:tc>
        <w:tc>
          <w:tcPr>
            <w:tcW w:w="170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2,418,637</w:t>
            </w:r>
          </w:p>
        </w:tc>
        <w:tc>
          <w:tcPr>
            <w:tcW w:w="1740" w:type="dxa"/>
            <w:vAlign w:val="bottom"/>
            <w:gridSpan w:val="3"/>
            <w:shd w:val="clear" w:color="auto" w:fill="DBDBDB"/>
          </w:tcPr>
          <w:p>
            <w:pPr>
              <w:jc w:val="center"/>
              <w:ind w:right="80"/>
              <w:spacing w:after="0"/>
              <w:rPr>
                <w:sz w:val="20"/>
                <w:szCs w:val="20"/>
                <w:color w:val="auto"/>
              </w:rPr>
            </w:pPr>
            <w:r>
              <w:rPr>
                <w:rFonts w:ascii="Times New Roman" w:cs="Times New Roman" w:eastAsia="Times New Roman" w:hAnsi="Times New Roman"/>
                <w:sz w:val="18"/>
                <w:szCs w:val="18"/>
                <w:color w:val="auto"/>
                <w:w w:val="99"/>
              </w:rPr>
              <w:t>171,395</w:t>
            </w:r>
          </w:p>
        </w:tc>
        <w:tc>
          <w:tcPr>
            <w:tcW w:w="1840" w:type="dxa"/>
            <w:vAlign w:val="bottom"/>
            <w:gridSpan w:val="2"/>
            <w:shd w:val="clear" w:color="auto" w:fill="DBDBDB"/>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shd w:val="clear" w:color="auto" w:fill="DBDBDB"/>
          </w:tcPr>
          <w:p>
            <w:pPr>
              <w:spacing w:after="0"/>
              <w:rPr>
                <w:sz w:val="19"/>
                <w:szCs w:val="19"/>
                <w:color w:val="auto"/>
              </w:rPr>
            </w:pPr>
          </w:p>
        </w:tc>
      </w:tr>
      <w:tr>
        <w:trPr>
          <w:trHeight w:val="229"/>
        </w:trPr>
        <w:tc>
          <w:tcPr>
            <w:tcW w:w="2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Walter M Rosebrough, Jr.</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175,933,138</w:t>
            </w: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5,373,457</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66,370</w:t>
            </w:r>
          </w:p>
        </w:tc>
        <w:tc>
          <w:tcPr>
            <w:tcW w:w="620" w:type="dxa"/>
            <w:vAlign w:val="bottom"/>
          </w:tcPr>
          <w:p>
            <w:pPr>
              <w:spacing w:after="0"/>
              <w:rPr>
                <w:sz w:val="19"/>
                <w:szCs w:val="19"/>
                <w:color w:val="auto"/>
              </w:rPr>
            </w:pPr>
          </w:p>
        </w:tc>
        <w:tc>
          <w:tcPr>
            <w:tcW w:w="18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tcPr>
          <w:p>
            <w:pPr>
              <w:spacing w:after="0"/>
              <w:rPr>
                <w:sz w:val="19"/>
                <w:szCs w:val="19"/>
                <w:color w:val="auto"/>
              </w:rPr>
            </w:pPr>
          </w:p>
        </w:tc>
      </w:tr>
      <w:tr>
        <w:trPr>
          <w:trHeight w:val="229"/>
        </w:trPr>
        <w:tc>
          <w:tcPr>
            <w:tcW w:w="2640" w:type="dxa"/>
            <w:vAlign w:val="bottom"/>
            <w:gridSpan w:val="3"/>
            <w:shd w:val="clear" w:color="auto" w:fill="DBDBDB"/>
          </w:tcPr>
          <w:p>
            <w:pPr>
              <w:jc w:val="center"/>
              <w:ind w:right="60"/>
              <w:spacing w:after="0"/>
              <w:rPr>
                <w:sz w:val="20"/>
                <w:szCs w:val="20"/>
                <w:color w:val="auto"/>
              </w:rPr>
            </w:pPr>
            <w:r>
              <w:rPr>
                <w:rFonts w:ascii="Times New Roman" w:cs="Times New Roman" w:eastAsia="Times New Roman" w:hAnsi="Times New Roman"/>
                <w:sz w:val="18"/>
                <w:szCs w:val="18"/>
                <w:color w:val="auto"/>
                <w:w w:val="97"/>
              </w:rPr>
              <w:t>Robert S. Weiss</w:t>
            </w:r>
          </w:p>
        </w:tc>
        <w:tc>
          <w:tcPr>
            <w:tcW w:w="178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175,426,010</w:t>
            </w:r>
          </w:p>
        </w:tc>
        <w:tc>
          <w:tcPr>
            <w:tcW w:w="170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5,876,764</w:t>
            </w:r>
          </w:p>
        </w:tc>
        <w:tc>
          <w:tcPr>
            <w:tcW w:w="1120" w:type="dxa"/>
            <w:vAlign w:val="bottom"/>
            <w:gridSpan w:val="2"/>
            <w:shd w:val="clear" w:color="auto" w:fill="DBDBDB"/>
          </w:tcPr>
          <w:p>
            <w:pPr>
              <w:jc w:val="center"/>
              <w:ind w:left="450"/>
              <w:spacing w:after="0"/>
              <w:rPr>
                <w:sz w:val="20"/>
                <w:szCs w:val="20"/>
                <w:color w:val="auto"/>
              </w:rPr>
            </w:pPr>
            <w:r>
              <w:rPr>
                <w:rFonts w:ascii="Times New Roman" w:cs="Times New Roman" w:eastAsia="Times New Roman" w:hAnsi="Times New Roman"/>
                <w:sz w:val="18"/>
                <w:szCs w:val="18"/>
                <w:color w:val="auto"/>
              </w:rPr>
              <w:t>70,191</w:t>
            </w:r>
          </w:p>
        </w:tc>
        <w:tc>
          <w:tcPr>
            <w:tcW w:w="620" w:type="dxa"/>
            <w:vAlign w:val="bottom"/>
            <w:shd w:val="clear" w:color="auto" w:fill="DBDBDB"/>
          </w:tcPr>
          <w:p>
            <w:pPr>
              <w:spacing w:after="0"/>
              <w:rPr>
                <w:sz w:val="19"/>
                <w:szCs w:val="19"/>
                <w:color w:val="auto"/>
              </w:rPr>
            </w:pPr>
          </w:p>
        </w:tc>
        <w:tc>
          <w:tcPr>
            <w:tcW w:w="1840" w:type="dxa"/>
            <w:vAlign w:val="bottom"/>
            <w:gridSpan w:val="2"/>
            <w:shd w:val="clear" w:color="auto" w:fill="DBDBDB"/>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shd w:val="clear" w:color="auto" w:fill="DBDBDB"/>
          </w:tcPr>
          <w:p>
            <w:pPr>
              <w:spacing w:after="0"/>
              <w:rPr>
                <w:sz w:val="19"/>
                <w:szCs w:val="19"/>
                <w:color w:val="auto"/>
              </w:rPr>
            </w:pPr>
          </w:p>
        </w:tc>
      </w:tr>
      <w:tr>
        <w:trPr>
          <w:trHeight w:val="234"/>
        </w:trPr>
        <w:tc>
          <w:tcPr>
            <w:tcW w:w="2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Albert G. White III</w:t>
            </w: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176,978,118</w:t>
            </w:r>
          </w:p>
        </w:tc>
        <w:tc>
          <w:tcPr>
            <w:tcW w:w="17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1,540,013</w:t>
            </w:r>
          </w:p>
        </w:tc>
        <w:tc>
          <w:tcPr>
            <w:tcW w:w="1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2,854,834</w:t>
            </w:r>
          </w:p>
        </w:tc>
        <w:tc>
          <w:tcPr>
            <w:tcW w:w="18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4,861,794</w:t>
            </w:r>
          </w:p>
        </w:tc>
        <w:tc>
          <w:tcPr>
            <w:tcW w:w="520" w:type="dxa"/>
            <w:vAlign w:val="bottom"/>
          </w:tcPr>
          <w:p>
            <w:pPr>
              <w:spacing w:after="0"/>
              <w:rPr>
                <w:sz w:val="20"/>
                <w:szCs w:val="20"/>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Independent Registered Public Accounting Firm</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appointment of KPMG LLP to serve as the Company's independent registered public accounting firm for the fiscal year ending October 31, 2026 was ratified.</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shd w:val="clear" w:color="auto" w:fill="F2F2F2"/>
          </w:tcPr>
          <w:p>
            <w:pPr>
              <w:spacing w:after="0"/>
              <w:rPr>
                <w:sz w:val="18"/>
                <w:szCs w:val="18"/>
                <w:color w:val="auto"/>
              </w:rPr>
            </w:pPr>
          </w:p>
        </w:tc>
        <w:tc>
          <w:tcPr>
            <w:tcW w:w="2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4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5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760" w:type="dxa"/>
            <w:vAlign w:val="bottom"/>
            <w:shd w:val="clear" w:color="auto" w:fill="F2F2F2"/>
          </w:tcPr>
          <w:p>
            <w:pPr>
              <w:spacing w:after="0"/>
              <w:rPr>
                <w:sz w:val="18"/>
                <w:szCs w:val="18"/>
                <w:color w:val="auto"/>
              </w:rPr>
            </w:pPr>
          </w:p>
        </w:tc>
        <w:tc>
          <w:tcPr>
            <w:tcW w:w="1880" w:type="dxa"/>
            <w:vAlign w:val="bottom"/>
            <w:gridSpan w:val="3"/>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2500" w:type="dxa"/>
            <w:vAlign w:val="bottom"/>
            <w:gridSpan w:val="3"/>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840" w:type="dxa"/>
            <w:vAlign w:val="bottom"/>
            <w:tcBorders>
              <w:top w:val="single" w:sz="8" w:color="F2F2F2"/>
            </w:tcBorders>
            <w:shd w:val="clear" w:color="auto" w:fill="F2F2F2"/>
          </w:tcPr>
          <w:p>
            <w:pPr>
              <w:spacing w:after="0" w:line="20" w:lineRule="exact"/>
              <w:rPr>
                <w:sz w:val="1"/>
                <w:szCs w:val="1"/>
                <w:color w:val="auto"/>
              </w:rPr>
            </w:pPr>
          </w:p>
        </w:tc>
        <w:tc>
          <w:tcPr>
            <w:tcW w:w="260" w:type="dxa"/>
            <w:vAlign w:val="bottom"/>
            <w:tcBorders>
              <w:top w:val="single" w:sz="8" w:color="auto"/>
            </w:tcBorders>
            <w:shd w:val="clear" w:color="auto" w:fill="F2F2F2"/>
          </w:tcPr>
          <w:p>
            <w:pPr>
              <w:spacing w:after="0" w:line="20" w:lineRule="exact"/>
              <w:rPr>
                <w:sz w:val="1"/>
                <w:szCs w:val="1"/>
                <w:color w:val="auto"/>
              </w:rPr>
            </w:pPr>
          </w:p>
        </w:tc>
        <w:tc>
          <w:tcPr>
            <w:tcW w:w="940" w:type="dxa"/>
            <w:vAlign w:val="bottom"/>
            <w:tcBorders>
              <w:top w:val="single" w:sz="8" w:color="F2F2F2"/>
            </w:tcBorders>
            <w:shd w:val="clear" w:color="auto" w:fill="F2F2F2"/>
          </w:tcPr>
          <w:p>
            <w:pPr>
              <w:spacing w:after="0" w:line="20" w:lineRule="exact"/>
              <w:rPr>
                <w:sz w:val="1"/>
                <w:szCs w:val="1"/>
                <w:color w:val="auto"/>
              </w:rPr>
            </w:pPr>
          </w:p>
        </w:tc>
        <w:tc>
          <w:tcPr>
            <w:tcW w:w="72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auto"/>
            </w:tcBorders>
            <w:shd w:val="clear" w:color="auto" w:fill="F2F2F2"/>
          </w:tcPr>
          <w:p>
            <w:pPr>
              <w:spacing w:after="0" w:line="20" w:lineRule="exact"/>
              <w:rPr>
                <w:sz w:val="1"/>
                <w:szCs w:val="1"/>
                <w:color w:val="auto"/>
              </w:rPr>
            </w:pPr>
          </w:p>
        </w:tc>
        <w:tc>
          <w:tcPr>
            <w:tcW w:w="76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auto"/>
            </w:tcBorders>
            <w:shd w:val="clear" w:color="auto" w:fill="F2F2F2"/>
          </w:tcPr>
          <w:p>
            <w:pPr>
              <w:spacing w:after="0" w:line="20" w:lineRule="exact"/>
              <w:rPr>
                <w:sz w:val="1"/>
                <w:szCs w:val="1"/>
                <w:color w:val="auto"/>
              </w:rPr>
            </w:pPr>
          </w:p>
        </w:tc>
        <w:tc>
          <w:tcPr>
            <w:tcW w:w="620" w:type="dxa"/>
            <w:vAlign w:val="bottom"/>
            <w:tcBorders>
              <w:top w:val="single" w:sz="8" w:color="F2F2F2"/>
            </w:tcBorders>
            <w:shd w:val="clear" w:color="auto" w:fill="F2F2F2"/>
          </w:tcPr>
          <w:p>
            <w:pPr>
              <w:spacing w:after="0" w:line="20" w:lineRule="exact"/>
              <w:rPr>
                <w:sz w:val="1"/>
                <w:szCs w:val="1"/>
                <w:color w:val="auto"/>
              </w:rPr>
            </w:pPr>
          </w:p>
        </w:tc>
        <w:tc>
          <w:tcPr>
            <w:tcW w:w="600" w:type="dxa"/>
            <w:vAlign w:val="bottom"/>
            <w:tcBorders>
              <w:top w:val="single" w:sz="8" w:color="F2F2F2"/>
            </w:tcBorders>
            <w:shd w:val="clear" w:color="auto" w:fill="F2F2F2"/>
          </w:tcPr>
          <w:p>
            <w:pPr>
              <w:spacing w:after="0" w:line="20" w:lineRule="exact"/>
              <w:rPr>
                <w:sz w:val="1"/>
                <w:szCs w:val="1"/>
                <w:color w:val="auto"/>
              </w:rPr>
            </w:pPr>
          </w:p>
        </w:tc>
        <w:tc>
          <w:tcPr>
            <w:tcW w:w="1320" w:type="dxa"/>
            <w:vAlign w:val="bottom"/>
            <w:tcBorders>
              <w:top w:val="single" w:sz="8" w:color="auto"/>
            </w:tcBorders>
            <w:shd w:val="clear" w:color="auto" w:fill="F2F2F2"/>
          </w:tcPr>
          <w:p>
            <w:pPr>
              <w:spacing w:after="0" w:line="20" w:lineRule="exact"/>
              <w:rPr>
                <w:sz w:val="1"/>
                <w:szCs w:val="1"/>
                <w:color w:val="auto"/>
              </w:rPr>
            </w:pPr>
          </w:p>
        </w:tc>
        <w:tc>
          <w:tcPr>
            <w:tcW w:w="580" w:type="dxa"/>
            <w:vAlign w:val="bottom"/>
            <w:tcBorders>
              <w:top w:val="single" w:sz="8" w:color="F2F2F2"/>
            </w:tcBorders>
            <w:shd w:val="clear" w:color="auto" w:fill="F2F2F2"/>
          </w:tcPr>
          <w:p>
            <w:pPr>
              <w:spacing w:after="0" w:line="20" w:lineRule="exact"/>
              <w:rPr>
                <w:sz w:val="1"/>
                <w:szCs w:val="1"/>
                <w:color w:val="auto"/>
              </w:rPr>
            </w:pPr>
          </w:p>
        </w:tc>
      </w:tr>
      <w:tr>
        <w:trPr>
          <w:trHeight w:val="234"/>
        </w:trPr>
        <w:tc>
          <w:tcPr>
            <w:tcW w:w="20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177,458,340</w:t>
            </w:r>
          </w:p>
        </w:tc>
        <w:tc>
          <w:tcPr>
            <w:tcW w:w="20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8,734,644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41,775</w:t>
            </w:r>
          </w:p>
        </w:tc>
        <w:tc>
          <w:tcPr>
            <w:tcW w:w="62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Advisory Vote on Executive Compensation</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stockholders adopted, on an advisory basis, a resolution approving the compensation of the Company's Named Executive Officers as presented in the Proxy Statement.</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shd w:val="clear" w:color="auto" w:fill="F2F2F2"/>
          </w:tcPr>
          <w:p>
            <w:pPr>
              <w:spacing w:after="0"/>
              <w:rPr>
                <w:sz w:val="18"/>
                <w:szCs w:val="18"/>
                <w:color w:val="auto"/>
              </w:rPr>
            </w:pPr>
          </w:p>
        </w:tc>
        <w:tc>
          <w:tcPr>
            <w:tcW w:w="2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2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5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780" w:type="dxa"/>
            <w:vAlign w:val="bottom"/>
            <w:shd w:val="clear" w:color="auto" w:fill="F2F2F2"/>
          </w:tcPr>
          <w:p>
            <w:pPr>
              <w:spacing w:after="0"/>
              <w:rPr>
                <w:sz w:val="18"/>
                <w:szCs w:val="18"/>
                <w:color w:val="auto"/>
              </w:rPr>
            </w:pPr>
          </w:p>
        </w:tc>
        <w:tc>
          <w:tcPr>
            <w:tcW w:w="1860" w:type="dxa"/>
            <w:vAlign w:val="bottom"/>
            <w:gridSpan w:val="3"/>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2500" w:type="dxa"/>
            <w:vAlign w:val="bottom"/>
            <w:gridSpan w:val="3"/>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840" w:type="dxa"/>
            <w:vAlign w:val="bottom"/>
            <w:tcBorders>
              <w:top w:val="single" w:sz="8" w:color="F2F2F2"/>
            </w:tcBorders>
            <w:shd w:val="clear" w:color="auto" w:fill="F2F2F2"/>
          </w:tcPr>
          <w:p>
            <w:pPr>
              <w:spacing w:after="0" w:line="20" w:lineRule="exact"/>
              <w:rPr>
                <w:sz w:val="1"/>
                <w:szCs w:val="1"/>
                <w:color w:val="auto"/>
              </w:rPr>
            </w:pPr>
          </w:p>
        </w:tc>
        <w:tc>
          <w:tcPr>
            <w:tcW w:w="260" w:type="dxa"/>
            <w:vAlign w:val="bottom"/>
            <w:tcBorders>
              <w:top w:val="single" w:sz="8" w:color="auto"/>
            </w:tcBorders>
            <w:shd w:val="clear" w:color="auto" w:fill="F2F2F2"/>
          </w:tcPr>
          <w:p>
            <w:pPr>
              <w:spacing w:after="0" w:line="20" w:lineRule="exact"/>
              <w:rPr>
                <w:sz w:val="1"/>
                <w:szCs w:val="1"/>
                <w:color w:val="auto"/>
              </w:rPr>
            </w:pPr>
          </w:p>
        </w:tc>
        <w:tc>
          <w:tcPr>
            <w:tcW w:w="920" w:type="dxa"/>
            <w:vAlign w:val="bottom"/>
            <w:tcBorders>
              <w:top w:val="single" w:sz="8" w:color="F2F2F2"/>
            </w:tcBorders>
            <w:shd w:val="clear" w:color="auto" w:fill="F2F2F2"/>
          </w:tcPr>
          <w:p>
            <w:pPr>
              <w:spacing w:after="0" w:line="20" w:lineRule="exact"/>
              <w:rPr>
                <w:sz w:val="1"/>
                <w:szCs w:val="1"/>
                <w:color w:val="auto"/>
              </w:rPr>
            </w:pPr>
          </w:p>
        </w:tc>
        <w:tc>
          <w:tcPr>
            <w:tcW w:w="74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auto"/>
            </w:tcBorders>
            <w:shd w:val="clear" w:color="auto" w:fill="F2F2F2"/>
          </w:tcPr>
          <w:p>
            <w:pPr>
              <w:spacing w:after="0" w:line="20" w:lineRule="exact"/>
              <w:rPr>
                <w:sz w:val="1"/>
                <w:szCs w:val="1"/>
                <w:color w:val="auto"/>
              </w:rPr>
            </w:pPr>
          </w:p>
        </w:tc>
        <w:tc>
          <w:tcPr>
            <w:tcW w:w="780" w:type="dxa"/>
            <w:vAlign w:val="bottom"/>
            <w:tcBorders>
              <w:top w:val="single" w:sz="8" w:color="F2F2F2"/>
            </w:tcBorders>
            <w:shd w:val="clear" w:color="auto" w:fill="F2F2F2"/>
          </w:tcPr>
          <w:p>
            <w:pPr>
              <w:spacing w:after="0" w:line="20" w:lineRule="exact"/>
              <w:rPr>
                <w:sz w:val="1"/>
                <w:szCs w:val="1"/>
                <w:color w:val="auto"/>
              </w:rPr>
            </w:pPr>
          </w:p>
        </w:tc>
        <w:tc>
          <w:tcPr>
            <w:tcW w:w="680" w:type="dxa"/>
            <w:vAlign w:val="bottom"/>
            <w:tcBorders>
              <w:top w:val="single" w:sz="8" w:color="F2F2F2"/>
            </w:tcBorders>
            <w:shd w:val="clear" w:color="auto" w:fill="F2F2F2"/>
          </w:tcPr>
          <w:p>
            <w:pPr>
              <w:spacing w:after="0" w:line="20" w:lineRule="exact"/>
              <w:rPr>
                <w:sz w:val="1"/>
                <w:szCs w:val="1"/>
                <w:color w:val="auto"/>
              </w:rPr>
            </w:pPr>
          </w:p>
        </w:tc>
        <w:tc>
          <w:tcPr>
            <w:tcW w:w="560" w:type="dxa"/>
            <w:vAlign w:val="bottom"/>
            <w:tcBorders>
              <w:top w:val="single" w:sz="8" w:color="auto"/>
            </w:tcBorders>
            <w:shd w:val="clear" w:color="auto" w:fill="F2F2F2"/>
          </w:tcPr>
          <w:p>
            <w:pPr>
              <w:spacing w:after="0" w:line="20" w:lineRule="exact"/>
              <w:rPr>
                <w:sz w:val="1"/>
                <w:szCs w:val="1"/>
                <w:color w:val="auto"/>
              </w:rPr>
            </w:pPr>
          </w:p>
        </w:tc>
        <w:tc>
          <w:tcPr>
            <w:tcW w:w="620" w:type="dxa"/>
            <w:vAlign w:val="bottom"/>
            <w:tcBorders>
              <w:top w:val="single" w:sz="8" w:color="F2F2F2"/>
            </w:tcBorders>
            <w:shd w:val="clear" w:color="auto" w:fill="F2F2F2"/>
          </w:tcPr>
          <w:p>
            <w:pPr>
              <w:spacing w:after="0" w:line="20" w:lineRule="exact"/>
              <w:rPr>
                <w:sz w:val="1"/>
                <w:szCs w:val="1"/>
                <w:color w:val="auto"/>
              </w:rPr>
            </w:pPr>
          </w:p>
        </w:tc>
        <w:tc>
          <w:tcPr>
            <w:tcW w:w="600" w:type="dxa"/>
            <w:vAlign w:val="bottom"/>
            <w:tcBorders>
              <w:top w:val="single" w:sz="8" w:color="F2F2F2"/>
            </w:tcBorders>
            <w:shd w:val="clear" w:color="auto" w:fill="F2F2F2"/>
          </w:tcPr>
          <w:p>
            <w:pPr>
              <w:spacing w:after="0" w:line="20" w:lineRule="exact"/>
              <w:rPr>
                <w:sz w:val="1"/>
                <w:szCs w:val="1"/>
                <w:color w:val="auto"/>
              </w:rPr>
            </w:pPr>
          </w:p>
        </w:tc>
        <w:tc>
          <w:tcPr>
            <w:tcW w:w="1320" w:type="dxa"/>
            <w:vAlign w:val="bottom"/>
            <w:tcBorders>
              <w:top w:val="single" w:sz="8" w:color="auto"/>
            </w:tcBorders>
            <w:shd w:val="clear" w:color="auto" w:fill="F2F2F2"/>
          </w:tcPr>
          <w:p>
            <w:pPr>
              <w:spacing w:after="0" w:line="20" w:lineRule="exact"/>
              <w:rPr>
                <w:sz w:val="1"/>
                <w:szCs w:val="1"/>
                <w:color w:val="auto"/>
              </w:rPr>
            </w:pPr>
          </w:p>
        </w:tc>
        <w:tc>
          <w:tcPr>
            <w:tcW w:w="580" w:type="dxa"/>
            <w:vAlign w:val="bottom"/>
            <w:tcBorders>
              <w:top w:val="single" w:sz="8" w:color="F2F2F2"/>
            </w:tcBorders>
            <w:shd w:val="clear" w:color="auto" w:fill="F2F2F2"/>
          </w:tcPr>
          <w:p>
            <w:pPr>
              <w:spacing w:after="0" w:line="20" w:lineRule="exact"/>
              <w:rPr>
                <w:sz w:val="1"/>
                <w:szCs w:val="1"/>
                <w:color w:val="auto"/>
              </w:rPr>
            </w:pPr>
          </w:p>
        </w:tc>
      </w:tr>
      <w:tr>
        <w:trPr>
          <w:trHeight w:val="234"/>
        </w:trPr>
        <w:tc>
          <w:tcPr>
            <w:tcW w:w="20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162,890,748</w:t>
            </w:r>
          </w:p>
        </w:tc>
        <w:tc>
          <w:tcPr>
            <w:tcW w:w="20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18,385,667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96,550</w:t>
            </w:r>
          </w:p>
        </w:tc>
        <w:tc>
          <w:tcPr>
            <w:tcW w:w="62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4,861,794</w:t>
            </w:r>
          </w:p>
        </w:tc>
        <w:tc>
          <w:tcPr>
            <w:tcW w:w="580" w:type="dxa"/>
            <w:vAlign w:val="bottom"/>
          </w:tcPr>
          <w:p>
            <w:pPr>
              <w:spacing w:after="0"/>
              <w:rPr>
                <w:sz w:val="20"/>
                <w:szCs w:val="20"/>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940" w:type="dxa"/>
            <w:vAlign w:val="bottom"/>
          </w:tcPr>
          <w:p>
            <w:pPr>
              <w:spacing w:after="0"/>
              <w:rPr>
                <w:sz w:val="18"/>
                <w:szCs w:val="18"/>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800" w:type="dxa"/>
            <w:vAlign w:val="bottom"/>
          </w:tcPr>
          <w:p>
            <w:pPr>
              <w:spacing w:after="0"/>
              <w:rPr>
                <w:sz w:val="21"/>
                <w:szCs w:val="21"/>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0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COOPER COMPANIES,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spacing w:after="0"/>
        <w:tabs>
          <w:tab w:leader="none" w:pos="660" w:val="left"/>
        </w:tabs>
        <w:rPr>
          <w:sz w:val="20"/>
          <w:szCs w:val="20"/>
          <w:color w:val="auto"/>
        </w:rPr>
      </w:pPr>
      <w:r>
        <w:rPr>
          <w:rFonts w:ascii="Times New Roman" w:cs="Times New Roman" w:eastAsia="Times New Roman" w:hAnsi="Times New Roman"/>
          <w:sz w:val="18"/>
          <w:szCs w:val="18"/>
          <w:color w:val="auto"/>
        </w:rPr>
        <w:t>By:</w:t>
        <w:tab/>
        <w:t>/s/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-7620</wp:posOffset>
            </wp:positionV>
            <wp:extent cx="1158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Daniel G. McBride</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Executive Vice President, Chief Operating Officer, General Counsel &amp;</w:t>
      </w:r>
    </w:p>
    <w:p>
      <w:pPr>
        <w:spacing w:after="0" w:line="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Secretary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8, 2026</w:t>
      </w:r>
    </w:p>
    <w:sectPr>
      <w:pgSz w:w="11900" w:h="16838" w:orient="portrait"/>
      <w:cols w:equalWidth="0" w:num="1">
        <w:col w:w="10700"/>
      </w:cols>
      <w:pgMar w:left="320" w:top="103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2026-04-08T15:55:13Z</dcterms:created>
  <dcterms:modified xsi:type="dcterms:W3CDTF">2026-04-08T15:55:13Z</dcterms:modified>
</cp:coreProperties>
</file>