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9191" w:type="dxa"/>
        <w:jc w:val="center"/>
        <w:tblInd w:w="0" w:type="dxa"/>
        <w:tblLayout w:type="fixed"/>
        <w:tblCellMar>
          <w:top w:w="28" w:type="dxa"/>
          <w:left w:w="28" w:type="dxa"/>
          <w:bottom w:w="28" w:type="dxa"/>
          <w:right w:w="28" w:type="dxa"/>
        </w:tblCellMar>
      </w:tblPr>
      <w:tblGrid>
        <w:gridCol w:w="124"/>
        <w:gridCol w:w="109"/>
        <w:gridCol w:w="109"/>
        <w:gridCol w:w="2587"/>
        <w:gridCol w:w="2587"/>
        <w:gridCol w:w="3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January 31, 2025</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1-8597 </w:t>
      </w:r>
    </w:p>
    <w:p>
      <w:pPr>
        <w:pStyle w:val="TextBody"/>
        <w:bidi w:val="0"/>
        <w:spacing w:lineRule="auto" w:line="288" w:before="60" w:after="6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The Cooper Companies,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94-2657368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6101 Bollinger Canyon Road, Suite 500,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San Ramon, California 94583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(925) 460-3600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199,981,183 shares of Common Stock, $0.10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INDEX</w:t>
      </w:r>
    </w:p>
    <w:p>
      <w:pPr>
        <w:pStyle w:val="TextBody"/>
        <w:bidi w:val="0"/>
        <w:spacing w:lineRule="auto" w:line="288" w:before="0" w:after="0"/>
        <w:jc w:val="left"/>
        <w:rPr>
          <w:color w:val="000000"/>
        </w:rPr>
      </w:pPr>
      <w:r>
        <w:rPr>
          <w:color w:val="000000"/>
        </w:rPr>
        <w:t> </w:t>
      </w:r>
    </w:p>
    <w:tbl>
      <w:tblPr>
        <w:tblW w:w="9062" w:type="dxa"/>
        <w:jc w:val="left"/>
        <w:tblInd w:w="0" w:type="dxa"/>
        <w:tblLayout w:type="fixed"/>
        <w:tblCellMar>
          <w:top w:w="28" w:type="dxa"/>
          <w:left w:w="28" w:type="dxa"/>
          <w:bottom w:w="28" w:type="dxa"/>
          <w:right w:w="28" w:type="dxa"/>
        </w:tblCellMar>
      </w:tblPr>
      <w:tblGrid>
        <w:gridCol w:w="298"/>
        <w:gridCol w:w="263"/>
        <w:gridCol w:w="265"/>
        <w:gridCol w:w="2453"/>
        <w:gridCol w:w="2453"/>
        <w:gridCol w:w="2459"/>
        <w:gridCol w:w="255"/>
        <w:gridCol w:w="255"/>
        <w:gridCol w:w="36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Page No.</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3">
              <w:r>
                <w:rPr>
                  <w:rStyle w:val="InternetLink"/>
                  <w:rFonts w:ascii="Times New Roman;sans-serif" w:hAnsi="Times New Roman;sans-serif"/>
                  <w:b w:val="false"/>
                  <w:color w:val="0000FF"/>
                  <w:sz w:val="19"/>
                  <w:u w:val="single"/>
                </w:rPr>
                <w:t>FINANCIAL INFORMATION</w:t>
              </w:r>
            </w:hyperlink>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6">
              <w:r>
                <w:rPr>
                  <w:rStyle w:val="InternetLink"/>
                  <w:rFonts w:ascii="Times New Roman;sans-serif" w:hAnsi="Times New Roman;sans-serif"/>
                  <w:b w:val="false"/>
                  <w:color w:val="0000FF"/>
                  <w:sz w:val="19"/>
                  <w:u w:val="single"/>
                </w:rPr>
                <w:t>Unaudited Financial Statements</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9">
              <w:r>
                <w:rPr>
                  <w:rStyle w:val="InternetLink"/>
                  <w:rFonts w:ascii="Times New Roman;sans-serif" w:hAnsi="Times New Roman;sans-serif"/>
                  <w:b w:val="false"/>
                  <w:color w:val="0000FF"/>
                  <w:sz w:val="19"/>
                  <w:u w:val="single"/>
                </w:rPr>
                <w:t>Consolidated Condensed Statements of Income and Comprehensive Income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9">
              <w:r>
                <w:rPr>
                  <w:rStyle w:val="InternetLink"/>
                  <w:rFonts w:ascii="Times New Roman;sans-serif" w:hAnsi="Times New Roman;sans-serif"/>
                  <w:b w:val="false"/>
                  <w:color w:val="0000FF"/>
                  <w:sz w:val="19"/>
                  <w:u w:val="singl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22">
              <w:r>
                <w:rPr>
                  <w:rStyle w:val="InternetLink"/>
                  <w:rFonts w:ascii="Times New Roman;sans-serif" w:hAnsi="Times New Roman;sans-serif"/>
                  <w:b w:val="false"/>
                  <w:color w:val="0000FF"/>
                  <w:sz w:val="19"/>
                  <w:u w:val="single"/>
                </w:rPr>
                <w:t>Consolidated Condensed Balance Sheets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22">
              <w:r>
                <w:rPr>
                  <w:rStyle w:val="InternetLink"/>
                  <w:rFonts w:ascii="Times New Roman;sans-serif" w:hAnsi="Times New Roman;sans-serif"/>
                  <w:b w:val="false"/>
                  <w:color w:val="0000FF"/>
                  <w:sz w:val="19"/>
                  <w:u w:val="singl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25">
              <w:r>
                <w:rPr>
                  <w:rStyle w:val="InternetLink"/>
                  <w:rFonts w:ascii="Times New Roman;sans-serif" w:hAnsi="Times New Roman;sans-serif"/>
                  <w:b w:val="false"/>
                  <w:color w:val="0000FF"/>
                  <w:sz w:val="19"/>
                  <w:u w:val="single"/>
                </w:rPr>
                <w:t>Consolidated Condensed Statements of Stockholders'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25">
              <w:r>
                <w:rPr>
                  <w:rStyle w:val="InternetLink"/>
                  <w:rFonts w:ascii="Times New Roman;sans-serif" w:hAnsi="Times New Roman;sans-serif"/>
                  <w:b w:val="false"/>
                  <w:color w:val="0000FF"/>
                  <w:sz w:val="19"/>
                  <w:u w:val="single"/>
                </w:rPr>
                <w:t>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28">
              <w:r>
                <w:rPr>
                  <w:rStyle w:val="InternetLink"/>
                  <w:rFonts w:ascii="Times New Roman;sans-serif" w:hAnsi="Times New Roman;sans-serif"/>
                  <w:b w:val="false"/>
                  <w:color w:val="0000FF"/>
                  <w:sz w:val="19"/>
                  <w:u w:val="single"/>
                </w:rPr>
                <w:t>Consolidated Condensed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28">
              <w:r>
                <w:rPr>
                  <w:rStyle w:val="InternetLink"/>
                  <w:rFonts w:ascii="Times New Roman;sans-serif" w:hAnsi="Times New Roman;sans-serif"/>
                  <w:b w:val="false"/>
                  <w:color w:val="0000FF"/>
                  <w:sz w:val="19"/>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34">
              <w:r>
                <w:rPr>
                  <w:rStyle w:val="InternetLink"/>
                  <w:rFonts w:ascii="Times New Roman;sans-serif" w:hAnsi="Times New Roman;sans-serif"/>
                  <w:b w:val="false"/>
                  <w:color w:val="0000FF"/>
                  <w:sz w:val="19"/>
                  <w:u w:val="single"/>
                </w:rPr>
                <w:t>Notes to Consolidated Condensed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34">
              <w:r>
                <w:rPr>
                  <w:rStyle w:val="InternetLink"/>
                  <w:rFonts w:ascii="Times New Roman;sans-serif" w:hAnsi="Times New Roman;sans-serif"/>
                  <w:b w:val="false"/>
                  <w:color w:val="0000FF"/>
                  <w:sz w:val="19"/>
                  <w:u w:val="singl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70">
              <w:r>
                <w:rPr>
                  <w:rStyle w:val="InternetLink"/>
                  <w:rFonts w:ascii="Times New Roman;sans-serif" w:hAnsi="Times New Roman;sans-serif"/>
                  <w:b w:val="false"/>
                  <w:color w:val="0000FF"/>
                  <w:sz w:val="19"/>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70">
              <w:r>
                <w:rPr>
                  <w:rStyle w:val="InternetLink"/>
                  <w:rFonts w:ascii="Times New Roman;sans-serif" w:hAnsi="Times New Roman;sans-serif"/>
                  <w:b w:val="false"/>
                  <w:color w:val="0000FF"/>
                  <w:sz w:val="19"/>
                  <w:u w:val="single"/>
                </w:rPr>
                <w:t>16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85">
              <w:r>
                <w:rPr>
                  <w:rStyle w:val="InternetLink"/>
                  <w:rFonts w:ascii="Times New Roman;sans-serif" w:hAnsi="Times New Roman;sans-serif"/>
                  <w:b w:val="false"/>
                  <w:color w:val="0000FF"/>
                  <w:sz w:val="19"/>
                  <w:u w:val="single"/>
                </w:rPr>
                <w:t>Quantitative and Qualitative Disclosure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85">
              <w:r>
                <w:rPr>
                  <w:rStyle w:val="InternetLink"/>
                  <w:rFonts w:ascii="Times New Roman;sans-serif" w:hAnsi="Times New Roman;sans-serif"/>
                  <w:b w:val="false"/>
                  <w:color w:val="0000FF"/>
                  <w:sz w:val="19"/>
                  <w:u w:val="single"/>
                </w:rPr>
                <w:t>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88">
              <w:r>
                <w:rPr>
                  <w:rStyle w:val="InternetLink"/>
                  <w:rFonts w:ascii="Times New Roman;sans-serif" w:hAnsi="Times New Roman;sans-serif"/>
                  <w:b w:val="false"/>
                  <w:color w:val="0000FF"/>
                  <w:sz w:val="19"/>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88">
              <w:r>
                <w:rPr>
                  <w:rStyle w:val="InternetLink"/>
                  <w:rFonts w:ascii="Times New Roman;sans-serif" w:hAnsi="Times New Roman;sans-serif"/>
                  <w:b w:val="false"/>
                  <w:color w:val="0000FF"/>
                  <w:sz w:val="19"/>
                  <w:u w:val="single"/>
                </w:rPr>
                <w:t>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91">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94">
              <w:r>
                <w:rPr>
                  <w:rStyle w:val="InternetLink"/>
                  <w:rFonts w:ascii="Times New Roman;sans-serif" w:hAnsi="Times New Roman;sans-serif"/>
                  <w:b w:val="false"/>
                  <w:color w:val="0000FF"/>
                  <w:sz w:val="19"/>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94">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97">
              <w:r>
                <w:rPr>
                  <w:rStyle w:val="InternetLink"/>
                  <w:rFonts w:ascii="Times New Roman;sans-serif" w:hAnsi="Times New Roman;sans-serif"/>
                  <w:b w:val="false"/>
                  <w:color w:val="0000FF"/>
                  <w:sz w:val="19"/>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97">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00">
              <w:r>
                <w:rPr>
                  <w:rStyle w:val="InternetLink"/>
                  <w:rFonts w:ascii="Times New Roman;sans-serif" w:hAnsi="Times New Roman;sans-serif"/>
                  <w:b w:val="false"/>
                  <w:color w:val="0000FF"/>
                  <w:sz w:val="19"/>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00">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03">
              <w:r>
                <w:rPr>
                  <w:rStyle w:val="InternetLink"/>
                  <w:rFonts w:ascii="Times New Roman;sans-serif" w:hAnsi="Times New Roman;sans-serif"/>
                  <w:b w:val="false"/>
                  <w:color w:val="0000FF"/>
                  <w:sz w:val="19"/>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03">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06">
              <w:r>
                <w:rPr>
                  <w:rStyle w:val="InternetLink"/>
                  <w:rFonts w:ascii="Times New Roman;sans-serif" w:hAnsi="Times New Roman;sans-serif"/>
                  <w:b w:val="false"/>
                  <w:color w:val="0000FF"/>
                  <w:sz w:val="19"/>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06">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09">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09">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12">
              <w:r>
                <w:rPr>
                  <w:rStyle w:val="InternetLink"/>
                  <w:rFonts w:ascii="Times New Roman;sans-serif" w:hAnsi="Times New Roman;sans-serif"/>
                  <w:b w:val="false"/>
                  <w:color w:val="0000FF"/>
                  <w:sz w:val="19"/>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12">
              <w:r>
                <w:rPr>
                  <w:rStyle w:val="InternetLink"/>
                  <w:rFonts w:ascii="Times New Roman;sans-serif" w:hAnsi="Times New Roman;sans-serif"/>
                  <w:b w:val="false"/>
                  <w:color w:val="0000FF"/>
                  <w:sz w:val="19"/>
                  <w:u w:val="single"/>
                </w:rPr>
                <w:t>29</w:t>
              </w:r>
            </w:hyperlink>
          </w:p>
        </w:tc>
      </w:tr>
      <w:tr>
        <w:trPr/>
        <w:tc>
          <w:tcPr>
            <w:tcW w:w="81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0da7576249407bb15e0767b47778b4_115">
              <w:r>
                <w:rPr>
                  <w:rStyle w:val="InternetLink"/>
                  <w:rFonts w:ascii="Times New Roman;sans-serif" w:hAnsi="Times New Roman;sans-serif"/>
                  <w:b w:val="false"/>
                  <w:color w:val="0000FF"/>
                  <w:sz w:val="19"/>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da7576249407bb15e0767b47778b4_115">
              <w:r>
                <w:rPr>
                  <w:rStyle w:val="InternetLink"/>
                  <w:rFonts w:ascii="Times New Roman;sans-serif" w:hAnsi="Times New Roman;sans-serif"/>
                  <w:b w:val="false"/>
                  <w:color w:val="0000FF"/>
                  <w:sz w:val="19"/>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Income and Comprehensive Income</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Periods Ended January 31, </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for earnings per share)</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7134" w:type="dxa"/>
        <w:jc w:val="left"/>
        <w:tblInd w:w="0" w:type="dxa"/>
        <w:tblLayout w:type="fixed"/>
        <w:tblCellMar>
          <w:top w:w="28" w:type="dxa"/>
          <w:left w:w="28" w:type="dxa"/>
          <w:bottom w:w="28" w:type="dxa"/>
          <w:right w:w="28" w:type="dxa"/>
        </w:tblCellMar>
      </w:tblPr>
      <w:tblGrid>
        <w:gridCol w:w="1909"/>
        <w:gridCol w:w="1262"/>
        <w:gridCol w:w="1283"/>
        <w:gridCol w:w="211"/>
        <w:gridCol w:w="616"/>
        <w:gridCol w:w="109"/>
        <w:gridCol w:w="109"/>
        <w:gridCol w:w="109"/>
        <w:gridCol w:w="109"/>
        <w:gridCol w:w="211"/>
        <w:gridCol w:w="616"/>
        <w:gridCol w:w="109"/>
        <w:gridCol w:w="109"/>
        <w:gridCol w:w="109"/>
        <w:gridCol w:w="109"/>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Earnings per share (Note 7):</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Number of shares used to compute earnings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Balance Sheets</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10205" w:type="dxa"/>
        <w:jc w:val="left"/>
        <w:tblInd w:w="0" w:type="dxa"/>
        <w:tblLayout w:type="fixed"/>
        <w:tblCellMar>
          <w:top w:w="28" w:type="dxa"/>
          <w:left w:w="28" w:type="dxa"/>
          <w:bottom w:w="28" w:type="dxa"/>
          <w:right w:w="28" w:type="dxa"/>
        </w:tblCellMar>
      </w:tblPr>
      <w:tblGrid>
        <w:gridCol w:w="2895"/>
        <w:gridCol w:w="2127"/>
        <w:gridCol w:w="2101"/>
        <w:gridCol w:w="240"/>
        <w:gridCol w:w="995"/>
        <w:gridCol w:w="124"/>
        <w:gridCol w:w="109"/>
        <w:gridCol w:w="109"/>
        <w:gridCol w:w="109"/>
        <w:gridCol w:w="237"/>
        <w:gridCol w:w="981"/>
        <w:gridCol w:w="178"/>
      </w:tblGrid>
      <w:tr>
        <w:trPr/>
        <w:tc>
          <w:tcPr>
            <w:tcW w:w="2895"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net of allowance for credit losses of $48.1 at January 31, 2025, and $43.5 at October 31, 2024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(Note 3)</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 and other current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1,951.5 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1,864.7 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3,792.1 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intangibles, net (Note 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(Note 5)</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compensation and benefits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(Note 3)</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(Note 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tax payable</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(Note 3)</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4,094.7 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Contingencies (Note 10)</w:t>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$0.10 par value, 1.0 shares authorized, zero shares issued or outstanding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$0.10 par value, 480.0 shares authorized, 217.5 issued and 199.9 outstanding at January 31, 2025, and 217.2 issued and 199.6 outstanding at October 31, 2024</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17.6 shares at January 31, 2025, and 17.6 shares at October 31, 2024</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 stockholders’ equity</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 (Note 9)</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8,127.5 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12,222.2 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center"/>
        <w:rPr/>
      </w:pPr>
      <w:r>
        <w:rPr/>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Stockholders' Equity</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per share amounts)</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1473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63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2024</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7,695.3 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8,127.5 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Cash Flows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Three Months Ended January 31, </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8574" w:type="dxa"/>
        <w:jc w:val="left"/>
        <w:tblInd w:w="0" w:type="dxa"/>
        <w:tblLayout w:type="fixed"/>
        <w:tblCellMar>
          <w:top w:w="28" w:type="dxa"/>
          <w:left w:w="28" w:type="dxa"/>
          <w:bottom w:w="28" w:type="dxa"/>
          <w:right w:w="28" w:type="dxa"/>
        </w:tblCellMar>
      </w:tblPr>
      <w:tblGrid>
        <w:gridCol w:w="2290"/>
        <w:gridCol w:w="2012"/>
        <w:gridCol w:w="2028"/>
        <w:gridCol w:w="211"/>
        <w:gridCol w:w="616"/>
        <w:gridCol w:w="109"/>
        <w:gridCol w:w="109"/>
        <w:gridCol w:w="109"/>
        <w:gridCol w:w="109"/>
        <w:gridCol w:w="211"/>
        <w:gridCol w:w="61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operating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Acquisitions of businesses and assets, net of cash acquired,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long-term debt,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installment payment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proceeds from short-term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(payments) proceeds related to share-based compensation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employee stock purchase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flow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 included in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 General</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2024. The Consolidated Condensed Financial Statements include all adjustments (consisting only of normal recurring adjustments) and accruals necessary in the judgment of management for a fair presentation of the results for the interim periods presented.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Policies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 have been no material changes to our significant accounting policies described in our Annual Report on Form 10-K for the fiscal year ended October 31,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Pronouncements Issued But Not Yet Adopted</w:t>
      </w:r>
    </w:p>
    <w:p>
      <w:pPr>
        <w:pStyle w:val="TextBody"/>
        <w:bidi w:val="0"/>
        <w:spacing w:lineRule="auto" w:line="288" w:before="180" w:after="283"/>
        <w:jc w:val="left"/>
        <w:rPr/>
      </w:pPr>
      <w:r>
        <w:rPr>
          <w:rFonts w:ascii="Times New Roman;sans-serif" w:hAnsi="Times New Roman;sans-serif"/>
          <w:b w:val="false"/>
          <w:color w:val="000000"/>
          <w:sz w:val="19"/>
        </w:rPr>
        <w:t xml:space="preserve">In November 2024, the Financial Accounting Standards Board (FASB) issued Accounting Standards Update (ASU) 2024-03, </w:t>
      </w:r>
      <w:r>
        <w:rPr>
          <w:rFonts w:ascii="Times New Roman;sans-serif" w:hAnsi="Times New Roman;sans-serif"/>
          <w:b w:val="false"/>
          <w:i/>
          <w:color w:val="000000"/>
          <w:sz w:val="19"/>
        </w:rPr>
        <w:t>Income Statement - Reporting Comprehensive Income - Expense Disaggregation Disclosures (Subtopic 220-40): Disaggregation of Income Statement Expenses</w:t>
      </w:r>
      <w:r>
        <w:rPr>
          <w:rFonts w:ascii="Times New Roman;sans-serif" w:hAnsi="Times New Roman;sans-serif"/>
          <w:b w:val="false"/>
          <w:color w:val="000000"/>
          <w:sz w:val="19"/>
        </w:rPr>
        <w:t>,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pStyle w:val="TextBody"/>
        <w:bidi w:val="0"/>
        <w:spacing w:lineRule="auto" w:line="288" w:before="180" w:after="283"/>
        <w:jc w:val="left"/>
        <w:rPr/>
      </w:pPr>
      <w:r>
        <w:rPr>
          <w:rFonts w:ascii="Times New Roman;sans-serif" w:hAnsi="Times New Roman;sans-serif"/>
          <w:b w:val="false"/>
          <w:color w:val="000000"/>
          <w:sz w:val="19"/>
        </w:rPr>
        <w:t xml:space="preserve">In December 2023, the FASB issued ASU 2023-09, </w:t>
      </w:r>
      <w:r>
        <w:rPr>
          <w:rFonts w:ascii="Times New Roman;sans-serif" w:hAnsi="Times New Roman;sans-serif"/>
          <w:b w:val="false"/>
          <w:i/>
          <w:color w:val="000000"/>
          <w:sz w:val="19"/>
        </w:rPr>
        <w:t>Income Taxes (Topic 740): Improvements to Income Tax Disclosures.</w:t>
      </w:r>
      <w:r>
        <w:rPr>
          <w:color w:val="000000"/>
        </w:rPr>
        <w:t xml:space="preserve"> </w:t>
      </w:r>
      <w:r>
        <w:rPr>
          <w:rFonts w:ascii="Times New Roman;sans-serif" w:hAnsi="Times New Roman;sans-serif"/>
          <w:b w:val="false"/>
          <w:color w:val="000000"/>
          <w:sz w:val="19"/>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 and expect to adopt this ASU for the fiscal year ending October 31, 2026.</w:t>
      </w:r>
    </w:p>
    <w:p>
      <w:pPr>
        <w:pStyle w:val="TextBody"/>
        <w:bidi w:val="0"/>
        <w:spacing w:lineRule="auto" w:line="288" w:before="180" w:after="283"/>
        <w:jc w:val="left"/>
        <w:rPr/>
      </w:pPr>
      <w:r>
        <w:rPr>
          <w:rFonts w:ascii="Times New Roman;sans-serif" w:hAnsi="Times New Roman;sans-serif"/>
          <w:b w:val="false"/>
          <w:color w:val="000000"/>
          <w:sz w:val="19"/>
        </w:rPr>
        <w:t xml:space="preserve">In November 2023, the FASB issued ASU 2023-07, </w:t>
      </w:r>
      <w:r>
        <w:rPr>
          <w:rFonts w:ascii="Times New Roman;sans-serif" w:hAnsi="Times New Roman;sans-serif"/>
          <w:b w:val="false"/>
          <w:i/>
          <w:color w:val="000000"/>
          <w:sz w:val="19"/>
        </w:rPr>
        <w:t>Segment Reporting (Topic 280): Improvements to Reportable Segment Disclosures</w:t>
      </w:r>
      <w:r>
        <w:rPr>
          <w:rFonts w:ascii="Times New Roman;sans-serif" w:hAnsi="Times New Roman;sans-serif"/>
          <w:b w:val="false"/>
          <w:color w:val="000000"/>
          <w:sz w:val="19"/>
        </w:rPr>
        <w:t>, which enhances the disclosures required for operating segments in our annual and interim consolidated financial statements. The ASU is effective for fiscal years beginning after December 15, 2023, and interim periods within fiscal years beginning after December 15, 2024, which means it will be effective from our fiscal year ended October 31, 2025, and interim periods within fiscal years beginning from November 1, 2025, and will be applied retrospectively. We expect the adoption of this standard to expand our disclosures related to our operating segments beginning with our Annual Report on Form 10-K for the fiscal year ending October 31, 2025.</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 other recently issued accounting pronouncements had or are expected to have a material impact on our Consolidated Condensed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2. Acquisitions and Joint Venture</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All acquisitions were funded by cash generated from operations or facility borrowings.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August 1, 2024, CooperSurgical completed the acquisition of obp Surgical, a U.S.-based medical device company with a suite of single-use cordless surgical retractors with integrated light source and evacuation channels. The purchase price of the acquisition was $100.0 million. Assets acquired consisted primarily of $45.6 million of developed technology, $8.5 million of customer relationships, $7.7 million of inventory, $5.4 million of other net assets, and $50.6 million of goodwill, which is primarily related to expected synergies from combined operations.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June 7, 2024, CooperSurgical acquired a fertility company that specializes in sperm separation devices. The purchase price of the acquisition was $33.5 million. The Company accounted for this acquisition as an asset acquisition, whereby the Company allocated the total cost of the acquisition to the net assets acquired on the basis of their estimated relative fair values on the acquisition date. The primary asset acquired in this asset acquisition is a composite intangible asset of $39.6 million. The value of the composite intangible asset reflects, in addition to the purchase price, a deferred tax liability of $8.3 million arising from book/tax basis differences generated upon the acquisition. The composite intangible asset encompasses the portfolio of intellectual property associated with the sperm separation devices including the patents, trademarks, customer relationships, regulatory approvals, and commercialization rights, which have been valued as a single composite intangible asset as they are inextricably linked.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Assets acquired primarily comprised of $157.9 million of technologies, $26.6 million of customer relationship related intangibles, and $107.2 million of goodwill. The goodwill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3. Balance Sheet Components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Inventories</w:t>
      </w:r>
    </w:p>
    <w:tbl>
      <w:tblPr>
        <w:tblW w:w="5037" w:type="dxa"/>
        <w:jc w:val="left"/>
        <w:tblInd w:w="0" w:type="dxa"/>
        <w:tblLayout w:type="fixed"/>
        <w:tblCellMar>
          <w:top w:w="28" w:type="dxa"/>
          <w:left w:w="28" w:type="dxa"/>
          <w:bottom w:w="28" w:type="dxa"/>
          <w:right w:w="28" w:type="dxa"/>
        </w:tblCellMar>
      </w:tblPr>
      <w:tblGrid>
        <w:gridCol w:w="599"/>
        <w:gridCol w:w="456"/>
        <w:gridCol w:w="460"/>
        <w:gridCol w:w="358"/>
        <w:gridCol w:w="1047"/>
        <w:gridCol w:w="185"/>
        <w:gridCol w:w="109"/>
        <w:gridCol w:w="109"/>
        <w:gridCol w:w="109"/>
        <w:gridCol w:w="345"/>
        <w:gridCol w:w="1008"/>
        <w:gridCol w:w="252"/>
      </w:tblGrid>
      <w:tr>
        <w:trPr/>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Work-in-process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Finished goods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inventories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842.9 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802.7 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Deferred revenue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recognized revenue of approximately $32.5 million and $31.0 million for the three months ended January 31, 2025 and 2024 respectively, that was included in the deferred revenue balance at October 31, 2024 and October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4. Intangible Assets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861"/>
        <w:gridCol w:w="563"/>
        <w:gridCol w:w="548"/>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09"/>
        <w:gridCol w:w="109"/>
        <w:gridCol w:w="661"/>
        <w:gridCol w:w="661"/>
        <w:gridCol w:w="939"/>
      </w:tblGrid>
      <w:tr>
        <w:trPr/>
        <w:tc>
          <w:tcPr>
            <w:tcW w:w="8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Weighted-Average Amortization Period</w:t>
            </w:r>
          </w:p>
          <w:p>
            <w:pPr>
              <w:pStyle w:val="TableContents"/>
              <w:bidi w:val="0"/>
              <w:spacing w:lineRule="auto" w:line="288" w:before="0" w:after="200"/>
              <w:jc w:val="center"/>
              <w:rPr>
                <w:rFonts w:ascii="Times New Roman;sans-serif" w:hAnsi="Times New Roman;sans-serif"/>
                <w:b/>
                <w:color w:val="000000"/>
                <w:sz w:val="19"/>
              </w:rPr>
            </w:pPr>
            <w:r>
              <w:rPr>
                <w:rFonts w:ascii="Times New Roman;sans-serif" w:hAnsi="Times New Roman;sans-serif"/>
                <w:b/>
                <w:color w:val="000000"/>
                <w:sz w:val="19"/>
              </w:rPr>
              <w:t>(in years)</w:t>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Composite intangible assets </w:t>
            </w:r>
            <w:r>
              <w:rPr>
                <w:rFonts w:ascii="Times New Roman;sans-serif" w:hAnsi="Times New Roman;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Trademarks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License and distribution rights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Intangible assets with indefinite lives, net </w:t>
            </w:r>
            <w:r>
              <w:rPr>
                <w:rFonts w:ascii="Times New Roman;sans-serif" w:hAnsi="Times New Roman;sans-serif"/>
                <w:b w:val="false"/>
                <w:color w:val="000000"/>
                <w:sz w:val="12"/>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i/>
          <w:color w:val="000000"/>
          <w:sz w:val="11"/>
        </w:rPr>
        <w:t xml:space="preserve">(1) </w:t>
      </w:r>
      <w:r>
        <w:rPr>
          <w:rFonts w:ascii="Times New Roman;sans-serif" w:hAnsi="Times New Roman;sans-serif"/>
          <w:b w:val="false"/>
          <w:i/>
          <w:color w:val="000000"/>
          <w:sz w:val="17"/>
        </w:rPr>
        <w:t>Composite intangible assets primarily consist of technology, trade name, New Drug Application approval and physician relationships</w:t>
      </w:r>
      <w:r>
        <w:rPr>
          <w:rFonts w:ascii="Times New Roman;sans-serif" w:hAnsi="Times New Roman;sans-serif"/>
          <w:b w:val="false"/>
          <w:color w:val="000000"/>
          <w:sz w:val="19"/>
        </w:rPr>
        <w:t xml:space="preserve">. </w:t>
      </w:r>
      <w:r>
        <w:rPr>
          <w:rFonts w:ascii="Times New Roman;sans-serif" w:hAnsi="Times New Roman;sans-serif"/>
          <w:b w:val="false"/>
          <w:i/>
          <w:color w:val="000000"/>
          <w:sz w:val="17"/>
        </w:rPr>
        <w:t>The components are not reflected separately or within the corresponding categories because they are inextricably linked.</w:t>
      </w:r>
    </w:p>
    <w:p>
      <w:pPr>
        <w:pStyle w:val="TextBody"/>
        <w:bidi w:val="0"/>
        <w:spacing w:lineRule="auto" w:line="288" w:before="180" w:after="283"/>
        <w:jc w:val="both"/>
        <w:rPr/>
      </w:pPr>
      <w:r>
        <w:rPr>
          <w:rFonts w:ascii="Times New Roman;sans-serif" w:hAnsi="Times New Roman;sans-serif"/>
          <w:b w:val="false"/>
          <w:i/>
          <w:color w:val="000000"/>
          <w:sz w:val="11"/>
        </w:rPr>
        <w:t xml:space="preserve">(2) </w:t>
      </w:r>
      <w:r>
        <w:rPr>
          <w:rFonts w:ascii="Times New Roman;sans-serif" w:hAnsi="Times New Roman;sans-serif"/>
          <w:b w:val="false"/>
          <w:i/>
          <w:color w:val="000000"/>
          <w:sz w:val="17"/>
        </w:rPr>
        <w:t>Intangible assets with indefinite lives include technology and trademarks.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Balances include foreign currency translation adjustments. </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January 31, 2025, the estimate of future amortization expenses for intangible assets with definite lives is as follows:</w:t>
      </w:r>
    </w:p>
    <w:tbl>
      <w:tblPr>
        <w:tblW w:w="6869" w:type="dxa"/>
        <w:jc w:val="left"/>
        <w:tblInd w:w="0" w:type="dxa"/>
        <w:tblLayout w:type="fixed"/>
        <w:tblCellMar>
          <w:top w:w="28" w:type="dxa"/>
          <w:left w:w="28" w:type="dxa"/>
          <w:bottom w:w="28" w:type="dxa"/>
          <w:right w:w="28" w:type="dxa"/>
        </w:tblCellMar>
      </w:tblPr>
      <w:tblGrid>
        <w:gridCol w:w="2052"/>
        <w:gridCol w:w="1811"/>
        <w:gridCol w:w="1821"/>
        <w:gridCol w:w="221"/>
        <w:gridCol w:w="803"/>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Remainder of 2025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2027</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2028</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2029</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There was no material impairment of goodwill or intangible assets recorded in the three months ended January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5. Financing Arrangements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 had outstanding debt as follows:</w:t>
      </w:r>
    </w:p>
    <w:tbl>
      <w:tblPr>
        <w:tblW w:w="7165" w:type="dxa"/>
        <w:jc w:val="left"/>
        <w:tblInd w:w="0" w:type="dxa"/>
        <w:tblLayout w:type="fixed"/>
        <w:tblCellMar>
          <w:top w:w="28" w:type="dxa"/>
          <w:left w:w="28" w:type="dxa"/>
          <w:bottom w:w="28" w:type="dxa"/>
          <w:right w:w="28" w:type="dxa"/>
        </w:tblCellMar>
      </w:tblPr>
      <w:tblGrid>
        <w:gridCol w:w="1322"/>
        <w:gridCol w:w="1158"/>
        <w:gridCol w:w="1164"/>
        <w:gridCol w:w="309"/>
        <w:gridCol w:w="1122"/>
        <w:gridCol w:w="159"/>
        <w:gridCol w:w="109"/>
        <w:gridCol w:w="109"/>
        <w:gridCol w:w="109"/>
        <w:gridCol w:w="299"/>
        <w:gridCol w:w="1087"/>
        <w:gridCol w:w="21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excluding financing leases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Revolving credit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1,049.2 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Term loans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unamortized debt issuance cost</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excluding financing leases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2,548.0 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debt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2,539.9 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2,583.7 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Additional information regarding our indebtedness is included in our notes to our consolidated financial statements in our Annual Report on Form 10-K for the fiscal year ended October 31, 2024. The carrying value of the Company's revolving credit facility and term loans approximates fair value based on current market rates (Level 2). As of January 31, 2025, the Company was in compliance with all debt covenants.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Revolving Credit Agreement on May 1, 2024</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pays an annual commitment fee that ranges from 0.10% to 0.20% of the unused portion of the 2024 Revolving Credit Facility based upon the Company’s Total Leverage Ratio, as defined in the 2024 Credit Agreement.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2024 Credit Agreement contains customary restrictive covenants, as well as financial covenants that require the Company to maintain a certain Total Leverage Ratio and Interest Coverage Ratio, each as defined in the 2024 Credit Agreement, consistent with the 2020 Credit Agreement discussed below.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January 31, 2025, the Company had $990.2 million outstanding under the 2024 Revolving Credit Facility and the weighted-average interest rate on the 2024 Revolving Credit Facility was 5.44%.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Term Loan Agreement on December 17, 2021</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January 31, 2025, the Company had $1,500.0 million outstanding under the 2021 Term Loan Facility and the interest rate was 5.31%.</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Revolving Credit and Term Loan Agreement on April 1, 2020</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provided for (a) a multicurrency revolving credit facility (the 2020 Revolving Credit Facility) in an aggregate principal amount of $1,290.0 million and (b) a term loan facility (the 2020 Term Loan Facility) in an aggregate principal amount of $850.0 million, each of which, unless terminated earlier, mature on April 1, 2025. The Company had an uncommitted option to increase the revolving credit facility or establish a new term loan in an aggregate amount up to $1,605.0 million.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May 1, 2024, in connection with the Company's entry into the 2024 Credit Agreement, the Company terminated the 2020 Credit Agreement. In connection with the termination, all borrowings outstanding under the 2020 Credit Agreement were repaid.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6. Income Taxes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effective tax rates for the three months ended January 31, 2025, and January 31, 2024, were 32.0% and 32.4%, respectively. The decrease was primarily due to changes in unrecognized tax benefits and changes in the geographic composition of pre-tax earnings, partially offset by a decrease in excess tax benefits from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7. Earnings Per Share</w:t>
      </w:r>
    </w:p>
    <w:tbl>
      <w:tblPr>
        <w:tblW w:w="6084" w:type="dxa"/>
        <w:jc w:val="left"/>
        <w:tblInd w:w="0" w:type="dxa"/>
        <w:tblLayout w:type="fixed"/>
        <w:tblCellMar>
          <w:top w:w="28" w:type="dxa"/>
          <w:left w:w="28" w:type="dxa"/>
          <w:bottom w:w="28" w:type="dxa"/>
          <w:right w:w="28" w:type="dxa"/>
        </w:tblCellMar>
      </w:tblPr>
      <w:tblGrid>
        <w:gridCol w:w="1269"/>
        <w:gridCol w:w="1119"/>
        <w:gridCol w:w="1121"/>
        <w:gridCol w:w="211"/>
        <w:gridCol w:w="616"/>
        <w:gridCol w:w="109"/>
        <w:gridCol w:w="109"/>
        <w:gridCol w:w="109"/>
        <w:gridCol w:w="109"/>
        <w:gridCol w:w="211"/>
        <w:gridCol w:w="511"/>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 except per share amounts)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Basic:</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dilutive stock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weighted-average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Diluted earnings per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7133" w:type="dxa"/>
        <w:jc w:val="left"/>
        <w:tblInd w:w="0" w:type="dxa"/>
        <w:tblLayout w:type="fixed"/>
        <w:tblCellMar>
          <w:top w:w="28" w:type="dxa"/>
          <w:left w:w="28" w:type="dxa"/>
          <w:bottom w:w="28" w:type="dxa"/>
          <w:right w:w="28" w:type="dxa"/>
        </w:tblCellMar>
      </w:tblPr>
      <w:tblGrid>
        <w:gridCol w:w="1166"/>
        <w:gridCol w:w="1028"/>
        <w:gridCol w:w="1031"/>
        <w:gridCol w:w="543"/>
        <w:gridCol w:w="543"/>
        <w:gridCol w:w="413"/>
        <w:gridCol w:w="143"/>
        <w:gridCol w:w="143"/>
        <w:gridCol w:w="143"/>
        <w:gridCol w:w="582"/>
        <w:gridCol w:w="582"/>
        <w:gridCol w:w="335"/>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thousands, except exercise prices)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option shares excluded</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 prices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 units excluded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8. Share-Based Compensation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has several stock plans that are described in the Company’s Annual Report on Form 10</w:t>
        <w:noBreakHyphen/>
        <w:t>K for the fiscal year ended October 31, 2024. The compensation expense and related income tax benefit recognized in our Consolidated Condensed Statements of Income and Comprehensive Income for share-based awards, including the Employee Stock Purchase Plan,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tbl>
      <w:tblPr>
        <w:tblW w:w="6130" w:type="dxa"/>
        <w:jc w:val="left"/>
        <w:tblInd w:w="0" w:type="dxa"/>
        <w:tblLayout w:type="fixed"/>
        <w:tblCellMar>
          <w:top w:w="28" w:type="dxa"/>
          <w:left w:w="28" w:type="dxa"/>
          <w:bottom w:w="28" w:type="dxa"/>
          <w:right w:w="28" w:type="dxa"/>
        </w:tblCellMar>
      </w:tblPr>
      <w:tblGrid>
        <w:gridCol w:w="1323"/>
        <w:gridCol w:w="1167"/>
        <w:gridCol w:w="1170"/>
        <w:gridCol w:w="211"/>
        <w:gridCol w:w="511"/>
        <w:gridCol w:w="109"/>
        <w:gridCol w:w="109"/>
        <w:gridCol w:w="109"/>
        <w:gridCol w:w="109"/>
        <w:gridCol w:w="211"/>
        <w:gridCol w:w="511"/>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9. Stockholders' Equity</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Analysis of Changes in Accumulated Other Comprehensive Loss:</w:t>
      </w:r>
    </w:p>
    <w:tbl>
      <w:tblPr>
        <w:tblW w:w="10205" w:type="dxa"/>
        <w:jc w:val="left"/>
        <w:tblInd w:w="0" w:type="dxa"/>
        <w:tblLayout w:type="fixed"/>
        <w:tblCellMar>
          <w:top w:w="28" w:type="dxa"/>
          <w:left w:w="28" w:type="dxa"/>
          <w:bottom w:w="28" w:type="dxa"/>
          <w:right w:w="28" w:type="dxa"/>
        </w:tblCellMar>
      </w:tblPr>
      <w:tblGrid>
        <w:gridCol w:w="666"/>
        <w:gridCol w:w="584"/>
        <w:gridCol w:w="586"/>
        <w:gridCol w:w="608"/>
        <w:gridCol w:w="1822"/>
        <w:gridCol w:w="316"/>
        <w:gridCol w:w="109"/>
        <w:gridCol w:w="109"/>
        <w:gridCol w:w="109"/>
        <w:gridCol w:w="539"/>
        <w:gridCol w:w="1076"/>
        <w:gridCol w:w="280"/>
        <w:gridCol w:w="109"/>
        <w:gridCol w:w="109"/>
        <w:gridCol w:w="109"/>
        <w:gridCol w:w="433"/>
        <w:gridCol w:w="1050"/>
        <w:gridCol w:w="224"/>
        <w:gridCol w:w="109"/>
        <w:gridCol w:w="109"/>
        <w:gridCol w:w="109"/>
        <w:gridCol w:w="211"/>
        <w:gridCol w:w="669"/>
        <w:gridCol w:w="160"/>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2024</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2024</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bookmarkStart w:id="0" w:name="ie9404f0c36e84ab1adf01c4a7eb76c26_7-7-1-"/>
            <w:bookmarkEnd w:id="0"/>
            <w:r>
              <w:rPr>
                <w:rFonts w:ascii="Times New Roman;sans-serif" w:hAnsi="Times New Roman;sans-serif"/>
                <w:b w:val="false"/>
                <w:color w:val="000000"/>
                <w:sz w:val="19"/>
              </w:rPr>
              <w:t>(69.2)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2025</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(528.4)</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(490.4)</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 Repurchases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March 2017, the authorization under the 2012 Share Repurchase Program was increased to $1.0 billion by the Company's Board of Directors. As of January 31, 2025, $256.4 million remains authorized for repurchase.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three months ended January 31, 2025 and 2024, there were no share repurchases.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Dividends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2023, the Company's Board of Directors decided to end the declaration of a semiannual dividend.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10. Contingencies and Commitments</w:t>
      </w:r>
    </w:p>
    <w:p>
      <w:pPr>
        <w:pStyle w:val="TextBody"/>
        <w:bidi w:val="0"/>
        <w:spacing w:lineRule="auto" w:line="288" w:before="180" w:after="283"/>
        <w:jc w:val="left"/>
        <w:rPr/>
      </w:pPr>
      <w:r>
        <w:rPr>
          <w:rFonts w:ascii="Times New Roman;sans-serif" w:hAnsi="Times New Roman;sans-serif"/>
          <w:b w:val="false"/>
          <w:color w:val="000000"/>
          <w:sz w:val="19"/>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sans-serif" w:hAnsi="Times New Roman;sans-serif"/>
          <w:b w:val="false"/>
          <w:i/>
          <w:color w:val="000000"/>
          <w:sz w:val="19"/>
        </w:rPr>
        <w:t>Contingencies</w:t>
      </w:r>
      <w:r>
        <w:rPr>
          <w:rFonts w:ascii="Times New Roman;sans-serif" w:hAnsi="Times New Roman;sans-serif"/>
          <w:b w:val="false"/>
          <w:color w:val="000000"/>
          <w:sz w:val="19"/>
        </w:rPr>
        <w:t>. Legal fees are expensed as incurred.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2025, the Company entered into additional leases that have not yet commenced in order to expand manufacturing as well as research and development capacity. The undiscounted lease payments are estimated at $167.8 million for leases that will commence between the fourth quarter of fiscal 2025 through fiscal 2026, with initial terms ranging from 20 to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11. Business Segment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tables present revenue and other financial information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Segment information:</w:t>
      </w:r>
    </w:p>
    <w:tbl>
      <w:tblPr>
        <w:tblW w:w="5547" w:type="dxa"/>
        <w:jc w:val="left"/>
        <w:tblInd w:w="0" w:type="dxa"/>
        <w:tblLayout w:type="fixed"/>
        <w:tblCellMar>
          <w:top w:w="28" w:type="dxa"/>
          <w:left w:w="28" w:type="dxa"/>
          <w:bottom w:w="28" w:type="dxa"/>
          <w:right w:w="28" w:type="dxa"/>
        </w:tblCellMar>
      </w:tblPr>
      <w:tblGrid>
        <w:gridCol w:w="1155"/>
        <w:gridCol w:w="1018"/>
        <w:gridCol w:w="1021"/>
        <w:gridCol w:w="211"/>
        <w:gridCol w:w="616"/>
        <w:gridCol w:w="109"/>
        <w:gridCol w:w="109"/>
        <w:gridCol w:w="109"/>
        <w:gridCol w:w="109"/>
        <w:gridCol w:w="211"/>
        <w:gridCol w:w="616"/>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net sales by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CooperVision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net sales by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CooperSurgical net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expense,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767"/>
        <w:gridCol w:w="672"/>
        <w:gridCol w:w="676"/>
        <w:gridCol w:w="281"/>
        <w:gridCol w:w="1163"/>
        <w:gridCol w:w="145"/>
        <w:gridCol w:w="109"/>
        <w:gridCol w:w="109"/>
        <w:gridCol w:w="109"/>
        <w:gridCol w:w="274"/>
        <w:gridCol w:w="1131"/>
        <w:gridCol w:w="200"/>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identifiable assets: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7,259.1 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12,222.2 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Geographic information:</w:t>
      </w:r>
    </w:p>
    <w:tbl>
      <w:tblPr>
        <w:tblW w:w="7103" w:type="dxa"/>
        <w:jc w:val="left"/>
        <w:tblInd w:w="0" w:type="dxa"/>
        <w:tblLayout w:type="fixed"/>
        <w:tblCellMar>
          <w:top w:w="28" w:type="dxa"/>
          <w:left w:w="28" w:type="dxa"/>
          <w:bottom w:w="28" w:type="dxa"/>
          <w:right w:w="28" w:type="dxa"/>
        </w:tblCellMar>
      </w:tblPr>
      <w:tblGrid>
        <w:gridCol w:w="1757"/>
        <w:gridCol w:w="1549"/>
        <w:gridCol w:w="1553"/>
        <w:gridCol w:w="211"/>
        <w:gridCol w:w="616"/>
        <w:gridCol w:w="109"/>
        <w:gridCol w:w="109"/>
        <w:gridCol w:w="109"/>
        <w:gridCol w:w="109"/>
        <w:gridCol w:w="211"/>
        <w:gridCol w:w="61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 by country of domicile: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95" w:type="dxa"/>
        <w:jc w:val="left"/>
        <w:tblInd w:w="0" w:type="dxa"/>
        <w:tblLayout w:type="fixed"/>
        <w:tblCellMar>
          <w:top w:w="28" w:type="dxa"/>
          <w:left w:w="28" w:type="dxa"/>
          <w:bottom w:w="28" w:type="dxa"/>
          <w:right w:w="28" w:type="dxa"/>
        </w:tblCellMar>
      </w:tblPr>
      <w:tblGrid>
        <w:gridCol w:w="1768"/>
        <w:gridCol w:w="1549"/>
        <w:gridCol w:w="1557"/>
        <w:gridCol w:w="309"/>
        <w:gridCol w:w="1122"/>
        <w:gridCol w:w="159"/>
        <w:gridCol w:w="109"/>
        <w:gridCol w:w="109"/>
        <w:gridCol w:w="109"/>
        <w:gridCol w:w="299"/>
        <w:gridCol w:w="1087"/>
        <w:gridCol w:w="218"/>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property, plant and equipment by country of domicile:</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1,188.8 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1,864.7 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12. Financial Derivatives and Hedging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2025, the notional amount of outstanding foreign currency forward contracts was $83.6 million. The resulting impact on our Consolidated Financial Statements from currency hedging activities was not significant for the three months ended January 31, 2025 and January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2025, the Company has nine interest rate swap contracts that have a total notional amount of $1.8 billion and remaining maturities of less than three years.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summarizes the amounts recognized with respect to our derivative instruments within the accompanying Consolidated Condensed Statements of Income and Comprehensive Income:</w:t>
      </w:r>
    </w:p>
    <w:tbl>
      <w:tblPr>
        <w:tblW w:w="10205" w:type="dxa"/>
        <w:jc w:val="left"/>
        <w:tblInd w:w="0" w:type="dxa"/>
        <w:tblLayout w:type="fixed"/>
        <w:tblCellMar>
          <w:top w:w="28" w:type="dxa"/>
          <w:left w:w="28" w:type="dxa"/>
          <w:bottom w:w="28" w:type="dxa"/>
          <w:right w:w="28" w:type="dxa"/>
        </w:tblCellMar>
      </w:tblPr>
      <w:tblGrid>
        <w:gridCol w:w="1270"/>
        <w:gridCol w:w="1101"/>
        <w:gridCol w:w="1104"/>
        <w:gridCol w:w="109"/>
        <w:gridCol w:w="109"/>
        <w:gridCol w:w="109"/>
        <w:gridCol w:w="1371"/>
        <w:gridCol w:w="1371"/>
        <w:gridCol w:w="1376"/>
        <w:gridCol w:w="211"/>
        <w:gridCol w:w="580"/>
        <w:gridCol w:w="109"/>
        <w:gridCol w:w="109"/>
        <w:gridCol w:w="109"/>
        <w:gridCol w:w="109"/>
        <w:gridCol w:w="211"/>
        <w:gridCol w:w="580"/>
        <w:gridCol w:w="109"/>
        <w:gridCol w:w="158"/>
      </w:tblGrid>
      <w:tr>
        <w:trPr/>
        <w:tc>
          <w:tcPr>
            <w:tcW w:w="127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Location of (Gain)/Loss Recognized on Derivatives</w:t>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8"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8"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8"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tbl>
      <w:tblPr>
        <w:tblW w:w="10205" w:type="dxa"/>
        <w:jc w:val="left"/>
        <w:tblInd w:w="0" w:type="dxa"/>
        <w:tblLayout w:type="fixed"/>
        <w:tblCellMar>
          <w:top w:w="28" w:type="dxa"/>
          <w:left w:w="28" w:type="dxa"/>
          <w:bottom w:w="28" w:type="dxa"/>
          <w:right w:w="28" w:type="dxa"/>
        </w:tblCellMar>
      </w:tblPr>
      <w:tblGrid>
        <w:gridCol w:w="2827"/>
        <w:gridCol w:w="2452"/>
        <w:gridCol w:w="2458"/>
        <w:gridCol w:w="109"/>
        <w:gridCol w:w="109"/>
        <w:gridCol w:w="109"/>
        <w:gridCol w:w="211"/>
        <w:gridCol w:w="511"/>
        <w:gridCol w:w="109"/>
        <w:gridCol w:w="109"/>
        <w:gridCol w:w="109"/>
        <w:gridCol w:w="109"/>
        <w:gridCol w:w="211"/>
        <w:gridCol w:w="616"/>
        <w:gridCol w:w="156"/>
      </w:tblGrid>
      <w:tr>
        <w:trPr/>
        <w:tc>
          <w:tcPr>
            <w:tcW w:w="2827"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r>
      <w:tr>
        <w:trPr/>
        <w:tc>
          <w:tcPr>
            <w:tcW w:w="7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7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recognized in accumulated other comprehensive income on interest rate swap contracts,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Amount reclassified from accumulated other comprehensive income into earnings,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Ending balance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amount recognized in other comprehensive income on interest rate swap contracts was $6.9 million and $(18.0) million, net of tax effect, for the three months ended January 31, 2025 and 2024, respectively.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amount reclassified from other comprehensive income into earnings was $(8.4) million and $(10.0) million, net of tax, for the three months ended January 31, 2025 and 2024, respectively.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Refer to Note 9. Stockholders' Equity for amounts presented net of the related tax impact in "Accumulated other comprehensive loss."</w:t>
      </w:r>
    </w:p>
    <w:p>
      <w:pPr>
        <w:pStyle w:val="TextBody"/>
        <w:bidi w:val="0"/>
        <w:spacing w:lineRule="auto" w:line="288" w:before="180" w:after="283"/>
        <w:jc w:val="left"/>
        <w:rPr/>
      </w:pPr>
      <w:r>
        <w:rPr>
          <w:rFonts w:ascii="Times New Roman;sans-serif" w:hAnsi="Times New Roman;sans-serif"/>
          <w:b w:val="false"/>
          <w:color w:val="000000"/>
          <w:sz w:val="19"/>
        </w:rPr>
        <w:t>The Company expects th</w:t>
      </w:r>
      <w:r>
        <w:rPr>
          <w:rFonts w:ascii="Times New Roman;sans-serif" w:hAnsi="Times New Roman;sans-serif"/>
          <w:b w:val="false"/>
          <w:color w:val="000000"/>
          <w:sz w:val="19"/>
          <w:shd w:fill="FFFFFF" w:val="clear"/>
        </w:rPr>
        <w:t>a</w:t>
      </w:r>
      <w:r>
        <w:rPr>
          <w:rFonts w:ascii="Times New Roman;sans-serif" w:hAnsi="Times New Roman;sans-serif"/>
          <w:b w:val="false"/>
          <w:color w:val="000000"/>
          <w:sz w:val="19"/>
        </w:rPr>
        <w:t>t $(29.2) million recorded as a component of "Accumulated other comprehensive loss" will be realized in the Consolidated Condensed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40"/>
        <w:jc w:val="left"/>
        <w:rPr>
          <w:rFonts w:ascii="Times New Roman;sans-serif" w:hAnsi="Times New Roman;sans-serif"/>
          <w:b w:val="false"/>
          <w:color w:val="000000"/>
          <w:sz w:val="19"/>
        </w:rPr>
      </w:pPr>
      <w:r>
        <w:rPr>
          <w:rFonts w:ascii="Times New Roman;sans-serif" w:hAnsi="Times New Roman;sans-serif"/>
          <w:b w:val="false"/>
          <w:color w:val="000000"/>
          <w:sz w:val="19"/>
        </w:rPr>
        <w:t>Note numbers refer to “Notes to Consolidated Condensed Financial Statements” in 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Forward-Looking Statements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impact of international conflicts and the global response to international conflicts on the global and local economy, financial markets, energy markets, currency rates and our ability to supply product to, or through, affected countries.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Compliance costs and potential liability in connection with U.S. and foreign laws and health care regulations pertaining to privacy and security of personal information, such as Health Insurance Portability and Accountability Act of 1996 (HIPAA) and the California Consumer Privacy Act (CCPA) in the U.S. and the General Data Protection Regulation (GDPR)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successful cybersecurity attack which could interrupt or disrupt our information technology systems, or those of our third-party service providers, or cause the loss of confidential or protected data.</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New U.S. and foreign government laws and regulations, and changes in existing laws, regulations and enforcement guidance, which affect areas of our operations including, but not limited to, those affecting the health care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including the contact lens industry specifically and the medical device or pharmaceutical industries generally, including but not limited to the EU Medical Devices Regulation (MDR) and the EU In Vitro Diagnostic Medical Devices Regulation (IVDR).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Reduced sales, loss of customers, reputational harm and costs and expenses, including from claims and litigation related to product recalls and warning letters.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success of our research and development activities and other start-up projects.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Risks related to environmental laws and requirements applicable to our facilities, products or manufacturing processes, including evolving regulations regarding the use of hazardous substances or chemicals in our products.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Risks related to environmental, social and corporate governance (ESG) issues, including those related to regulatory and disclosure requirements, climate change and sustainability.</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Other events described in our Securities and Exchange Commission filings, including the “Business” and “Risk Factors” sections in our Annual Report on Form 10-K for the fiscal year ended October 31, 2024, as such Risk Factors may be updated in quarterly filings including updates made in this filing.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caution investors that forward-looking statements reflect our analysis only on their stated date. We disclaim any intent to update them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this section, we discuss the results of our operations for the first quarter of fiscal 2025 ended January 31, 2025, compared with the same period of fiscal 2024.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Outlook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ans-serif" w:hAnsi="Times New Roman;sans-serif"/>
          <w:b w:val="false"/>
          <w:i/>
          <w:color w:val="000000"/>
          <w:sz w:val="19"/>
        </w:rPr>
        <w:t>CooperVision</w:t>
      </w:r>
      <w:r>
        <w:rPr>
          <w:color w:val="000000"/>
        </w:rPr>
        <w:t xml:space="preserve"> </w:t>
      </w:r>
      <w:r>
        <w:rPr>
          <w:rFonts w:ascii="Times New Roman;sans-serif" w:hAnsi="Times New Roman;sans-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has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pPr>
      <w:r>
        <w:rPr>
          <w:rFonts w:ascii="Times New Roman;sans-serif" w:hAnsi="Times New Roman;sans-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w:t>
      </w:r>
      <w:r>
        <w:rPr>
          <w:color w:val="000000"/>
        </w:rPr>
        <w:t xml:space="preserve"> </w:t>
      </w:r>
      <w:r>
        <w:rPr>
          <w:rFonts w:ascii="Times New Roman;sans-serif" w:hAnsi="Times New Roman;sans-serif"/>
          <w:b w:val="false"/>
          <w:color w:val="000000"/>
          <w:sz w:val="19"/>
        </w:rPr>
        <w:t>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lineRule="auto" w:line="288" w:before="180" w:after="283"/>
        <w:jc w:val="left"/>
        <w:rPr/>
      </w:pPr>
      <w:r>
        <w:rPr>
          <w:rFonts w:ascii="Times New Roman;sans-serif" w:hAnsi="Times New Roman;sans-serif"/>
          <w:b w:val="false"/>
          <w:i/>
          <w:color w:val="000000"/>
          <w:sz w:val="19"/>
        </w:rPr>
        <w:t>CooperSurgical -</w:t>
      </w:r>
      <w:r>
        <w:rPr>
          <w:color w:val="000000"/>
        </w:rPr>
        <w:t xml:space="preserve"> </w:t>
      </w:r>
      <w:r>
        <w:rPr>
          <w:rFonts w:ascii="Times New Roman;sans-serif" w:hAnsi="Times New Roman;sans-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68" w:before="180" w:after="283"/>
        <w:jc w:val="left"/>
        <w:rPr>
          <w:rFonts w:ascii="Times New Roman;sans-serif" w:hAnsi="Times New Roman;sans-serif"/>
          <w:b/>
          <w:color w:val="000000"/>
          <w:sz w:val="19"/>
        </w:rPr>
      </w:pPr>
      <w:r>
        <w:rPr>
          <w:rFonts w:ascii="Times New Roman;sans-serif" w:hAnsi="Times New Roman;sans-serif"/>
          <w:b/>
          <w:color w:val="000000"/>
          <w:sz w:val="19"/>
        </w:rPr>
        <w:t>Net Sales</w:t>
      </w:r>
    </w:p>
    <w:p>
      <w:pPr>
        <w:pStyle w:val="TextBody"/>
        <w:bidi w:val="0"/>
        <w:spacing w:before="100" w:after="283"/>
        <w:jc w:val="center"/>
        <w:rPr/>
      </w:pPr>
      <w:r>
        <w:rPr/>
        <w:drawing>
          <wp:inline distT="0" distB="0" distL="0" distR="0">
            <wp:extent cx="3095625" cy="241935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3095625" cy="24193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lineRule="auto" w:line="288" w:before="18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CooperVision Net Sales by Category</w:t>
      </w:r>
    </w:p>
    <w:p>
      <w:pPr>
        <w:pStyle w:val="TextBody"/>
        <w:bidi w:val="0"/>
        <w:spacing w:before="100" w:after="283"/>
        <w:jc w:val="center"/>
        <w:rPr/>
      </w:pPr>
      <w:r>
        <w:rPr/>
        <w:drawing>
          <wp:inline distT="0" distB="0" distL="0" distR="0">
            <wp:extent cx="2857500" cy="272415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2857500" cy="2724150"/>
                    </a:xfrm>
                    <a:prstGeom prst="rect">
                      <a:avLst/>
                    </a:prstGeom>
                  </pic:spPr>
                </pic:pic>
              </a:graphicData>
            </a:graphic>
          </wp:inline>
        </w:drawing>
      </w:r>
      <w:r>
        <w:rPr/>
        <w:drawing>
          <wp:inline distT="0" distB="0" distL="0" distR="0">
            <wp:extent cx="2857500" cy="27241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2857500" cy="2724150"/>
                    </a:xfrm>
                    <a:prstGeom prst="rect">
                      <a:avLst/>
                    </a:prstGeom>
                  </pic:spPr>
                </pic:pic>
              </a:graphicData>
            </a:graphic>
          </wp:inline>
        </w:drawing>
      </w:r>
    </w:p>
    <w:tbl>
      <w:tblPr>
        <w:tblW w:w="6957" w:type="dxa"/>
        <w:jc w:val="center"/>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109"/>
        <w:gridCol w:w="211"/>
        <w:gridCol w:w="616"/>
        <w:gridCol w:w="109"/>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tbl>
      <w:tblPr>
        <w:tblW w:w="22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three months ended January 31, 2025, the growth experienced across all categories was partially offset by unfavorable foreign exchange rate fluctuations of approximately $14.7 million.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grew primarily through the success of Biofinity and MyDay.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Sphere, other grew primarily through MiSight and MyDay.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 xml:space="preserve">"Other" products represented less than 1% of net sales in the three months ended January 31, 2025 and 2024, respectively.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 by Geography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competes in the worldwide soft contact lens market and services in three primary regions: the Americas, EMEA (Europe, Middle East and Africa) and Asia Pacific.</w:t>
      </w:r>
    </w:p>
    <w:tbl>
      <w:tblPr>
        <w:tblW w:w="7106" w:type="dxa"/>
        <w:jc w:val="left"/>
        <w:tblInd w:w="0" w:type="dxa"/>
        <w:tblLayout w:type="fixed"/>
        <w:tblCellMar>
          <w:top w:w="28" w:type="dxa"/>
          <w:left w:w="28" w:type="dxa"/>
          <w:bottom w:w="28" w:type="dxa"/>
          <w:right w:w="28" w:type="dxa"/>
        </w:tblCellMar>
      </w:tblPr>
      <w:tblGrid>
        <w:gridCol w:w="846"/>
        <w:gridCol w:w="746"/>
        <w:gridCol w:w="748"/>
        <w:gridCol w:w="109"/>
        <w:gridCol w:w="109"/>
        <w:gridCol w:w="109"/>
        <w:gridCol w:w="211"/>
        <w:gridCol w:w="616"/>
        <w:gridCol w:w="109"/>
        <w:gridCol w:w="109"/>
        <w:gridCol w:w="109"/>
        <w:gridCol w:w="109"/>
        <w:gridCol w:w="211"/>
        <w:gridCol w:w="616"/>
        <w:gridCol w:w="109"/>
        <w:gridCol w:w="109"/>
        <w:gridCol w:w="109"/>
        <w:gridCol w:w="109"/>
        <w:gridCol w:w="269"/>
        <w:gridCol w:w="269"/>
        <w:gridCol w:w="676"/>
        <w:gridCol w:w="109"/>
        <w:gridCol w:w="109"/>
        <w:gridCol w:w="109"/>
        <w:gridCol w:w="109"/>
        <w:gridCol w:w="109"/>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growth in net sales across all regions, offset by unfavorable foreign exchange rate fluctuations, was primarily attributable to market gains of silicone hydrogel contact lenses. Refer to CooperVision Net Sales by Category above for further discussion.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CooperSurgical Net Sales </w:t>
      </w:r>
    </w:p>
    <w:p>
      <w:pPr>
        <w:pStyle w:val="TextBody"/>
        <w:bidi w:val="0"/>
        <w:spacing w:lineRule="auto" w:line="288" w:before="180" w:after="283"/>
        <w:jc w:val="left"/>
        <w:rPr/>
      </w:pPr>
      <w:r>
        <w:rPr>
          <w:rFonts w:ascii="Times New Roman;sans-serif" w:hAnsi="Times New Roman;sans-serif"/>
          <w:b w:val="false"/>
          <w:color w:val="000000"/>
          <w:sz w:val="19"/>
        </w:rPr>
        <w:t>CooperSurgical supplies the fertility and women's heal</w:t>
      </w:r>
      <w:r>
        <w:rPr>
          <w:rFonts w:ascii="Times New Roman;sans-serif" w:hAnsi="Times New Roman;sans-serif"/>
          <w:b w:val="false"/>
          <w:color w:val="000000"/>
          <w:sz w:val="19"/>
          <w:shd w:fill="FFFFFF" w:val="clear"/>
        </w:rPr>
        <w:t>th care market with a diversified portfolio of products and services in two categories: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CooperSurgical Net Sales by Category</w:t>
      </w:r>
    </w:p>
    <w:p>
      <w:pPr>
        <w:pStyle w:val="TextBody"/>
        <w:bidi w:val="0"/>
        <w:spacing w:before="100" w:after="283"/>
        <w:jc w:val="center"/>
        <w:rPr/>
      </w:pPr>
      <w:r>
        <w:rPr/>
        <w:drawing>
          <wp:inline distT="0" distB="0" distL="0" distR="0">
            <wp:extent cx="2857500" cy="272415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2857500" cy="2724150"/>
                    </a:xfrm>
                    <a:prstGeom prst="rect">
                      <a:avLst/>
                    </a:prstGeom>
                  </pic:spPr>
                </pic:pic>
              </a:graphicData>
            </a:graphic>
          </wp:inline>
        </w:drawing>
      </w:r>
      <w:r>
        <w:rPr/>
        <w:drawing>
          <wp:inline distT="0" distB="0" distL="0" distR="0">
            <wp:extent cx="2876550" cy="27432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2876550" cy="2743200"/>
                    </a:xfrm>
                    <a:prstGeom prst="rect">
                      <a:avLst/>
                    </a:prstGeom>
                  </pic:spPr>
                </pic:pic>
              </a:graphicData>
            </a:graphic>
          </wp:inline>
        </w:drawing>
      </w:r>
    </w:p>
    <w:tbl>
      <w:tblPr>
        <w:tblW w:w="6957" w:type="dxa"/>
        <w:jc w:val="left"/>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211"/>
        <w:gridCol w:w="616"/>
        <w:gridCol w:w="109"/>
        <w:gridCol w:w="109"/>
        <w:gridCol w:w="109"/>
        <w:gridCol w:w="109"/>
        <w:gridCol w:w="269"/>
        <w:gridCol w:w="269"/>
        <w:gridCol w:w="67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the three months ended January 31, 2025, office and surgical net sales increased primarily due to increased sales of Paragard contraceptive intrauterine devices and the acquisition of obp Surgical on August 1, 2024. Fertility net sales increased due to an increase in revenue from gamete services and genetic testing, partially offset by a decrease in revenue from consumable products.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above growth experienced across all categories was partially offset by unfavorable foreign exchange rate fluctuations of approximately $3.3 million for the three months ended January 31, 2025.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Gross Margin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gross margin increased in the three months ended January 31, 2025 to 68% compared to 67% in the three months ended January 31, 2024, primarily driven by efficiency gains and a more favorable product mix.</w:t>
      </w:r>
    </w:p>
    <w:p>
      <w:pPr>
        <w:pStyle w:val="TextBody"/>
        <w:bidi w:val="0"/>
        <w:spacing w:lineRule="auto" w:line="288" w:before="180" w:after="180"/>
        <w:jc w:val="left"/>
        <w:rPr>
          <w:rFonts w:ascii="Times New Roman;sans-serif" w:hAnsi="Times New Roman;sans-serif"/>
          <w:b/>
          <w:color w:val="000000"/>
          <w:sz w:val="19"/>
        </w:rPr>
      </w:pPr>
      <w:r>
        <w:rPr>
          <w:rFonts w:ascii="Times New Roman;sans-serif" w:hAnsi="Times New Roman;sans-serif"/>
          <w:b/>
          <w:color w:val="000000"/>
          <w:sz w:val="19"/>
        </w:rPr>
        <w:t xml:space="preserve">Selling, General and Administrative (SGA) Expenses </w:t>
      </w:r>
    </w:p>
    <w:tbl>
      <w:tblPr>
        <w:tblW w:w="994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SGA expenses increased in the three months ended January 31, 2025, compared to the three months ended January 31, 2024, due to increased selling activities.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SGA expenses was relatively flat in the three months ended January 31, 2025, compared to the three months ended January 31, 2024.</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SGA expenses decreased in the three months ended January 31, 2025, compared to the three months ended January 31, 2024, primarily due to lower share-based compensation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00" w:after="283"/>
        <w:jc w:val="left"/>
        <w:rPr>
          <w:rFonts w:ascii="Times New Roman;sans-serif" w:hAnsi="Times New Roman;sans-serif"/>
          <w:b/>
          <w:color w:val="000000"/>
          <w:sz w:val="19"/>
        </w:rPr>
      </w:pPr>
      <w:r>
        <w:rPr>
          <w:rFonts w:ascii="Times New Roman;sans-serif" w:hAnsi="Times New Roman;sans-serif"/>
          <w:b/>
          <w:color w:val="000000"/>
          <w:sz w:val="19"/>
        </w:rPr>
        <w:t xml:space="preserve">Research and Development (R&amp;D) Expenses </w:t>
      </w:r>
    </w:p>
    <w:tbl>
      <w:tblPr>
        <w:tblW w:w="973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R&amp;D expenses increased in the three months ended January 31, 2025, compared to the three months ended January 31, 2024, primarily due to myopia management programs and R&amp;D projects. CooperVision's R&amp;D activities are primarily focused on the development of contact lenses, manufacturing technology and process enhancements.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R&amp;D expenses decreased in the three months ended January 31, 2025, compared to the three months ended January 31, 2024 due to a decrease in MDR costs. CooperSurgical's R&amp;D activities are primarily focused on the development of surgical devices and fertility solutions, manufacturing technology and process enhancements.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Amortization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amortization expense decreased in the three months ended January 31, 2025, compared to the three months ended January 31, 2024, primarily due to certain intangible assets being fully amortized.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amortization expense increased in the three months ended January 31, 2025, compared to the three months ended January 31, 2024, primarily due to the amortization of intangible assets acquired through acquisitions in the second half of fiscal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Operating Income </w:t>
      </w:r>
    </w:p>
    <w:tbl>
      <w:tblPr>
        <w:tblW w:w="9613" w:type="dxa"/>
        <w:jc w:val="left"/>
        <w:tblInd w:w="0" w:type="dxa"/>
        <w:tblLayout w:type="fixed"/>
        <w:tblCellMar>
          <w:top w:w="28" w:type="dxa"/>
          <w:left w:w="28" w:type="dxa"/>
          <w:bottom w:w="28" w:type="dxa"/>
          <w:right w:w="28" w:type="dxa"/>
        </w:tblCellMar>
      </w:tblPr>
      <w:tblGrid>
        <w:gridCol w:w="1068"/>
        <w:gridCol w:w="941"/>
        <w:gridCol w:w="945"/>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operating income increased in the three months ended January 31, 2025, compared to the three months ended January 31, 2024, primarily due to the increase in net sales outpacing the increase in operating expenses.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operating income decreased in the three months ended January 31, 2025, compared to the three months ended January 31, 2024, primarily due to the increase in amortization expense.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operating loss decreased in the three months ended January 31, 2025, compared to the three months ended January 31, 2024, primarily due to lower share-based compensation expenses.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Interest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decreased during the three months ended January 31, 2025, compared to the three months ended January 31, 2024, primarily due to lower interest rates and lower debt balances.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Other Expense, Net</w:t>
      </w:r>
    </w:p>
    <w:tbl>
      <w:tblPr>
        <w:tblW w:w="4971" w:type="dxa"/>
        <w:jc w:val="left"/>
        <w:tblInd w:w="0" w:type="dxa"/>
        <w:tblLayout w:type="fixed"/>
        <w:tblCellMar>
          <w:top w:w="28" w:type="dxa"/>
          <w:left w:w="28" w:type="dxa"/>
          <w:bottom w:w="28" w:type="dxa"/>
          <w:right w:w="28" w:type="dxa"/>
        </w:tblCellMar>
      </w:tblPr>
      <w:tblGrid>
        <w:gridCol w:w="862"/>
        <w:gridCol w:w="760"/>
        <w:gridCol w:w="762"/>
        <w:gridCol w:w="109"/>
        <w:gridCol w:w="109"/>
        <w:gridCol w:w="109"/>
        <w:gridCol w:w="211"/>
        <w:gridCol w:w="406"/>
        <w:gridCol w:w="109"/>
        <w:gridCol w:w="109"/>
        <w:gridCol w:w="109"/>
        <w:gridCol w:w="109"/>
        <w:gridCol w:w="211"/>
        <w:gridCol w:w="406"/>
        <w:gridCol w:w="109"/>
        <w:gridCol w:w="109"/>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 was primarily associated with the relative weakening of the U.S. dollar against foreign currencies and the effect on intercompany receivables during the three months ended January 31, 2025.</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 was a gain of $0.3 million in the three months ended January 31, 2025, compared to a loss of $2.0 million in three months ended January 31, 2024, primarily due to a decrease in loss on minority investments.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Provision for Income Taxes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effective tax rates for the three months ended January 31, 2025 and January 31, 2024 were 32.0% and 32.4%, respectively. The decrease was primarily due to changes in unrecognized tax benefits and changes in the geographic composition of pre-tax earnings, partially offset by a decrease in excess tax benefits from share-based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Capital Resources and Liquidity</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Working capital as of January 31, 2025 and October 31, 2024 was $987.4 million and $928.7 million, respectively. The increase in working capital was primarily due to a decrease in accounts payable due to timing of payments and an increase in inventories, offset by increases in employee compensation benefits and short-term debt.</w:t>
      </w:r>
    </w:p>
    <w:p>
      <w:pPr>
        <w:pStyle w:val="TextBody"/>
        <w:bidi w:val="0"/>
        <w:spacing w:lineRule="auto" w:line="288" w:before="10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Cash Flow</w:t>
      </w:r>
    </w:p>
    <w:tbl>
      <w:tblPr>
        <w:tblW w:w="8601" w:type="dxa"/>
        <w:jc w:val="left"/>
        <w:tblInd w:w="0" w:type="dxa"/>
        <w:tblLayout w:type="fixed"/>
        <w:tblCellMar>
          <w:top w:w="28" w:type="dxa"/>
          <w:left w:w="28" w:type="dxa"/>
          <w:bottom w:w="28" w:type="dxa"/>
          <w:right w:w="28" w:type="dxa"/>
        </w:tblCellMar>
      </w:tblPr>
      <w:tblGrid>
        <w:gridCol w:w="2180"/>
        <w:gridCol w:w="1921"/>
        <w:gridCol w:w="1929"/>
        <w:gridCol w:w="109"/>
        <w:gridCol w:w="109"/>
        <w:gridCol w:w="109"/>
        <w:gridCol w:w="211"/>
        <w:gridCol w:w="616"/>
        <w:gridCol w:w="109"/>
        <w:gridCol w:w="109"/>
        <w:gridCol w:w="109"/>
        <w:gridCol w:w="109"/>
        <w:gridCol w:w="211"/>
        <w:gridCol w:w="616"/>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Operating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 in the first three months of fiscal 2025 increased compared to the first three months of fiscal 2024, primarily due to increases in net income and net changes in other non-cash items and operating capital. The net changes in operating capital included an increase in cash collection and an increase in accrued liabilities, offset by an increase in inventories.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Investing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 in the first three months of fiscal 2025 decreased compared to the first three months of fiscal 2024, primarily attributable to $200 million cash paid for the Cook Medical acquisition in the first three months of fiscal 2024, and a decrease in purchases of property, plant and equipment.</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Financing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financing activities in the first three months of fiscal 2025 was primarily attributable to repayments on the revolving credit and the first installment payment related to the Cook Medical acquisition.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financing activities in the first three months of fiscal 2024 was primarily attributable to $200.0 million drawn on the revolving credit to pay for the Cook Medical acquisition.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is a summary of the maximum commitments and the net amounts available to us under different credit facilities as of January 31, 2025:</w:t>
      </w:r>
    </w:p>
    <w:tbl>
      <w:tblPr>
        <w:tblW w:w="10205" w:type="dxa"/>
        <w:jc w:val="center"/>
        <w:tblInd w:w="0" w:type="dxa"/>
        <w:tblLayout w:type="fixed"/>
        <w:tblCellMar>
          <w:top w:w="28" w:type="dxa"/>
          <w:left w:w="28" w:type="dxa"/>
          <w:bottom w:w="28" w:type="dxa"/>
          <w:right w:w="28" w:type="dxa"/>
        </w:tblCellMar>
      </w:tblPr>
      <w:tblGrid>
        <w:gridCol w:w="539"/>
        <w:gridCol w:w="439"/>
        <w:gridCol w:w="408"/>
        <w:gridCol w:w="109"/>
        <w:gridCol w:w="109"/>
        <w:gridCol w:w="109"/>
        <w:gridCol w:w="226"/>
        <w:gridCol w:w="822"/>
        <w:gridCol w:w="116"/>
        <w:gridCol w:w="109"/>
        <w:gridCol w:w="109"/>
        <w:gridCol w:w="109"/>
        <w:gridCol w:w="300"/>
        <w:gridCol w:w="1092"/>
        <w:gridCol w:w="157"/>
        <w:gridCol w:w="109"/>
        <w:gridCol w:w="109"/>
        <w:gridCol w:w="109"/>
        <w:gridCol w:w="493"/>
        <w:gridCol w:w="952"/>
        <w:gridCol w:w="256"/>
        <w:gridCol w:w="109"/>
        <w:gridCol w:w="109"/>
        <w:gridCol w:w="109"/>
        <w:gridCol w:w="292"/>
        <w:gridCol w:w="1061"/>
        <w:gridCol w:w="150"/>
        <w:gridCol w:w="109"/>
        <w:gridCol w:w="109"/>
        <w:gridCol w:w="109"/>
        <w:gridCol w:w="387"/>
        <w:gridCol w:w="360"/>
        <w:gridCol w:w="520"/>
      </w:tblGrid>
      <w:tr>
        <w:trPr/>
        <w:tc>
          <w:tcPr>
            <w:tcW w:w="5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 Date</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2024 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May 1, 2029</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2021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December 17, 2026</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2025,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5. Financing Arrangements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 execute our business strategy, we anticipate that additional funds could be obtained through the incurrence of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indebtedness, additional equity financings or a combination of these potential sources of funds; however, such financing may not be available on favorable terms, or at all.</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Share Repurchase Program was increased to $1.0 billion by the Company's Board of Directors. As of January 31, 2025, $256.4 million remains authorized for repurchase.</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January 31, 2025 and 2024, there were no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 and Critical Accounting Policies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estimates and critical accounting policies is included in Management's Discussion and Analysis in our Form 10-K for the fiscal year ended October 31, 2024. There have been no material changes in our policies from those previously discussed in our Form 10-K for the fiscal year ended October 31,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Accounting Pronouncements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new accounting pronouncements is included in Note 1. General of the Consolidated Condensed Financial Statements of this Quarterly Report on Form 10-Q.</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Quantitative and Qualitative Disclosure About Market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Foreign Currency Exchange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At January 31, 2025, a uniform hypothetical 10% increase or decrease in the foreign currency exchange rates in comparison to the value of the U.S. dollar would have resulted in a corresponding increase or decrease of approximately $29.3 million in operating income for the fiscal quarter ended January 31, 2025. See Note 12. Financial Derivatives and Hedging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risks associated with changes in interest rates, as the interest rates on our revolving lines of credit and term loans may vary with the federal funds rate and SOFR. As of January 31, 2025, we had outstanding debt for an aggregate carrying amount of $2.5 billion. We have entered, and in the future may enter, into interest rate swaps to manage 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first quarter of fiscal 2025. See Note 5. Financing Arrangements of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Controls and Procedures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Evaluation of Disclosure Controls and Procedures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Based on management’s evaluation (with the participation of our Chief Executive Officer (our Principal Executive Officer) and Chief Financial Officer (our Principal Financial Officer)), as of the end of the period covered by this report, due to the material weakness described below, our Chief Executive Officer and Chief Financial Officer have concluded that our disclosure controls and procedures (as defined in Rules 13a-15(e) and 15d-15(e) under the Securities Exchange Act of 1934, as amended, (the Exchange Act)) are not effective as of January 31, 2025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180" w:after="283"/>
        <w:jc w:val="left"/>
        <w:rPr/>
      </w:pPr>
      <w:r>
        <w:rPr>
          <w:rFonts w:ascii="Times New Roman;sans-serif" w:hAnsi="Times New Roman;sans-serif"/>
          <w:b w:val="false"/>
          <w:color w:val="000000"/>
          <w:sz w:val="19"/>
        </w:rPr>
        <w:t>As reported in Part II, Item 9A. "Controls and Procedures" in our Annual Report on Form 1</w:t>
      </w:r>
      <w:r>
        <w:rPr>
          <w:rFonts w:ascii="Times New Roman;sans-serif" w:hAnsi="Times New Roman;sans-serif"/>
          <w:b w:val="false"/>
          <w:color w:val="000000"/>
          <w:sz w:val="19"/>
          <w:shd w:fill="FFFFFF" w:val="clear"/>
        </w:rPr>
        <w:t>0-K for the fiscal year ended October 31, 2024</w:t>
      </w:r>
      <w:r>
        <w:rPr>
          <w:rFonts w:ascii="Times New Roman;sans-serif" w:hAnsi="Times New Roman;sans-serif"/>
          <w:b w:val="false"/>
          <w:color w:val="000000"/>
          <w:sz w:val="19"/>
        </w:rPr>
        <w:t xml:space="preserve">, the Company previously identified a material weakness in information technology (IT) general controls for the U.S. operations within the CooperSurgical segment, related to the implementation and maintenance of certain enterprise resource planning systems (ERP) during fiscal 2024. The material weakness resulted from not having a sufficient complement of its personnel, inadequate training of personnel and ineffective risk assessment processes to identify and timely respond to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response to the material weakness, management, with oversight of the Audit Committee of the Board of Directors, has begun to implement steps to remediate the material weakness. Our internal control remediation efforts include the following: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Enhancing risk assessment and procedures over our IT general controls for the affected environments;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Developing the skill sets of employees and additional training programs addressing IT general controls and policies with a focus on those related to change management, user access and segregation of duties over IT systems impacting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Enhancing controls supporting change management to ensure systems’ integrity as well as user access monitoring controls to enforce appropriate system access and segregation of duties.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committed to ensuring that our internal control over financial reporting are designed and operating effectively. Management believes the efforts taken to date and the planned remediation will improve the effectiveness of our internal control over financial reporting. While we continue making progress with these remediation efforts, the controls must be operating effectively for a sufficient period of time and be tested by management in order to consider them remediated and conclude that the design is effective to address the risks of material misstatement.</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Changes in Internal Control over Financial Reporting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Except as set forth above, there has been no change in our internal control over financial reporting identified in connection with the evaluation required by Rules 13a-15(d) and 15d-15(d) of the Exchange Act during our first quarter of fiscal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 Legal Proceedings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legal proceedings is included in Note 10. Contingencies of the Consolidated Condensed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1A. Risk Factors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lineRule="auto" w:line="288" w:before="180" w:after="283"/>
        <w:jc w:val="left"/>
        <w:rPr/>
      </w:pPr>
      <w:r>
        <w:rPr>
          <w:rFonts w:ascii="Times New Roman;sans-serif" w:hAnsi="Times New Roman;sans-serif"/>
          <w:b w:val="false"/>
          <w:color w:val="000000"/>
          <w:sz w:val="19"/>
        </w:rPr>
        <w:t>Risk factors describing the major risks to our business can be found under Item 1A. Risk Factors in our Annual Report on Form 1</w:t>
      </w:r>
      <w:r>
        <w:rPr>
          <w:rFonts w:ascii="Times New Roman;sans-serif" w:hAnsi="Times New Roman;sans-serif"/>
          <w:b w:val="false"/>
          <w:color w:val="000000"/>
          <w:sz w:val="19"/>
          <w:shd w:fill="FFFFFF" w:val="clear"/>
        </w:rPr>
        <w:t xml:space="preserve">0-K for the fiscal year ended October 31, 2024. </w:t>
      </w:r>
      <w:r>
        <w:rPr>
          <w:rFonts w:ascii="Times New Roman;sans-serif" w:hAnsi="Times New Roman;sans-serif"/>
          <w:b w:val="false"/>
          <w:color w:val="000000"/>
          <w:sz w:val="19"/>
        </w:rPr>
        <w:t xml:space="preserve">There have been no material changes to the risk factors previously disclosed in our Annual Report on Form 10-K for the fiscal year ended </w:t>
      </w:r>
      <w:r>
        <w:rPr>
          <w:rFonts w:ascii="Times New Roman;sans-serif" w:hAnsi="Times New Roman;sans-serif"/>
          <w:b w:val="false"/>
          <w:color w:val="000000"/>
          <w:sz w:val="19"/>
          <w:shd w:fill="FFFFFF" w:val="clear"/>
        </w:rPr>
        <w:t>October 31, 2024</w:t>
      </w:r>
      <w:r>
        <w:rPr>
          <w:rFonts w:ascii="Times New Roman;sans-serif" w:hAnsi="Times New Roman;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Unregistered Sales of Equity Securities and Use of Proceeds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Share Repurchase Program was increased to $1.0 billion by the Company's Board of Directors. As of January 31, 2025, $256.4 million remains authorized for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three months ended January 31, 2025 and 2024, there were no share repurchases.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Defaults Upon Senior Securities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Mine Safety Disclosures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5. Other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January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282"/>
        <w:gridCol w:w="2018"/>
        <w:gridCol w:w="2024"/>
        <w:gridCol w:w="261"/>
        <w:gridCol w:w="197"/>
        <w:gridCol w:w="151"/>
        <w:gridCol w:w="261"/>
        <w:gridCol w:w="261"/>
        <w:gridCol w:w="219"/>
        <w:gridCol w:w="273"/>
        <w:gridCol w:w="273"/>
        <w:gridCol w:w="181"/>
        <w:gridCol w:w="288"/>
        <w:gridCol w:w="288"/>
        <w:gridCol w:w="4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Incorporated by Reference</w:t>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Exhibit</w:t>
            </w:r>
          </w:p>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Number</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Description of Document</w:t>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Form</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Exhibit</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Filing Date/</w:t>
              <w:br/>
              <w:t>Period End</w:t>
              <w:br/>
              <w:t>Date</w:t>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5x01x31x10q.htm">
              <w:r>
                <w:rPr>
                  <w:rStyle w:val="InternetLink"/>
                  <w:rFonts w:ascii="Times New Roman;sans-serif" w:hAnsi="Times New Roman;sans-serif"/>
                  <w:b w:val="false"/>
                  <w:color w:val="0000FF"/>
                  <w:sz w:val="19"/>
                  <w:u w:val="single"/>
                </w:rPr>
                <w:t>Certification of the Chief Executive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5x01x31x10q.htm">
              <w:r>
                <w:rPr>
                  <w:rStyle w:val="InternetLink"/>
                  <w:rFonts w:ascii="Times New Roman;sans-serif" w:hAnsi="Times New Roman;sans-serif"/>
                  <w:b w:val="false"/>
                  <w:color w:val="0000FF"/>
                  <w:sz w:val="19"/>
                  <w:u w:val="single"/>
                </w:rPr>
                <w:t>Certification of the Chief Financial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5x01x31x10q.htm">
              <w:r>
                <w:rPr>
                  <w:rStyle w:val="InternetLink"/>
                  <w:rFonts w:ascii="Times New Roman;sans-serif" w:hAnsi="Times New Roman;sans-serif"/>
                  <w:b w:val="false"/>
                  <w:color w:val="0000FF"/>
                  <w:sz w:val="19"/>
                  <w:u w:val="single"/>
                </w:rPr>
                <w:t>Certification of the Chief Executive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5x01x31x10q.htm">
              <w:r>
                <w:rPr>
                  <w:rStyle w:val="InternetLink"/>
                  <w:rFonts w:ascii="Times New Roman;sans-serif" w:hAnsi="Times New Roman;sans-serif"/>
                  <w:b w:val="false"/>
                  <w:color w:val="0000FF"/>
                  <w:sz w:val="19"/>
                  <w:u w:val="single"/>
                </w:rPr>
                <w:t>Certification of the Chief Financial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materials from the Company's Quarterly Report on Form 10-Q for the three months period ended January 31, 2025 formatted in Inline XBRL (Extensible Business Reporting Language): (i) Consolidated Condensed Statements of Income and Comprehensive Income, (ii) Consolidated Condensed Balance Sheets, (iii) Consolidated Condensed Statements of Stockholders' Equity, (iv) Consolidated Condensed Statements of Cash Flows and (v) related Notes to Consolidated Condensed Financial Statements.</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104.1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(embedded within the Inline XBRL document)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Furnished herewith</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SIGNATURES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Pursuant to the requirements of the Securities Exchange Act of 1934, the Registrant has duly caused this report to be signed on its behalf by the undersigned thereunto duly authorized.</w:t>
      </w:r>
    </w:p>
    <w:tbl>
      <w:tblPr>
        <w:tblW w:w="8624" w:type="dxa"/>
        <w:jc w:val="left"/>
        <w:tblInd w:w="0" w:type="dxa"/>
        <w:tblLayout w:type="fixed"/>
        <w:tblCellMar>
          <w:top w:w="28" w:type="dxa"/>
          <w:left w:w="28" w:type="dxa"/>
          <w:bottom w:w="28" w:type="dxa"/>
          <w:right w:w="28" w:type="dxa"/>
        </w:tblCellMar>
      </w:tblPr>
      <w:tblGrid>
        <w:gridCol w:w="645"/>
        <w:gridCol w:w="568"/>
        <w:gridCol w:w="571"/>
        <w:gridCol w:w="2000"/>
        <w:gridCol w:w="2000"/>
        <w:gridCol w:w="28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March 7, 2025</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Chief Financial Officer and Treasurer</w:t>
              <w:br/>
              <w:t>(Principal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March 7, 2025</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Agostino Ricupati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Agostino Ricupati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Senior Vice President and Chief Accounting Officer (Principal Accounting Officer)</w:t>
            </w:r>
          </w:p>
        </w:tc>
      </w:tr>
    </w:tbl>
    <w:p>
      <w:pPr>
        <w:pStyle w:val="TextBody"/>
        <w:bidi w:val="0"/>
        <w:spacing w:before="1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5" w:type="dxa"/>
        <w:jc w:val="left"/>
        <w:tblInd w:w="0" w:type="dxa"/>
        <w:tblLayout w:type="fixed"/>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391" w:type="dxa"/>
        <w:jc w:val="left"/>
        <w:tblInd w:w="0" w:type="dxa"/>
        <w:tblLayout w:type="fixed"/>
        <w:tblCellMar>
          <w:top w:w="28" w:type="dxa"/>
          <w:left w:w="28" w:type="dxa"/>
          <w:bottom w:w="28" w:type="dxa"/>
          <w:right w:w="28" w:type="dxa"/>
        </w:tblCellMar>
      </w:tblPr>
      <w:tblGrid>
        <w:gridCol w:w="645"/>
        <w:gridCol w:w="568"/>
        <w:gridCol w:w="571"/>
        <w:gridCol w:w="1743"/>
        <w:gridCol w:w="1743"/>
        <w:gridCol w:w="174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January 31, 2025,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39"/>
        <w:gridCol w:w="939"/>
        <w:gridCol w:w="133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January 31, 2025,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7064" w:type="dxa"/>
        <w:jc w:val="left"/>
        <w:tblInd w:w="0" w:type="dxa"/>
        <w:tblLayout w:type="fixed"/>
        <w:tblCellMar>
          <w:top w:w="28" w:type="dxa"/>
          <w:left w:w="28" w:type="dxa"/>
          <w:bottom w:w="28" w:type="dxa"/>
          <w:right w:w="28" w:type="dxa"/>
        </w:tblCellMar>
      </w:tblPr>
      <w:tblGrid>
        <w:gridCol w:w="645"/>
        <w:gridCol w:w="568"/>
        <w:gridCol w:w="571"/>
        <w:gridCol w:w="1542"/>
        <w:gridCol w:w="1542"/>
        <w:gridCol w:w="219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11971</Words>
  <Characters>68256</Characters>
  <CharactersWithSpaces>79216</CharactersWithSpaces>
  <Paragraphs>1745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