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95"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January 31, 2023</w:t>
      </w:r>
    </w:p>
    <w:p>
      <w:pPr>
        <w:sectPr>
          <w:pgSz w:w="11900" w:h="16838" w:orient="portrait"/>
          <w:cols w:equalWidth="0" w:num="1">
            <w:col w:w="11240"/>
          </w:cols>
          <w:pgMar w:left="320" w:top="1084" w:right="339" w:bottom="1440" w:gutter="0" w:footer="0" w:header="0"/>
          <w:type w:val="continuous"/>
        </w:sectPr>
      </w:pPr>
    </w:p>
    <w:p>
      <w:pPr>
        <w:spacing w:after="0" w:line="124"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78"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45"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5"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February 24, 2023, 49,455,664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0" w:type="dxa"/>
            <w:vAlign w:val="bottom"/>
            <w:gridSpan w:val="7"/>
          </w:tcPr>
          <w:p>
            <w:pPr>
              <w:ind w:left="120"/>
              <w:spacing w:after="0"/>
              <w:rPr>
                <w:sz w:val="20"/>
                <w:szCs w:val="20"/>
                <w:color w:val="auto"/>
              </w:rPr>
            </w:pPr>
            <w:r>
              <w:rPr>
                <w:rFonts w:ascii="Arial" w:cs="Arial" w:eastAsia="Arial" w:hAnsi="Arial"/>
                <w:sz w:val="17"/>
                <w:szCs w:val="17"/>
                <w:color w:val="auto"/>
              </w:rPr>
              <w:t>INDEX</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3"/>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Borders>
              <w:bottom w:val="single" w:sz="8" w:color="auto"/>
            </w:tcBorders>
            <w:gridSpan w:val="4"/>
          </w:tcPr>
          <w:p>
            <w:pPr>
              <w:ind w:left="500"/>
              <w:spacing w:after="0"/>
              <w:rPr>
                <w:sz w:val="20"/>
                <w:szCs w:val="20"/>
                <w:color w:val="auto"/>
              </w:rPr>
            </w:pPr>
            <w:r>
              <w:rPr>
                <w:rFonts w:ascii="Arial" w:cs="Arial" w:eastAsia="Arial" w:hAnsi="Arial"/>
                <w:sz w:val="17"/>
                <w:szCs w:val="17"/>
                <w:color w:val="auto"/>
              </w:rPr>
              <w:t>Page No.</w:t>
            </w:r>
          </w:p>
        </w:tc>
      </w:tr>
      <w:tr>
        <w:trPr>
          <w:trHeight w:val="162"/>
        </w:trPr>
        <w:tc>
          <w:tcPr>
            <w:tcW w:w="1320" w:type="dxa"/>
            <w:vAlign w:val="bottom"/>
            <w:gridSpan w:val="3"/>
          </w:tcPr>
          <w:p>
            <w:pPr>
              <w:spacing w:after="0" w:line="162" w:lineRule="exact"/>
              <w:rPr>
                <w:sz w:val="20"/>
                <w:szCs w:val="20"/>
                <w:color w:val="auto"/>
              </w:rPr>
            </w:pPr>
            <w:r>
              <w:rPr>
                <w:rFonts w:ascii="Arial" w:cs="Arial" w:eastAsia="Arial" w:hAnsi="Arial"/>
                <w:sz w:val="17"/>
                <w:szCs w:val="17"/>
                <w:color w:val="auto"/>
              </w:rPr>
              <w:t>PART I.</w:t>
            </w:r>
          </w:p>
        </w:tc>
        <w:tc>
          <w:tcPr>
            <w:tcW w:w="2140" w:type="dxa"/>
            <w:vAlign w:val="bottom"/>
            <w:tcBorders>
              <w:bottom w:val="single" w:sz="8" w:color="0000FF"/>
            </w:tcBorders>
            <w:gridSpan w:val="7"/>
          </w:tcPr>
          <w:p>
            <w:pPr>
              <w:spacing w:after="0" w:line="162" w:lineRule="exact"/>
              <w:rPr>
                <w:sz w:val="20"/>
                <w:szCs w:val="20"/>
                <w:color w:val="auto"/>
              </w:rPr>
            </w:pPr>
            <w:r>
              <w:rPr>
                <w:rFonts w:ascii="Arial" w:cs="Arial" w:eastAsia="Arial" w:hAnsi="Arial"/>
                <w:sz w:val="17"/>
                <w:szCs w:val="17"/>
                <w:color w:val="0000FF"/>
                <w:w w:val="99"/>
              </w:rPr>
              <w:t>FINANCIAL INFORMATION</w:t>
            </w:r>
          </w:p>
        </w:tc>
        <w:tc>
          <w:tcPr>
            <w:tcW w:w="6160" w:type="dxa"/>
            <w:vAlign w:val="bottom"/>
            <w:gridSpan w:val="11"/>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20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89"/>
              </w:rPr>
              <w:t>Unaudited Financial Statements</w:t>
            </w:r>
          </w:p>
        </w:tc>
        <w:tc>
          <w:tcPr>
            <w:tcW w:w="610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Arial" w:cs="Arial" w:eastAsia="Arial" w:hAnsi="Arial"/>
                <w:sz w:val="17"/>
                <w:szCs w:val="17"/>
                <w:color w:val="0000FF"/>
                <w:w w:val="89"/>
              </w:rPr>
              <w:t>Consolidated Condensed Statements of Income and Comprehensive Income</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Arial" w:cs="Arial" w:eastAsia="Arial" w:hAnsi="Arial"/>
                <w:sz w:val="17"/>
                <w:szCs w:val="17"/>
                <w:color w:val="0000FF"/>
              </w:rPr>
              <w:t>Consolidated Condensed Balance Sheets</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Arial" w:cs="Arial" w:eastAsia="Arial" w:hAnsi="Arial"/>
                <w:sz w:val="17"/>
                <w:szCs w:val="17"/>
                <w:color w:val="0000FF"/>
              </w:rPr>
              <w:t>Consolidated Condensed Statements of Stockholders' Equity</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3"/>
          </w:tcPr>
          <w:p>
            <w:pPr>
              <w:spacing w:after="0"/>
              <w:rPr>
                <w:sz w:val="20"/>
                <w:szCs w:val="20"/>
                <w:color w:val="auto"/>
              </w:rPr>
            </w:pPr>
            <w:r>
              <w:rPr>
                <w:rFonts w:ascii="Arial" w:cs="Arial" w:eastAsia="Arial" w:hAnsi="Arial"/>
                <w:sz w:val="17"/>
                <w:szCs w:val="17"/>
                <w:color w:val="0000FF"/>
              </w:rPr>
              <w:t>Consolidated Condensed Statements of Cash Flows</w:t>
            </w:r>
          </w:p>
        </w:tc>
        <w:tc>
          <w:tcPr>
            <w:tcW w:w="4040" w:type="dxa"/>
            <w:vAlign w:val="bottom"/>
            <w:gridSpan w:val="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Arial" w:cs="Arial" w:eastAsia="Arial" w:hAnsi="Arial"/>
                <w:sz w:val="17"/>
                <w:szCs w:val="17"/>
                <w:color w:val="0000FF"/>
              </w:rPr>
              <w:t>Notes to Consolidated Condensed Financial Statements</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300" w:type="dxa"/>
            <w:vAlign w:val="bottom"/>
            <w:gridSpan w:val="18"/>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16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612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 About Market Risk</w:t>
            </w: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gridSpan w:val="5"/>
          </w:tcPr>
          <w:p>
            <w:pPr>
              <w:spacing w:after="0"/>
              <w:rPr>
                <w:sz w:val="20"/>
                <w:szCs w:val="20"/>
                <w:color w:val="auto"/>
              </w:rPr>
            </w:pPr>
            <w:r>
              <w:rPr>
                <w:rFonts w:ascii="Arial" w:cs="Arial" w:eastAsia="Arial" w:hAnsi="Arial"/>
                <w:sz w:val="17"/>
                <w:szCs w:val="17"/>
                <w:color w:val="0000FF"/>
                <w:w w:val="87"/>
              </w:rPr>
              <w:t>Controls and Procedures</w:t>
            </w:r>
          </w:p>
        </w:tc>
        <w:tc>
          <w:tcPr>
            <w:tcW w:w="2380" w:type="dxa"/>
            <w:vAlign w:val="bottom"/>
            <w:gridSpan w:val="7"/>
          </w:tcPr>
          <w:p>
            <w:pPr>
              <w:spacing w:after="0"/>
              <w:rPr>
                <w:sz w:val="24"/>
                <w:szCs w:val="24"/>
                <w:color w:val="auto"/>
              </w:rPr>
            </w:pPr>
          </w:p>
        </w:tc>
        <w:tc>
          <w:tcPr>
            <w:tcW w:w="4240" w:type="dxa"/>
            <w:vAlign w:val="bottom"/>
            <w:gridSpan w:val="6"/>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7"/>
                <w:szCs w:val="17"/>
                <w:color w:val="auto"/>
              </w:rPr>
              <w:t>PART II.</w:t>
            </w:r>
          </w:p>
        </w:tc>
        <w:tc>
          <w:tcPr>
            <w:tcW w:w="830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78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Legal Proceedings</w:t>
            </w:r>
          </w:p>
        </w:tc>
        <w:tc>
          <w:tcPr>
            <w:tcW w:w="6520" w:type="dxa"/>
            <w:vAlign w:val="bottom"/>
            <w:gridSpan w:val="1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60" w:type="dxa"/>
            <w:vAlign w:val="bottom"/>
            <w:gridSpan w:val="3"/>
          </w:tcPr>
          <w:p>
            <w:pPr>
              <w:spacing w:after="0"/>
              <w:rPr>
                <w:sz w:val="20"/>
                <w:szCs w:val="20"/>
                <w:color w:val="auto"/>
              </w:rPr>
            </w:pPr>
            <w:r>
              <w:rPr>
                <w:rFonts w:ascii="Arial" w:cs="Arial" w:eastAsia="Arial" w:hAnsi="Arial"/>
                <w:sz w:val="17"/>
                <w:szCs w:val="17"/>
                <w:color w:val="0000FF"/>
                <w:w w:val="88"/>
              </w:rPr>
              <w:t>Risk Factors</w:t>
            </w:r>
          </w:p>
        </w:tc>
        <w:tc>
          <w:tcPr>
            <w:tcW w:w="380" w:type="dxa"/>
            <w:vAlign w:val="bottom"/>
          </w:tcPr>
          <w:p>
            <w:pPr>
              <w:spacing w:after="0"/>
              <w:rPr>
                <w:sz w:val="24"/>
                <w:szCs w:val="24"/>
                <w:color w:val="auto"/>
              </w:rPr>
            </w:pP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30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20" w:type="dxa"/>
            <w:vAlign w:val="bottom"/>
            <w:gridSpan w:val="13"/>
          </w:tcPr>
          <w:p>
            <w:pPr>
              <w:spacing w:after="0"/>
              <w:rPr>
                <w:sz w:val="20"/>
                <w:szCs w:val="20"/>
                <w:color w:val="auto"/>
              </w:rPr>
            </w:pPr>
            <w:r>
              <w:rPr>
                <w:rFonts w:ascii="Arial" w:cs="Arial" w:eastAsia="Arial" w:hAnsi="Arial"/>
                <w:sz w:val="17"/>
                <w:szCs w:val="17"/>
                <w:color w:val="0000FF"/>
              </w:rPr>
              <w:t>Defaults Upon Senior Securities</w:t>
            </w:r>
          </w:p>
        </w:tc>
        <w:tc>
          <w:tcPr>
            <w:tcW w:w="4180" w:type="dxa"/>
            <w:vAlign w:val="bottom"/>
            <w:gridSpan w:val="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gridSpan w:val="5"/>
          </w:tcPr>
          <w:p>
            <w:pPr>
              <w:spacing w:after="0"/>
              <w:rPr>
                <w:sz w:val="20"/>
                <w:szCs w:val="20"/>
                <w:color w:val="auto"/>
              </w:rPr>
            </w:pPr>
            <w:r>
              <w:rPr>
                <w:rFonts w:ascii="Arial" w:cs="Arial" w:eastAsia="Arial" w:hAnsi="Arial"/>
                <w:sz w:val="17"/>
                <w:szCs w:val="17"/>
                <w:color w:val="0000FF"/>
                <w:w w:val="89"/>
              </w:rPr>
              <w:t>Mine Safety Disclosures</w:t>
            </w:r>
          </w:p>
        </w:tc>
        <w:tc>
          <w:tcPr>
            <w:tcW w:w="520" w:type="dxa"/>
            <w:vAlign w:val="bottom"/>
            <w:gridSpan w:val="3"/>
          </w:tcPr>
          <w:p>
            <w:pPr>
              <w:spacing w:after="0"/>
              <w:rPr>
                <w:sz w:val="24"/>
                <w:szCs w:val="24"/>
                <w:color w:val="auto"/>
              </w:rPr>
            </w:pPr>
          </w:p>
        </w:tc>
        <w:tc>
          <w:tcPr>
            <w:tcW w:w="6100" w:type="dxa"/>
            <w:vAlign w:val="bottom"/>
            <w:gridSpan w:val="10"/>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2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680" w:type="dxa"/>
            <w:vAlign w:val="bottom"/>
            <w:gridSpan w:val="5"/>
          </w:tcPr>
          <w:p>
            <w:pPr>
              <w:spacing w:after="0"/>
              <w:rPr>
                <w:sz w:val="20"/>
                <w:szCs w:val="20"/>
                <w:color w:val="auto"/>
              </w:rPr>
            </w:pPr>
            <w:r>
              <w:rPr>
                <w:rFonts w:ascii="Arial" w:cs="Arial" w:eastAsia="Arial" w:hAnsi="Arial"/>
                <w:sz w:val="17"/>
                <w:szCs w:val="17"/>
                <w:color w:val="0000FF"/>
              </w:rPr>
              <w:t>Other Information</w:t>
            </w:r>
          </w:p>
        </w:tc>
        <w:tc>
          <w:tcPr>
            <w:tcW w:w="6620" w:type="dxa"/>
            <w:vAlign w:val="bottom"/>
            <w:gridSpan w:val="1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40" w:type="dxa"/>
            <w:vAlign w:val="bottom"/>
            <w:gridSpan w:val="4"/>
          </w:tcPr>
          <w:p>
            <w:pPr>
              <w:spacing w:after="0"/>
              <w:rPr>
                <w:sz w:val="20"/>
                <w:szCs w:val="20"/>
                <w:color w:val="auto"/>
              </w:rPr>
            </w:pPr>
            <w:r>
              <w:rPr>
                <w:rFonts w:ascii="Arial" w:cs="Arial" w:eastAsia="Arial" w:hAnsi="Arial"/>
                <w:sz w:val="17"/>
                <w:szCs w:val="17"/>
                <w:color w:val="0000FF"/>
              </w:rPr>
              <w:t>Exhibits</w:t>
            </w: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ind w:left="4160"/>
        <w:spacing w:after="0"/>
        <w:rPr>
          <w:sz w:val="20"/>
          <w:szCs w:val="20"/>
          <w:color w:val="auto"/>
        </w:rPr>
      </w:pPr>
      <w:r>
        <w:rPr>
          <w:rFonts w:ascii="Arial" w:cs="Arial" w:eastAsia="Arial" w:hAnsi="Arial"/>
          <w:sz w:val="17"/>
          <w:szCs w:val="17"/>
          <w:b w:val="1"/>
          <w:bCs w:val="1"/>
          <w:color w:val="auto"/>
        </w:rPr>
        <w:t>PART I. FINANCIAL INFORMATION</w:t>
      </w:r>
    </w:p>
    <w:p>
      <w:pPr>
        <w:spacing w:after="0" w:line="2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Item 1. Unaudited Financial Statements</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Income and Comprehensive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January 31,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except for earnings per share)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2023</w:t>
            </w: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7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560" w:type="dxa"/>
            <w:vAlign w:val="bottom"/>
            <w:shd w:val="clear" w:color="auto" w:fill="CCEEFF"/>
          </w:tcPr>
          <w:p>
            <w:pPr>
              <w:jc w:val="right"/>
              <w:ind w:right="137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787.2</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1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268.8</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518.4</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319.1</w:t>
            </w:r>
          </w:p>
        </w:tc>
        <w:tc>
          <w:tcPr>
            <w:tcW w:w="0" w:type="dxa"/>
            <w:vAlign w:val="bottom"/>
          </w:tcPr>
          <w:p>
            <w:pPr>
              <w:spacing w:after="0"/>
              <w:rPr>
                <w:sz w:val="1"/>
                <w:szCs w:val="1"/>
                <w:color w:val="auto"/>
              </w:rPr>
            </w:pPr>
          </w:p>
        </w:tc>
      </w:tr>
      <w:tr>
        <w:trPr>
          <w:trHeight w:val="236"/>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w:t>
            </w:r>
          </w:p>
        </w:tc>
        <w:tc>
          <w:tcPr>
            <w:tcW w:w="15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intangibles</w:t>
            </w:r>
          </w:p>
        </w:tc>
        <w:tc>
          <w:tcPr>
            <w:tcW w:w="1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36"/>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15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122.1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36"/>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 (Note 6)</w:t>
            </w:r>
          </w:p>
        </w:tc>
        <w:tc>
          <w:tcPr>
            <w:tcW w:w="15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96"/>
        </w:trPr>
        <w:tc>
          <w:tcPr>
            <w:tcW w:w="65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560" w:type="dxa"/>
            <w:vAlign w:val="bottom"/>
            <w:tcBorders>
              <w:bottom w:val="single" w:sz="8" w:color="auto"/>
            </w:tcBorders>
          </w:tcPr>
          <w:p>
            <w:pPr>
              <w:jc w:val="right"/>
              <w:ind w:right="137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 (Note 7):</w:t>
            </w:r>
          </w:p>
        </w:tc>
        <w:tc>
          <w:tcPr>
            <w:tcW w:w="1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7"/>
                <w:szCs w:val="17"/>
                <w:color w:val="auto"/>
              </w:rPr>
              <w:t>Basic</w:t>
            </w:r>
          </w:p>
        </w:tc>
        <w:tc>
          <w:tcPr>
            <w:tcW w:w="1560" w:type="dxa"/>
            <w:vAlign w:val="bottom"/>
            <w:tcBorders>
              <w:bottom w:val="single" w:sz="8" w:color="auto"/>
            </w:tcBorders>
          </w:tcPr>
          <w:p>
            <w:pPr>
              <w:jc w:val="right"/>
              <w:ind w:right="137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56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Number of shares used to compute earnings per share:</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5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Diluted</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vMerge w:val="continue"/>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1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7"/>
                <w:szCs w:val="17"/>
                <w:color w:val="auto"/>
              </w:rPr>
              <w:t>Cash flow hedges</w:t>
            </w:r>
          </w:p>
        </w:tc>
        <w:tc>
          <w:tcPr>
            <w:tcW w:w="1560" w:type="dxa"/>
            <w:vAlign w:val="bottom"/>
          </w:tcPr>
          <w:p>
            <w:pPr>
              <w:jc w:val="right"/>
              <w:ind w:right="137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(21.0)</w:t>
            </w:r>
          </w:p>
        </w:tc>
        <w:tc>
          <w:tcPr>
            <w:tcW w:w="14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 currency translation adjustment</w:t>
            </w:r>
          </w:p>
        </w:tc>
        <w:tc>
          <w:tcPr>
            <w:tcW w:w="1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560" w:type="dxa"/>
            <w:vAlign w:val="bottom"/>
            <w:tcBorders>
              <w:bottom w:val="single" w:sz="8" w:color="auto"/>
            </w:tcBorders>
          </w:tcPr>
          <w:p>
            <w:pPr>
              <w:jc w:val="right"/>
              <w:ind w:right="137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147.6</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Arial" w:cs="Arial" w:eastAsia="Arial" w:hAnsi="Arial"/>
                <w:sz w:val="17"/>
                <w:szCs w:val="17"/>
                <w:b w:val="1"/>
                <w:bCs w:val="1"/>
                <w:color w:val="auto"/>
              </w:rPr>
              <w:t>January 31, 2023</w:t>
            </w:r>
          </w:p>
        </w:tc>
        <w:tc>
          <w:tcPr>
            <w:tcW w:w="200" w:type="dxa"/>
            <w:vAlign w:val="bottom"/>
          </w:tcPr>
          <w:p>
            <w:pPr>
              <w:spacing w:after="0"/>
              <w:rPr>
                <w:sz w:val="20"/>
                <w:szCs w:val="20"/>
                <w:color w:val="auto"/>
              </w:rPr>
            </w:pPr>
          </w:p>
        </w:tc>
        <w:tc>
          <w:tcPr>
            <w:tcW w:w="1660" w:type="dxa"/>
            <w:vAlign w:val="bottom"/>
          </w:tcPr>
          <w:p>
            <w:pPr>
              <w:jc w:val="right"/>
              <w:ind w:right="235"/>
              <w:spacing w:after="0"/>
              <w:rPr>
                <w:sz w:val="20"/>
                <w:szCs w:val="20"/>
                <w:color w:val="auto"/>
              </w:rPr>
            </w:pPr>
            <w:r>
              <w:rPr>
                <w:rFonts w:ascii="Arial" w:cs="Arial" w:eastAsia="Arial" w:hAnsi="Arial"/>
                <w:sz w:val="17"/>
                <w:szCs w:val="17"/>
                <w:b w:val="1"/>
                <w:bCs w:val="1"/>
                <w:color w:val="auto"/>
                <w:w w:val="96"/>
              </w:rPr>
              <w:t>October 31, 2022</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171"/>
        </w:trPr>
        <w:tc>
          <w:tcPr>
            <w:tcW w:w="7400" w:type="dxa"/>
            <w:vAlign w:val="bottom"/>
          </w:tcPr>
          <w:p>
            <w:pPr>
              <w:ind w:left="360"/>
              <w:spacing w:after="0" w:line="172" w:lineRule="exact"/>
              <w:rPr>
                <w:sz w:val="20"/>
                <w:szCs w:val="20"/>
                <w:color w:val="auto"/>
              </w:rPr>
            </w:pPr>
            <w:r>
              <w:rPr>
                <w:rFonts w:ascii="Arial" w:cs="Arial" w:eastAsia="Arial" w:hAnsi="Arial"/>
                <w:sz w:val="17"/>
                <w:szCs w:val="17"/>
                <w:color w:val="auto"/>
                <w:w w:val="92"/>
              </w:rPr>
              <w:t>Trade accounts receivable, net of allowance for credit losses of $24.7 at January 31, 2023, and $20.7</w:t>
            </w: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581.8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18"/>
        </w:trPr>
        <w:tc>
          <w:tcPr>
            <w:tcW w:w="7400" w:type="dxa"/>
            <w:vAlign w:val="bottom"/>
          </w:tcPr>
          <w:p>
            <w:pPr>
              <w:ind w:left="360"/>
              <w:spacing w:after="0"/>
              <w:rPr>
                <w:sz w:val="20"/>
                <w:szCs w:val="20"/>
                <w:color w:val="auto"/>
              </w:rPr>
            </w:pPr>
            <w:r>
              <w:rPr>
                <w:rFonts w:ascii="Arial" w:cs="Arial" w:eastAsia="Arial" w:hAnsi="Arial"/>
                <w:sz w:val="17"/>
                <w:szCs w:val="17"/>
                <w:color w:val="auto"/>
              </w:rPr>
              <w:t>at October 31, 2022</w:t>
            </w: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Inventories (Note 3)</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628.7</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Prepaid expense and other current assets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1,533.6</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1,464.0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1,432.9</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3,609.7</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Other intangibles, net (Note 4)</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1,863.4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1,885.1</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2,443.1</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Short-term debt (Note 5)</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68.1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412.6</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Employee compensation and benefits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167.2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152.1</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Long-term debt (Note 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2,627.3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2,350.8</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Long-term tax payable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pension liability and other</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4,317.6</w:t>
            </w:r>
          </w:p>
        </w:tc>
        <w:tc>
          <w:tcPr>
            <w:tcW w:w="0" w:type="dxa"/>
            <w:vAlign w:val="bottom"/>
          </w:tcPr>
          <w:p>
            <w:pPr>
              <w:spacing w:after="0"/>
              <w:rPr>
                <w:sz w:val="1"/>
                <w:szCs w:val="1"/>
                <w:color w:val="auto"/>
              </w:rPr>
            </w:pPr>
          </w:p>
        </w:tc>
      </w:tr>
      <w:tr>
        <w:trPr>
          <w:trHeight w:val="203"/>
        </w:trPr>
        <w:tc>
          <w:tcPr>
            <w:tcW w:w="7400" w:type="dxa"/>
            <w:vAlign w:val="bottom"/>
          </w:tcPr>
          <w:p>
            <w:pPr>
              <w:ind w:left="20"/>
              <w:spacing w:after="0"/>
              <w:rPr>
                <w:sz w:val="20"/>
                <w:szCs w:val="20"/>
                <w:color w:val="auto"/>
              </w:rPr>
            </w:pPr>
            <w:r>
              <w:rPr>
                <w:rFonts w:ascii="Arial" w:cs="Arial" w:eastAsia="Arial" w:hAnsi="Arial"/>
                <w:sz w:val="17"/>
                <w:szCs w:val="17"/>
                <w:color w:val="auto"/>
              </w:rPr>
              <w:t>Contingencies (Note 10)</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Preferred stock, $10 cents par value, 1.0 shares authorized, zero shares issued or outstanding</w:t>
            </w:r>
          </w:p>
        </w:tc>
        <w:tc>
          <w:tcPr>
            <w:tcW w:w="20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740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9"/>
              </w:rPr>
              <w:t>Common stock, $10 cents par value, 120.0 shares authorized, 53.9 issued and 49.4 outstanding at</w:t>
            </w:r>
          </w:p>
        </w:tc>
        <w:tc>
          <w:tcPr>
            <w:tcW w:w="20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31, 2023, and 53.8 issued and 49.3 outstanding at October 31, 2022</w:t>
            </w: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1,765.5</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6,668.0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6,584.9</w:t>
            </w: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stock at cost: 4.5 shares at January 31, 2023, and 4.5 shares at October 31, 2022</w:t>
            </w: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(714.5)</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Cooper stockholders’ equity</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Stockholders’ equity (Note 9)</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7,335.7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7,174.7</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Stockholders'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Common Shares</w:t>
            </w:r>
          </w:p>
        </w:tc>
        <w:tc>
          <w:tcPr>
            <w:tcW w:w="60" w:type="dxa"/>
            <w:vAlign w:val="bottom"/>
          </w:tcPr>
          <w:p>
            <w:pPr>
              <w:spacing w:after="0"/>
              <w:rPr>
                <w:sz w:val="14"/>
                <w:szCs w:val="14"/>
                <w:color w:val="auto"/>
              </w:rPr>
            </w:pPr>
          </w:p>
        </w:tc>
        <w:tc>
          <w:tcPr>
            <w:tcW w:w="128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7"/>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7"/>
            <w:vMerge w:val="continue"/>
          </w:tcPr>
          <w:p>
            <w:pPr>
              <w:spacing w:after="0"/>
              <w:rPr>
                <w:sz w:val="7"/>
                <w:szCs w:val="7"/>
                <w:color w:val="auto"/>
              </w:rPr>
            </w:pPr>
          </w:p>
        </w:tc>
        <w:tc>
          <w:tcPr>
            <w:tcW w:w="840" w:type="dxa"/>
            <w:vAlign w:val="bottom"/>
            <w:gridSpan w:val="4"/>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3"/>
            <w:vMerge w:val="restart"/>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restart"/>
          </w:tcPr>
          <w:p>
            <w:pPr>
              <w:jc w:val="center"/>
              <w:ind w:right="96"/>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7"/>
        </w:trPr>
        <w:tc>
          <w:tcPr>
            <w:tcW w:w="28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3"/>
                <w:szCs w:val="3"/>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5"/>
          </w:tcPr>
          <w:p>
            <w:pPr>
              <w:jc w:val="right"/>
              <w:ind w:right="160"/>
              <w:spacing w:after="0" w:line="145" w:lineRule="exact"/>
              <w:rPr>
                <w:sz w:val="20"/>
                <w:szCs w:val="20"/>
                <w:color w:val="auto"/>
              </w:rPr>
            </w:pPr>
            <w:r>
              <w:rPr>
                <w:rFonts w:ascii="Arial" w:cs="Arial" w:eastAsia="Arial" w:hAnsi="Arial"/>
                <w:sz w:val="14"/>
                <w:szCs w:val="14"/>
                <w:b w:val="1"/>
                <w:bCs w:val="1"/>
                <w:color w:val="auto"/>
                <w:w w:val="95"/>
              </w:rPr>
              <w:t>Comprehensive</w:t>
            </w: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7"/>
        </w:trPr>
        <w:tc>
          <w:tcPr>
            <w:tcW w:w="284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720" w:type="dxa"/>
            <w:vAlign w:val="bottom"/>
            <w:gridSpan w:val="5"/>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7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7"/>
                <w:szCs w:val="17"/>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7"/>
                <w:szCs w:val="17"/>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7"/>
                <w:szCs w:val="17"/>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November 1, 2021</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$ 1,715.2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8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$ 6,202.1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 (639.6)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6,942.0</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Other comprehensive income, net of tax</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line="172" w:lineRule="exact"/>
              <w:rPr>
                <w:sz w:val="20"/>
                <w:szCs w:val="20"/>
                <w:color w:val="auto"/>
              </w:rPr>
            </w:pPr>
            <w:r>
              <w:rPr>
                <w:rFonts w:ascii="Arial" w:cs="Arial" w:eastAsia="Arial" w:hAnsi="Arial"/>
                <w:sz w:val="17"/>
                <w:szCs w:val="17"/>
                <w:color w:val="auto"/>
              </w:rPr>
              <w:t>Issuance of common stock for stock</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line="176" w:lineRule="exact"/>
              <w:rPr>
                <w:sz w:val="20"/>
                <w:szCs w:val="20"/>
                <w:color w:val="auto"/>
              </w:rPr>
            </w:pPr>
            <w:r>
              <w:rPr>
                <w:rFonts w:ascii="Arial" w:cs="Arial" w:eastAsia="Arial" w:hAnsi="Arial"/>
                <w:sz w:val="17"/>
                <w:szCs w:val="17"/>
                <w:color w:val="auto"/>
                <w:w w:val="92"/>
              </w:rPr>
              <w:t>plans, net and employee stock purchase</w:t>
            </w:r>
          </w:p>
        </w:tc>
        <w:tc>
          <w:tcPr>
            <w:tcW w:w="560" w:type="dxa"/>
            <w:vAlign w:val="bottom"/>
            <w:gridSpan w:val="2"/>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7"/>
                <w:szCs w:val="17"/>
                <w:color w:val="auto"/>
              </w:rPr>
              <w:t>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8"/>
        </w:trPr>
        <w:tc>
          <w:tcPr>
            <w:tcW w:w="2840" w:type="dxa"/>
            <w:vAlign w:val="bottom"/>
          </w:tcPr>
          <w:p>
            <w:pPr>
              <w:ind w:left="20"/>
              <w:spacing w:after="0"/>
              <w:rPr>
                <w:sz w:val="20"/>
                <w:szCs w:val="20"/>
                <w:color w:val="auto"/>
              </w:rPr>
            </w:pPr>
            <w:r>
              <w:rPr>
                <w:rFonts w:ascii="Arial" w:cs="Arial" w:eastAsia="Arial" w:hAnsi="Arial"/>
                <w:sz w:val="17"/>
                <w:szCs w:val="17"/>
                <w:color w:val="auto"/>
              </w:rPr>
              <w:t>plan</w:t>
            </w:r>
          </w:p>
        </w:tc>
        <w:tc>
          <w:tcPr>
            <w:tcW w:w="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4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w w:val="94"/>
              </w:rPr>
              <w:t>Dividends on common stock ($0.03 per</w:t>
            </w: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8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repurchase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7"/>
                <w:szCs w:val="17"/>
                <w:color w:val="auto"/>
              </w:rPr>
              <w:t>Balance at January 31, 2022</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5"/>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0"/>
              </w:rPr>
              <w:t>$ 1,719.2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8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$ 6,295.9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 (717.4)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6,926.1</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November 1, 2022</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$ 1,765.5</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(466.8)</w:t>
            </w: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$ 6,584.9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(714.5)</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7,174.7</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84.6</w:t>
            </w:r>
          </w:p>
        </w:tc>
        <w:tc>
          <w:tcPr>
            <w:tcW w:w="0" w:type="dxa"/>
            <w:vAlign w:val="bottom"/>
          </w:tcPr>
          <w:p>
            <w:pPr>
              <w:spacing w:after="0"/>
              <w:rPr>
                <w:sz w:val="1"/>
                <w:szCs w:val="1"/>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Other comprehensive income, net of tax</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line="172" w:lineRule="exact"/>
              <w:rPr>
                <w:sz w:val="20"/>
                <w:szCs w:val="20"/>
                <w:color w:val="auto"/>
              </w:rPr>
            </w:pPr>
            <w:r>
              <w:rPr>
                <w:rFonts w:ascii="Arial" w:cs="Arial" w:eastAsia="Arial" w:hAnsi="Arial"/>
                <w:sz w:val="17"/>
                <w:szCs w:val="17"/>
                <w:color w:val="auto"/>
              </w:rPr>
              <w:t>Issuance of common stock for stock</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line="167" w:lineRule="exact"/>
              <w:rPr>
                <w:sz w:val="20"/>
                <w:szCs w:val="20"/>
                <w:color w:val="auto"/>
              </w:rPr>
            </w:pPr>
            <w:r>
              <w:rPr>
                <w:rFonts w:ascii="Arial" w:cs="Arial" w:eastAsia="Arial" w:hAnsi="Arial"/>
                <w:sz w:val="17"/>
                <w:szCs w:val="17"/>
                <w:color w:val="auto"/>
                <w:w w:val="92"/>
              </w:rPr>
              <w:t>plans, net and employee stock purchase</w:t>
            </w: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plan</w:t>
            </w:r>
          </w:p>
        </w:tc>
        <w:tc>
          <w:tcPr>
            <w:tcW w:w="6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84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color w:val="auto"/>
                <w:w w:val="94"/>
              </w:rPr>
              <w:t>Dividends on common stock ($0.03 per</w:t>
            </w: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7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8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90"/>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31, 2023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$ 1,779.2</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(403.8)</w:t>
            </w:r>
          </w:p>
        </w:tc>
        <w:tc>
          <w:tcPr>
            <w:tcW w:w="4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$ 6,668.0</w:t>
            </w:r>
          </w:p>
        </w:tc>
        <w:tc>
          <w:tcPr>
            <w:tcW w:w="60" w:type="dxa"/>
            <w:vAlign w:val="bottom"/>
            <w:tcBorders>
              <w:top w:val="single" w:sz="8" w:color="auto"/>
              <w:bottom w:val="single" w:sz="8" w:color="auto"/>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3"/>
              </w:rPr>
              <w:t>$ (713.3)</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7,335.7</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January 31,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millions,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Net income</w:t>
            </w:r>
          </w:p>
        </w:tc>
        <w:tc>
          <w:tcPr>
            <w:tcW w:w="1020" w:type="dxa"/>
            <w:vAlign w:val="bottom"/>
          </w:tcPr>
          <w:p>
            <w:pPr>
              <w:jc w:val="right"/>
              <w:ind w:right="83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84.6</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changes in operating capital</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non-cash items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0" w:type="dxa"/>
            <w:vAlign w:val="bottom"/>
          </w:tcPr>
          <w:p>
            <w:pPr>
              <w:spacing w:after="0"/>
              <w:rPr>
                <w:sz w:val="1"/>
                <w:szCs w:val="1"/>
                <w:color w:val="auto"/>
              </w:rPr>
            </w:pPr>
          </w:p>
        </w:tc>
      </w:tr>
      <w:tr>
        <w:trPr>
          <w:trHeight w:val="205"/>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property, plant and equipment</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Acquisitions of businesses and assets, net of cash acquired, and other</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(1,669.3)</w:t>
            </w:r>
          </w:p>
        </w:tc>
        <w:tc>
          <w:tcPr>
            <w:tcW w:w="0" w:type="dxa"/>
            <w:vAlign w:val="bottom"/>
          </w:tcPr>
          <w:p>
            <w:pPr>
              <w:spacing w:after="0"/>
              <w:rPr>
                <w:sz w:val="1"/>
                <w:szCs w:val="1"/>
                <w:color w:val="auto"/>
              </w:rPr>
            </w:pPr>
          </w:p>
        </w:tc>
      </w:tr>
      <w:tr>
        <w:trPr>
          <w:trHeight w:val="205"/>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long-term debt, net of issuance costs</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1,499.5</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Repayments of long-term debt</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(548.6)</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(repayments of) proceeds from short-term debt</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830.4</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7"/>
                <w:szCs w:val="17"/>
                <w:color w:val="auto"/>
              </w:rPr>
              <w:t>Net payments related to share-based compensation awards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 of common stock</w:t>
            </w:r>
          </w:p>
        </w:tc>
        <w:tc>
          <w:tcPr>
            <w:tcW w:w="10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Issuance of common stock for employee stock purchase plan</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1,693.6</w:t>
            </w:r>
          </w:p>
        </w:tc>
        <w:tc>
          <w:tcPr>
            <w:tcW w:w="0" w:type="dxa"/>
            <w:vAlign w:val="bottom"/>
          </w:tcPr>
          <w:p>
            <w:pPr>
              <w:spacing w:after="0"/>
              <w:rPr>
                <w:sz w:val="1"/>
                <w:szCs w:val="1"/>
                <w:color w:val="auto"/>
              </w:rPr>
            </w:pPr>
          </w:p>
        </w:tc>
      </w:tr>
      <w:tr>
        <w:trPr>
          <w:trHeight w:val="21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increase in cash, cash equivalents, restricted cash, and cash held for sale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restricted cash, and cash held for sale at beginning of period</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restricted cash, and cash held for sale at end of period</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Reconciliation of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9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Restricted cash included in other current assets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held for sale</w:t>
            </w:r>
          </w:p>
        </w:tc>
        <w:tc>
          <w:tcPr>
            <w:tcW w:w="10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7"/>
                <w:szCs w:val="17"/>
                <w:color w:val="auto"/>
              </w:rPr>
              <w:t>Total cash, cash equivalents, restricted cash, and cash held for sale</w:t>
            </w: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 General</w:t>
      </w:r>
    </w:p>
    <w:p>
      <w:pPr>
        <w:spacing w:after="0" w:line="254"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2022. The Consolidated Condensed Financial Statements include all adjustments (consisting only of normal recurring adjustments) and accruals necessary in the judgment of management for a fair presentation of the results for the interim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54"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There have been no material changes to our significant accounting policies described in our Annual Report on Form 10-K for the fiscal year ended October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w:t>
      </w:r>
    </w:p>
    <w:p>
      <w:pPr>
        <w:spacing w:after="0" w:line="25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 Assistance</w:t>
      </w:r>
      <w:r>
        <w:rPr>
          <w:rFonts w:ascii="Arial" w:cs="Arial" w:eastAsia="Arial" w:hAnsi="Arial"/>
          <w:sz w:val="17"/>
          <w:szCs w:val="17"/>
          <w:color w:val="auto"/>
        </w:rPr>
        <w:t>. This update requires annual disclosures about transactions with a government that are accounted for by applying a grant or contribution accounting model by analogy. This standard is effective for fiscal years beginning after December 15, 2021 and should be applied either prospectively or retrospectively. Early adoption is permitted. The Company adopted this guidance prospectively on November 1, 2022, and it did not have a material impact on the Consolidated Condensed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Issued But Not Yet Adopted</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848</w:t>
      </w:r>
      <w:r>
        <w:rPr>
          <w:rFonts w:ascii="Arial" w:cs="Arial" w:eastAsia="Arial" w:hAnsi="Arial"/>
          <w:sz w:val="15"/>
          <w:szCs w:val="15"/>
          <w:color w:val="auto"/>
        </w:rPr>
        <w:t xml:space="preserve">): </w:t>
      </w:r>
      <w:r>
        <w:rPr>
          <w:rFonts w:ascii="Arial" w:cs="Arial" w:eastAsia="Arial" w:hAnsi="Arial"/>
          <w:sz w:val="15"/>
          <w:szCs w:val="15"/>
          <w:i w:val="1"/>
          <w:iCs w:val="1"/>
          <w:color w:val="auto"/>
        </w:rPr>
        <w:t>Facilitation of the Effects of Reference Rate Reform on Financial Reporting</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subsequent amendment to the initial guidance: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(collectively, “Topic 848”). Topic 848 provides</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discontinued because of reference rate reform. In December 2022, the FASB issued ASU 2022-06, </w:t>
      </w:r>
      <w:r>
        <w:rPr>
          <w:rFonts w:ascii="Arial" w:cs="Arial" w:eastAsia="Arial" w:hAnsi="Arial"/>
          <w:sz w:val="16"/>
          <w:szCs w:val="16"/>
          <w:i w:val="1"/>
          <w:iCs w:val="1"/>
          <w:color w:val="auto"/>
        </w:rPr>
        <w:t>Reference Rate Reform (Topic 848): Deferral of the Sunset Date</w:t>
      </w:r>
      <w:r>
        <w:rPr>
          <w:rFonts w:ascii="Arial" w:cs="Arial" w:eastAsia="Arial" w:hAnsi="Arial"/>
          <w:sz w:val="16"/>
          <w:szCs w:val="16"/>
          <w:color w:val="auto"/>
        </w:rPr>
        <w:t xml:space="preserve"> </w:t>
      </w:r>
      <w:r>
        <w:rPr>
          <w:rFonts w:ascii="Arial" w:cs="Arial" w:eastAsia="Arial" w:hAnsi="Arial"/>
          <w:sz w:val="16"/>
          <w:szCs w:val="16"/>
          <w:i w:val="1"/>
          <w:iCs w:val="1"/>
          <w:color w:val="auto"/>
        </w:rPr>
        <w:t>of Topic 848</w:t>
      </w:r>
      <w:r>
        <w:rPr>
          <w:rFonts w:ascii="Arial" w:cs="Arial" w:eastAsia="Arial" w:hAnsi="Arial"/>
          <w:sz w:val="16"/>
          <w:szCs w:val="16"/>
          <w:color w:val="auto"/>
        </w:rPr>
        <w:t>. ASU 2022-06 defers the sunset date of Topic 848 from December 31, 2022 to December 31, 2024.</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February 1, 2023,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transitioned its credit agreements from LIBOR to the Secured Overnight Financing Rate ("SOFR"). The Company plans to adopt the guidance prospectively in the second quarter of fiscal 2023 and does not expect it to have a material impact on the Company's financial position.</w:t>
      </w:r>
    </w:p>
    <w:p>
      <w:pPr>
        <w:spacing w:after="0" w:line="206" w:lineRule="exact"/>
        <w:rPr>
          <w:sz w:val="20"/>
          <w:szCs w:val="20"/>
          <w:color w:val="auto"/>
        </w:rPr>
      </w:pPr>
    </w:p>
    <w:p>
      <w:pPr>
        <w:ind w:right="760"/>
        <w:spacing w:after="0" w:line="274" w:lineRule="auto"/>
        <w:rPr>
          <w:sz w:val="20"/>
          <w:szCs w:val="20"/>
          <w:color w:val="auto"/>
        </w:rPr>
      </w:pPr>
      <w:r>
        <w:rPr>
          <w:rFonts w:ascii="Arial" w:cs="Arial" w:eastAsia="Arial" w:hAnsi="Arial"/>
          <w:sz w:val="17"/>
          <w:szCs w:val="17"/>
          <w:color w:val="auto"/>
        </w:rPr>
        <w:t>No other recently issued accounting pronouncements had or are expected to have a material impact on the Company's Consolidated Condensed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2. Acquisitions and Joint Venture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All acquisitions were funded by cash generated from operations or facility borrowings.</w:t>
      </w:r>
    </w:p>
    <w:p>
      <w:pPr>
        <w:spacing w:after="0" w:line="169"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November 1, 2022, CooperVision completed the acquisition of a privately-held U.S.-based company that provides a broad portfolio of technologically advanced contact lens products, including scleral and hybrid lenses. The purchase price of the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acquisition was $33.0 million. Based upon preliminary valuations, assets acquired primarily comprised of $12.6 million of customer relationship related intangibles, $7.6 million of technology, and $13.1 million of goodwill. The goodwill is not deductible for tax purposes. The purchase price allocation is preliminary, and the Company is in the process of finalizing information primarily related to the effect on taxes and the corresponding impact on goodwill.</w:t>
      </w:r>
    </w:p>
    <w:p>
      <w:pPr>
        <w:spacing w:after="0" w:line="195"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Refer to "Joint Venture" below for details on formation of a joint venture with Essilor International and related activities that occurred in fiscal year 2022 following the acquisition of SightGlass Vision, Inc. (SGV) in fiscal year 2021.</w:t>
      </w:r>
    </w:p>
    <w:p>
      <w:pPr>
        <w:spacing w:after="0" w:line="22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On April 6,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such as receipt of required regulatory approvals.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Generate Life Sciences</w:t>
      </w:r>
      <w:r>
        <w:rPr>
          <w:rFonts w:ascii="Arial" w:cs="Arial" w:eastAsia="Arial" w:hAnsi="Arial"/>
          <w:sz w:val="22"/>
          <w:szCs w:val="22"/>
          <w:color w:val="auto"/>
          <w:vertAlign w:val="superscript"/>
        </w:rPr>
        <w: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On December 17, 2021, CooperSurgical completed the acquisition of 100% of the equity interests in Generate Life Sciences (Generate), a privately held leading</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provider of donor egg and sperm for fertility treatments, fertility cryopreservation services and newborn stem cell storage (cord blood &amp; cord tissue), and paid an aggregate purchase consideration of approximately $1.663 billion, reflecting working capital, and other adjustments. The cash consideration was funded through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combination of $1.5 billion in proceeds from the issuance of a senior unsecured term loan and available cash on hand.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values of assets acquired and liabilities assumed as of the acquisition date: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(In millions)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0" w:type="dxa"/>
            <w:vAlign w:val="bottom"/>
          </w:tcPr>
          <w:p>
            <w:pPr>
              <w:ind w:left="360"/>
              <w:spacing w:after="0"/>
              <w:rPr>
                <w:sz w:val="20"/>
                <w:szCs w:val="20"/>
                <w:color w:val="auto"/>
              </w:rPr>
            </w:pPr>
            <w:r>
              <w:rPr>
                <w:rFonts w:ascii="Arial" w:cs="Arial" w:eastAsia="Arial" w:hAnsi="Arial"/>
                <w:sz w:val="17"/>
                <w:szCs w:val="17"/>
                <w:color w:val="auto"/>
              </w:rPr>
              <w:t>Cash and cash equivalents</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58.6</w:t>
            </w:r>
          </w:p>
        </w:tc>
      </w:tr>
      <w:tr>
        <w:trPr>
          <w:trHeight w:val="252"/>
        </w:trPr>
        <w:tc>
          <w:tcPr>
            <w:tcW w:w="9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Trade accounts receivable, net</w:t>
            </w: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r>
      <w:tr>
        <w:trPr>
          <w:trHeight w:val="234"/>
        </w:trPr>
        <w:tc>
          <w:tcPr>
            <w:tcW w:w="9600" w:type="dxa"/>
            <w:vAlign w:val="bottom"/>
          </w:tcPr>
          <w:p>
            <w:pPr>
              <w:ind w:left="360"/>
              <w:spacing w:after="0"/>
              <w:rPr>
                <w:sz w:val="20"/>
                <w:szCs w:val="20"/>
                <w:color w:val="auto"/>
              </w:rPr>
            </w:pPr>
            <w:r>
              <w:rPr>
                <w:rFonts w:ascii="Arial" w:cs="Arial" w:eastAsia="Arial" w:hAnsi="Arial"/>
                <w:sz w:val="17"/>
                <w:szCs w:val="17"/>
                <w:color w:val="auto"/>
              </w:rPr>
              <w:t>Inventories</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2"/>
        </w:trPr>
        <w:tc>
          <w:tcPr>
            <w:tcW w:w="9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 and other current assets</w:t>
            </w: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216"/>
        </w:trPr>
        <w:tc>
          <w:tcPr>
            <w:tcW w:w="960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113.1</w:t>
            </w:r>
          </w:p>
        </w:tc>
      </w:tr>
      <w:tr>
        <w:trPr>
          <w:trHeight w:val="25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r>
      <w:tr>
        <w:trPr>
          <w:trHeight w:val="234"/>
        </w:trPr>
        <w:tc>
          <w:tcPr>
            <w:tcW w:w="9600" w:type="dxa"/>
            <w:vAlign w:val="bottom"/>
          </w:tcPr>
          <w:p>
            <w:pPr>
              <w:ind w:left="20"/>
              <w:spacing w:after="0"/>
              <w:rPr>
                <w:sz w:val="20"/>
                <w:szCs w:val="20"/>
                <w:color w:val="auto"/>
              </w:rPr>
            </w:pPr>
            <w:r>
              <w:rPr>
                <w:rFonts w:ascii="Arial" w:cs="Arial" w:eastAsia="Arial" w:hAnsi="Arial"/>
                <w:sz w:val="17"/>
                <w:szCs w:val="17"/>
                <w:color w:val="auto"/>
              </w:rPr>
              <w:t>Goodwill</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1,173.9</w:t>
            </w:r>
          </w:p>
        </w:tc>
      </w:tr>
      <w:tr>
        <w:trPr>
          <w:trHeight w:val="252"/>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718.3</w:t>
            </w:r>
          </w:p>
        </w:tc>
      </w:tr>
      <w:tr>
        <w:trPr>
          <w:trHeight w:val="234"/>
        </w:trPr>
        <w:tc>
          <w:tcPr>
            <w:tcW w:w="9600" w:type="dxa"/>
            <w:vAlign w:val="bottom"/>
          </w:tcPr>
          <w:p>
            <w:pPr>
              <w:ind w:left="20"/>
              <w:spacing w:after="0"/>
              <w:rPr>
                <w:sz w:val="20"/>
                <w:szCs w:val="20"/>
                <w:color w:val="auto"/>
              </w:rPr>
            </w:pPr>
            <w:r>
              <w:rPr>
                <w:rFonts w:ascii="Arial" w:cs="Arial" w:eastAsia="Arial" w:hAnsi="Arial"/>
                <w:sz w:val="17"/>
                <w:szCs w:val="17"/>
                <w:color w:val="auto"/>
              </w:rPr>
              <w:t>Trademarks</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54.9</w:t>
            </w:r>
          </w:p>
        </w:tc>
      </w:tr>
      <w:tr>
        <w:trPr>
          <w:trHeight w:val="252"/>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10"/>
        </w:trPr>
        <w:tc>
          <w:tcPr>
            <w:tcW w:w="9600" w:type="dxa"/>
            <w:vAlign w:val="bottom"/>
          </w:tcPr>
          <w:p>
            <w:pPr>
              <w:ind w:left="680"/>
              <w:spacing w:after="0"/>
              <w:rPr>
                <w:sz w:val="20"/>
                <w:szCs w:val="20"/>
                <w:color w:val="auto"/>
              </w:rPr>
            </w:pPr>
            <w:r>
              <w:rPr>
                <w:rFonts w:ascii="Arial" w:cs="Arial" w:eastAsia="Arial" w:hAnsi="Arial"/>
                <w:sz w:val="17"/>
                <w:szCs w:val="17"/>
                <w:color w:val="auto"/>
              </w:rPr>
              <w:t>Total assets acquired</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2,124.3</w:t>
            </w:r>
          </w:p>
        </w:tc>
      </w:tr>
      <w:tr>
        <w:trPr>
          <w:trHeight w:val="27"/>
        </w:trPr>
        <w:tc>
          <w:tcPr>
            <w:tcW w:w="9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9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96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9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4"/>
        </w:trPr>
        <w:tc>
          <w:tcPr>
            <w:tcW w:w="9600" w:type="dxa"/>
            <w:vAlign w:val="bottom"/>
          </w:tcPr>
          <w:p>
            <w:pPr>
              <w:ind w:left="360"/>
              <w:spacing w:after="0"/>
              <w:rPr>
                <w:sz w:val="20"/>
                <w:szCs w:val="20"/>
                <w:color w:val="auto"/>
              </w:rPr>
            </w:pPr>
            <w:r>
              <w:rPr>
                <w:rFonts w:ascii="Arial" w:cs="Arial" w:eastAsia="Arial" w:hAnsi="Arial"/>
                <w:sz w:val="17"/>
                <w:szCs w:val="17"/>
                <w:color w:val="auto"/>
              </w:rPr>
              <w:t>Employee compensation and benefits</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52"/>
        </w:trPr>
        <w:tc>
          <w:tcPr>
            <w:tcW w:w="9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w:t>
            </w:r>
          </w:p>
        </w:tc>
      </w:tr>
      <w:tr>
        <w:trPr>
          <w:trHeight w:val="237"/>
        </w:trPr>
        <w:tc>
          <w:tcPr>
            <w:tcW w:w="96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current liabilities</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r>
      <w:tr>
        <w:trPr>
          <w:trHeight w:val="234"/>
        </w:trPr>
        <w:tc>
          <w:tcPr>
            <w:tcW w:w="96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144.3</w:t>
            </w:r>
          </w:p>
        </w:tc>
      </w:tr>
      <w:tr>
        <w:trPr>
          <w:trHeight w:val="252"/>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34"/>
        </w:trPr>
        <w:tc>
          <w:tcPr>
            <w:tcW w:w="960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188.8</w:t>
            </w:r>
          </w:p>
        </w:tc>
      </w:tr>
      <w:tr>
        <w:trPr>
          <w:trHeight w:val="252"/>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7"/>
        </w:trPr>
        <w:tc>
          <w:tcPr>
            <w:tcW w:w="9600" w:type="dxa"/>
            <w:vAlign w:val="bottom"/>
          </w:tcPr>
          <w:p>
            <w:pPr>
              <w:ind w:left="680"/>
              <w:spacing w:after="0"/>
              <w:rPr>
                <w:sz w:val="20"/>
                <w:szCs w:val="20"/>
                <w:color w:val="auto"/>
              </w:rPr>
            </w:pPr>
            <w:r>
              <w:rPr>
                <w:rFonts w:ascii="Arial" w:cs="Arial" w:eastAsia="Arial" w:hAnsi="Arial"/>
                <w:sz w:val="17"/>
                <w:szCs w:val="17"/>
                <w:color w:val="auto"/>
              </w:rPr>
              <w:t>Total liabilities assumed</w:t>
            </w:r>
          </w:p>
        </w:tc>
        <w:tc>
          <w:tcPr>
            <w:tcW w:w="5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461.2</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96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7"/>
                <w:szCs w:val="17"/>
                <w:b w:val="1"/>
                <w:bCs w:val="1"/>
                <w:color w:val="auto"/>
              </w:rPr>
              <w:t>Total purchase price</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1,663.1</w:t>
            </w:r>
          </w:p>
        </w:tc>
      </w:tr>
      <w:tr>
        <w:trPr>
          <w:trHeight w:val="27"/>
        </w:trPr>
        <w:tc>
          <w:tcPr>
            <w:tcW w:w="9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Customer relationships will be amortized over 20 years and trademarks will be amortized over 15 years. Goodwill is primarily attributable to assembled workforce and expected synergies to be achieved. The goodwill is not deductible for tax purposes.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The transaction costs associated with the acquisition consisted primarily of legal, regulatory and financial advisory fees, which were expensed as incurred as selling, general and administrative expense.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w:t>
      </w:r>
    </w:p>
    <w:p>
      <w:pPr>
        <w:spacing w:after="0" w:line="25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January 19, 2021, CooperVision acquired all of the remaining equity interests of SGV, a privately-held medical device company that developed spectacle lenses for myopia management. The transaction included potential payments of future consideration that were contingent upon the achievement of the regulatory approval milestone (the regulatory approval payment) and the acquired business reaching certain revenue thresholds over a specified period (the revenue payments). The undiscounted range of the contingent consideration was zero to $139.1 million payable to the other former equity interest owners.</w:t>
      </w:r>
    </w:p>
    <w:p>
      <w:pPr>
        <w:spacing w:after="0" w:line="202"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In March 2022, the entities amended the terms of the contingent consideration, which resulted in CooperVision paying $42.9 million to the former equity interest owners in exchange for the elimination of the revenue payments. CooperVision recognized a net gain of $12.2 million during fiscal 2022.</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Further, CooperVision and Essilor International SAS (Essilor) executed the Contribution Agreement and Stock Purchase Agreement (the “Agreements”) in March 2022. Essilor paid CooperVision $52.1 million in exchange for 50% interest in SGV and their proportionate share of the revenue payments. As part of the</w:t>
      </w:r>
    </w:p>
    <w:p>
      <w:pPr>
        <w:ind w:right="240"/>
        <w:spacing w:after="0" w:line="253" w:lineRule="auto"/>
        <w:rPr>
          <w:sz w:val="20"/>
          <w:szCs w:val="20"/>
          <w:color w:val="auto"/>
        </w:rPr>
      </w:pPr>
      <w:r>
        <w:rPr>
          <w:rFonts w:ascii="Arial" w:cs="Arial" w:eastAsia="Arial" w:hAnsi="Arial"/>
          <w:sz w:val="15"/>
          <w:szCs w:val="15"/>
          <w:color w:val="auto"/>
        </w:rPr>
        <w:t>Agreements, each party contributed their interest in SGV and $10 million in cash to form a new joint venture. CooperVision then remeasured the fair value of its retained equity investment in the joint venture at $90.0 million which resulted in a $56.9 million gain in Other (income) expense on deconsolidation of SGV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fiscal 2022.</w:t>
      </w:r>
    </w:p>
    <w:p>
      <w:pPr>
        <w:spacing w:after="0" w:line="209" w:lineRule="exact"/>
        <w:rPr>
          <w:sz w:val="20"/>
          <w:szCs w:val="20"/>
          <w:color w:val="auto"/>
        </w:rPr>
      </w:pPr>
    </w:p>
    <w:p>
      <w:pPr>
        <w:ind w:right="500"/>
        <w:spacing w:after="0" w:line="257" w:lineRule="auto"/>
        <w:rPr>
          <w:sz w:val="20"/>
          <w:szCs w:val="20"/>
          <w:color w:val="auto"/>
        </w:rPr>
      </w:pPr>
      <w:r>
        <w:rPr>
          <w:rFonts w:ascii="Arial" w:cs="Arial" w:eastAsia="Arial" w:hAnsi="Arial"/>
          <w:sz w:val="17"/>
          <w:szCs w:val="17"/>
          <w:color w:val="auto"/>
        </w:rPr>
        <w:t>As of January 31, 2023, CooperVision determined that approval would not be achieved within the timeline set forth in the contractual terms of the regulatory approval payment and released the remaining $31.8 million contingent consideration liability.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regarding the joint venture is included in our notes to our consolidated financial statements in our Annual Report on Form 10-K for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gridSpan w:val="4"/>
          </w:tcPr>
          <w:p>
            <w:pPr>
              <w:spacing w:after="0"/>
              <w:rPr>
                <w:sz w:val="20"/>
                <w:szCs w:val="20"/>
                <w:color w:val="auto"/>
              </w:rPr>
            </w:pPr>
            <w:r>
              <w:rPr>
                <w:rFonts w:ascii="Arial" w:cs="Arial" w:eastAsia="Arial" w:hAnsi="Arial"/>
                <w:sz w:val="17"/>
                <w:szCs w:val="17"/>
                <w:color w:val="auto"/>
              </w:rPr>
              <w:t>fiscal year ended October 31, 2022.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7900" w:type="dxa"/>
            <w:vAlign w:val="bottom"/>
            <w:gridSpan w:val="4"/>
          </w:tcPr>
          <w:p>
            <w:pPr>
              <w:spacing w:after="0"/>
              <w:rPr>
                <w:sz w:val="20"/>
                <w:szCs w:val="20"/>
                <w:color w:val="auto"/>
              </w:rPr>
            </w:pPr>
            <w:r>
              <w:rPr>
                <w:rFonts w:ascii="Arial" w:cs="Arial" w:eastAsia="Arial" w:hAnsi="Arial"/>
                <w:sz w:val="17"/>
                <w:szCs w:val="17"/>
                <w:b w:val="1"/>
                <w:bCs w:val="1"/>
                <w:color w:val="auto"/>
              </w:rPr>
              <w:t>Contingent Consideration</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spacing w:after="0"/>
              <w:rPr>
                <w:sz w:val="20"/>
                <w:szCs w:val="20"/>
                <w:color w:val="auto"/>
              </w:rPr>
            </w:pPr>
            <w:r>
              <w:rPr>
                <w:rFonts w:ascii="Arial" w:cs="Arial" w:eastAsia="Arial" w:hAnsi="Arial"/>
                <w:sz w:val="17"/>
                <w:szCs w:val="17"/>
                <w:color w:val="auto"/>
                <w:w w:val="95"/>
              </w:rPr>
              <w:t>The following table provides a reconciliation of the beginning and ending balances of contingent consideration:</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7880" w:type="dxa"/>
            <w:vAlign w:val="bottom"/>
            <w:gridSpan w:val="3"/>
          </w:tcPr>
          <w:p>
            <w:pPr>
              <w:spacing w:after="0"/>
              <w:rPr>
                <w:sz w:val="20"/>
                <w:szCs w:val="20"/>
                <w:color w:val="auto"/>
              </w:rPr>
            </w:pPr>
            <w:r>
              <w:rPr>
                <w:rFonts w:ascii="Arial" w:cs="Arial" w:eastAsia="Arial" w:hAnsi="Arial"/>
                <w:sz w:val="17"/>
                <w:szCs w:val="17"/>
                <w:b w:val="1"/>
                <w:bCs w:val="1"/>
                <w:color w:val="auto"/>
              </w:rPr>
              <w:t>Period Ended January 31,</w:t>
            </w: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7"/>
                <w:szCs w:val="17"/>
                <w:b w:val="1"/>
                <w:bCs w:val="1"/>
                <w:color w:val="auto"/>
              </w:rPr>
              <w:t>Three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8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140" w:type="dxa"/>
            <w:vAlign w:val="bottom"/>
          </w:tcPr>
          <w:p>
            <w:pPr>
              <w:spacing w:after="0"/>
              <w:rPr>
                <w:sz w:val="15"/>
                <w:szCs w:val="15"/>
                <w:color w:val="auto"/>
              </w:rPr>
            </w:pPr>
          </w:p>
        </w:tc>
        <w:tc>
          <w:tcPr>
            <w:tcW w:w="1480" w:type="dxa"/>
            <w:vAlign w:val="bottom"/>
          </w:tcPr>
          <w:p>
            <w:pPr>
              <w:jc w:val="right"/>
              <w:ind w:right="55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555"/>
              <w:spacing w:after="0" w:line="17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Purchase price contingent consideration</w:t>
            </w:r>
          </w:p>
        </w:tc>
        <w:tc>
          <w:tcPr>
            <w:tcW w:w="1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Payments</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Change in fair value</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b w:val="1"/>
                <w:bCs w:val="1"/>
                <w:color w:val="auto"/>
              </w:rPr>
              <w:t>Note 3. Inventories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90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7"/>
                <w:szCs w:val="17"/>
                <w:b w:val="1"/>
                <w:bCs w:val="1"/>
                <w:color w:val="auto"/>
              </w:rPr>
              <w:t>January 31, 2023</w:t>
            </w:r>
          </w:p>
        </w:tc>
        <w:tc>
          <w:tcPr>
            <w:tcW w:w="140" w:type="dxa"/>
            <w:vAlign w:val="bottom"/>
          </w:tcPr>
          <w:p>
            <w:pPr>
              <w:spacing w:after="0"/>
              <w:rPr>
                <w:sz w:val="24"/>
                <w:szCs w:val="24"/>
                <w:color w:val="auto"/>
              </w:rPr>
            </w:pPr>
          </w:p>
        </w:tc>
        <w:tc>
          <w:tcPr>
            <w:tcW w:w="1480" w:type="dxa"/>
            <w:vAlign w:val="bottom"/>
          </w:tcPr>
          <w:p>
            <w:pPr>
              <w:jc w:val="right"/>
              <w:ind w:right="115"/>
              <w:spacing w:after="0"/>
              <w:rPr>
                <w:sz w:val="20"/>
                <w:szCs w:val="20"/>
                <w:color w:val="auto"/>
              </w:rPr>
            </w:pPr>
            <w:r>
              <w:rPr>
                <w:rFonts w:ascii="Arial" w:cs="Arial" w:eastAsia="Arial" w:hAnsi="Arial"/>
                <w:sz w:val="17"/>
                <w:szCs w:val="17"/>
                <w:b w:val="1"/>
                <w:bCs w:val="1"/>
                <w:color w:val="auto"/>
                <w:w w:val="92"/>
              </w:rPr>
              <w:t>October 31, 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Work-in-process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7"/>
                <w:szCs w:val="17"/>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89"/>
              </w:rPr>
              <w:t>Note 4. Intangible Assets</w:t>
            </w: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2"/>
        </w:trPr>
        <w:tc>
          <w:tcPr>
            <w:tcW w:w="4280" w:type="dxa"/>
            <w:vAlign w:val="bottom"/>
            <w:gridSpan w:val="5"/>
          </w:tcPr>
          <w:p>
            <w:pPr>
              <w:spacing w:after="0"/>
              <w:rPr>
                <w:sz w:val="20"/>
                <w:szCs w:val="20"/>
                <w:color w:val="auto"/>
              </w:rPr>
            </w:pPr>
            <w:r>
              <w:rPr>
                <w:rFonts w:ascii="Arial" w:cs="Arial" w:eastAsia="Arial" w:hAnsi="Arial"/>
                <w:sz w:val="17"/>
                <w:szCs w:val="17"/>
                <w:b w:val="1"/>
                <w:bCs w:val="1"/>
                <w:color w:val="auto"/>
              </w:rPr>
              <w:t>Intangible assets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ind w:left="560"/>
              <w:spacing w:after="0"/>
              <w:rPr>
                <w:sz w:val="20"/>
                <w:szCs w:val="20"/>
                <w:color w:val="auto"/>
              </w:rPr>
            </w:pPr>
            <w:r>
              <w:rPr>
                <w:rFonts w:ascii="Arial" w:cs="Arial" w:eastAsia="Arial" w:hAnsi="Arial"/>
                <w:sz w:val="17"/>
                <w:szCs w:val="17"/>
                <w:b w:val="1"/>
                <w:bCs w:val="1"/>
                <w:color w:val="auto"/>
              </w:rPr>
              <w:t>January 31, 2023</w:t>
            </w:r>
          </w:p>
        </w:tc>
        <w:tc>
          <w:tcPr>
            <w:tcW w:w="140" w:type="dxa"/>
            <w:vAlign w:val="bottom"/>
          </w:tcPr>
          <w:p>
            <w:pPr>
              <w:spacing w:after="0"/>
              <w:rPr>
                <w:sz w:val="24"/>
                <w:szCs w:val="24"/>
                <w:color w:val="auto"/>
              </w:rPr>
            </w:pPr>
          </w:p>
        </w:tc>
        <w:tc>
          <w:tcPr>
            <w:tcW w:w="2340" w:type="dxa"/>
            <w:vAlign w:val="bottom"/>
            <w:gridSpan w:val="5"/>
          </w:tcPr>
          <w:p>
            <w:pPr>
              <w:jc w:val="right"/>
              <w:ind w:right="535"/>
              <w:spacing w:after="0"/>
              <w:rPr>
                <w:sz w:val="20"/>
                <w:szCs w:val="20"/>
                <w:color w:val="auto"/>
              </w:rPr>
            </w:pPr>
            <w:r>
              <w:rPr>
                <w:rFonts w:ascii="Arial" w:cs="Arial" w:eastAsia="Arial" w:hAnsi="Arial"/>
                <w:sz w:val="17"/>
                <w:szCs w:val="17"/>
                <w:b w:val="1"/>
                <w:bCs w:val="1"/>
                <w:color w:val="auto"/>
              </w:rPr>
              <w:t>October 31, 2022</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0"/>
              </w:rPr>
              <w:t>Weighted 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85"/>
              </w:rPr>
              <w:t>Gross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center"/>
              <w:ind w:right="75"/>
              <w:spacing w:after="0"/>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2"/>
              </w:rPr>
              <w:t>Amortization Period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restart"/>
          </w:tcPr>
          <w:p>
            <w:pPr>
              <w:jc w:val="right"/>
              <w:ind w:right="115"/>
              <w:spacing w:after="0"/>
              <w:rPr>
                <w:sz w:val="20"/>
                <w:szCs w:val="20"/>
                <w:color w:val="auto"/>
              </w:rPr>
            </w:pPr>
            <w:r>
              <w:rPr>
                <w:rFonts w:ascii="Arial" w:cs="Arial" w:eastAsia="Arial" w:hAnsi="Arial"/>
                <w:sz w:val="17"/>
                <w:szCs w:val="17"/>
                <w:b w:val="1"/>
                <w:bCs w:val="1"/>
                <w:color w:val="auto"/>
                <w:w w:val="89"/>
              </w:rPr>
              <w:t>Accumulated</w:t>
            </w:r>
          </w:p>
        </w:tc>
        <w:tc>
          <w:tcPr>
            <w:tcW w:w="100" w:type="dxa"/>
            <w:vAlign w:val="bottom"/>
          </w:tcPr>
          <w:p>
            <w:pPr>
              <w:spacing w:after="0"/>
              <w:rPr>
                <w:sz w:val="3"/>
                <w:szCs w:val="3"/>
                <w:color w:val="auto"/>
              </w:rPr>
            </w:pPr>
          </w:p>
        </w:tc>
        <w:tc>
          <w:tcPr>
            <w:tcW w:w="15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60" w:type="dxa"/>
            <w:vAlign w:val="bottom"/>
          </w:tcPr>
          <w:p>
            <w:pPr>
              <w:spacing w:after="0"/>
              <w:rPr>
                <w:sz w:val="14"/>
                <w:szCs w:val="14"/>
                <w:color w:val="auto"/>
              </w:rPr>
            </w:pPr>
          </w:p>
        </w:tc>
        <w:tc>
          <w:tcPr>
            <w:tcW w:w="980" w:type="dxa"/>
            <w:vAlign w:val="bottom"/>
          </w:tcPr>
          <w:p>
            <w:pPr>
              <w:jc w:val="center"/>
              <w:ind w:right="75"/>
              <w:spacing w:after="0" w:line="171" w:lineRule="exact"/>
              <w:rPr>
                <w:sz w:val="20"/>
                <w:szCs w:val="20"/>
                <w:color w:val="auto"/>
              </w:rPr>
            </w:pPr>
            <w:r>
              <w:rPr>
                <w:rFonts w:ascii="Arial" w:cs="Arial" w:eastAsia="Arial" w:hAnsi="Arial"/>
                <w:sz w:val="17"/>
                <w:szCs w:val="17"/>
                <w:b w:val="1"/>
                <w:bCs w:val="1"/>
                <w:color w:val="auto"/>
                <w:w w:val="94"/>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5"/>
              <w:spacing w:after="0" w:line="171" w:lineRule="exact"/>
              <w:rPr>
                <w:sz w:val="20"/>
                <w:szCs w:val="20"/>
                <w:color w:val="auto"/>
              </w:rPr>
            </w:pPr>
            <w:r>
              <w:rPr>
                <w:rFonts w:ascii="Arial" w:cs="Arial" w:eastAsia="Arial" w:hAnsi="Arial"/>
                <w:sz w:val="17"/>
                <w:szCs w:val="17"/>
                <w:b w:val="1"/>
                <w:bCs w:val="1"/>
                <w:color w:val="auto"/>
                <w:w w:val="94"/>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5"/>
              <w:spacing w:after="0" w:line="155" w:lineRule="exact"/>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60"/>
              <w:spacing w:after="0" w:line="155" w:lineRule="exact"/>
              <w:rPr>
                <w:sz w:val="20"/>
                <w:szCs w:val="20"/>
                <w:color w:val="auto"/>
              </w:rPr>
            </w:pPr>
            <w:r>
              <w:rPr>
                <w:rFonts w:ascii="Arial" w:cs="Arial" w:eastAsia="Arial" w:hAnsi="Arial"/>
                <w:sz w:val="17"/>
                <w:szCs w:val="17"/>
                <w:b w:val="1"/>
                <w:bCs w:val="1"/>
                <w:color w:val="auto"/>
              </w:rPr>
              <w:t>Amortization</w:t>
            </w:r>
          </w:p>
        </w:tc>
        <w:tc>
          <w:tcPr>
            <w:tcW w:w="140" w:type="dxa"/>
            <w:vAlign w:val="bottom"/>
          </w:tcPr>
          <w:p>
            <w:pPr>
              <w:spacing w:after="0"/>
              <w:rPr>
                <w:sz w:val="15"/>
                <w:szCs w:val="15"/>
                <w:color w:val="auto"/>
              </w:rPr>
            </w:pPr>
          </w:p>
        </w:tc>
        <w:tc>
          <w:tcPr>
            <w:tcW w:w="860" w:type="dxa"/>
            <w:vAlign w:val="bottom"/>
          </w:tcPr>
          <w:p>
            <w:pPr>
              <w:jc w:val="center"/>
              <w:ind w:right="55"/>
              <w:spacing w:after="0" w:line="155" w:lineRule="exact"/>
              <w:rPr>
                <w:sz w:val="20"/>
                <w:szCs w:val="20"/>
                <w:color w:val="auto"/>
              </w:rPr>
            </w:pPr>
            <w:r>
              <w:rPr>
                <w:rFonts w:ascii="Arial" w:cs="Arial" w:eastAsia="Arial" w:hAnsi="Arial"/>
                <w:sz w:val="17"/>
                <w:szCs w:val="17"/>
                <w:b w:val="1"/>
                <w:bCs w:val="1"/>
                <w:color w:val="auto"/>
                <w:w w:val="93"/>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15"/>
              <w:spacing w:after="0" w:line="155" w:lineRule="exact"/>
              <w:rPr>
                <w:sz w:val="20"/>
                <w:szCs w:val="20"/>
                <w:color w:val="auto"/>
              </w:rPr>
            </w:pPr>
            <w:r>
              <w:rPr>
                <w:rFonts w:ascii="Arial" w:cs="Arial" w:eastAsia="Arial" w:hAnsi="Arial"/>
                <w:sz w:val="17"/>
                <w:szCs w:val="17"/>
                <w:b w:val="1"/>
                <w:bCs w:val="1"/>
                <w:color w:val="auto"/>
                <w:w w:val="92"/>
              </w:rPr>
              <w:t>Amortization</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Intangible assets with definite lives: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4"/>
          </w:tcPr>
          <w:p>
            <w:pPr>
              <w:ind w:left="12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1,110.4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304.1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1,092.7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287.0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Composite intangible asset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4"/>
          </w:tcPr>
          <w:p>
            <w:pPr>
              <w:ind w:left="120"/>
              <w:spacing w:after="0"/>
              <w:rPr>
                <w:sz w:val="20"/>
                <w:szCs w:val="20"/>
                <w:color w:val="auto"/>
              </w:rPr>
            </w:pPr>
            <w:r>
              <w:rPr>
                <w:rFonts w:ascii="Arial" w:cs="Arial" w:eastAsia="Arial" w:hAnsi="Arial"/>
                <w:sz w:val="17"/>
                <w:szCs w:val="17"/>
                <w:color w:val="auto"/>
              </w:rPr>
              <w:t>Technology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317.5</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Trademarks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7"/>
                <w:szCs w:val="17"/>
                <w:color w:val="auto"/>
              </w:rPr>
              <w:t>License and distribution rights and 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1,044.7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Less: accumulated amortization and translation</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1,094.2</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1,044.7</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CCEEFF"/>
            </w:tcBorders>
            <w:vMerge w:val="continue"/>
          </w:tcPr>
          <w:p>
            <w:pPr>
              <w:spacing w:after="0"/>
              <w:rPr>
                <w:sz w:val="14"/>
                <w:szCs w:val="14"/>
                <w:color w:val="auto"/>
              </w:rPr>
            </w:pPr>
          </w:p>
        </w:tc>
        <w:tc>
          <w:tcPr>
            <w:tcW w:w="4260" w:type="dxa"/>
            <w:vAlign w:val="bottom"/>
            <w:tcBorders>
              <w:bottom w:val="single" w:sz="8" w:color="CCEEFF"/>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Intangible assets with definite lives,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4"/>
          </w:tcPr>
          <w:p>
            <w:pPr>
              <w:spacing w:after="0" w:line="229" w:lineRule="exact"/>
              <w:rPr>
                <w:sz w:val="20"/>
                <w:szCs w:val="20"/>
                <w:color w:val="auto"/>
              </w:rPr>
            </w:pPr>
            <w:r>
              <w:rPr>
                <w:rFonts w:ascii="Arial" w:cs="Arial" w:eastAsia="Arial" w:hAnsi="Arial"/>
                <w:sz w:val="17"/>
                <w:szCs w:val="17"/>
                <w:color w:val="auto"/>
              </w:rPr>
              <w:t xml:space="preserve">Intangible assets with indefinite lives, net </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 other intangibles,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420" w:type="dxa"/>
            <w:vAlign w:val="bottom"/>
            <w:gridSpan w:val="7"/>
          </w:tcPr>
          <w:p>
            <w:pPr>
              <w:spacing w:after="0"/>
              <w:rPr>
                <w:sz w:val="20"/>
                <w:szCs w:val="20"/>
                <w:color w:val="auto"/>
              </w:rPr>
            </w:pPr>
            <w:r>
              <w:rPr>
                <w:rFonts w:ascii="Arial" w:cs="Arial" w:eastAsia="Arial" w:hAnsi="Arial"/>
                <w:sz w:val="22"/>
                <w:szCs w:val="22"/>
                <w:i w:val="1"/>
                <w:iCs w:val="1"/>
                <w:color w:val="auto"/>
                <w:w w:val="94"/>
                <w:vertAlign w:val="superscript"/>
              </w:rPr>
              <w:t>(1)</w:t>
            </w:r>
            <w:r>
              <w:rPr>
                <w:rFonts w:ascii="Arial" w:cs="Arial" w:eastAsia="Arial" w:hAnsi="Arial"/>
                <w:sz w:val="17"/>
                <w:szCs w:val="17"/>
                <w:i w:val="1"/>
                <w:iCs w:val="1"/>
                <w:color w:val="auto"/>
                <w:w w:val="94"/>
              </w:rPr>
              <w:t xml:space="preserve"> Intangible assets with indefinite lives include technology and trademarks.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280" w:type="dxa"/>
            <w:vAlign w:val="bottom"/>
            <w:gridSpan w:val="5"/>
          </w:tcPr>
          <w:p>
            <w:pPr>
              <w:spacing w:after="0"/>
              <w:rPr>
                <w:sz w:val="20"/>
                <w:szCs w:val="20"/>
                <w:color w:val="auto"/>
              </w:rPr>
            </w:pPr>
            <w:r>
              <w:rPr>
                <w:rFonts w:ascii="Arial" w:cs="Arial" w:eastAsia="Arial" w:hAnsi="Arial"/>
                <w:sz w:val="17"/>
                <w:szCs w:val="17"/>
                <w:color w:val="auto"/>
                <w:w w:val="96"/>
              </w:rPr>
              <w:t>Balances include foreign currency translation adjustments.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60" w:type="dxa"/>
            <w:vAlign w:val="bottom"/>
            <w:gridSpan w:val="15"/>
          </w:tcPr>
          <w:p>
            <w:pPr>
              <w:spacing w:after="0"/>
              <w:rPr>
                <w:sz w:val="20"/>
                <w:szCs w:val="20"/>
                <w:color w:val="auto"/>
              </w:rPr>
            </w:pPr>
            <w:r>
              <w:rPr>
                <w:rFonts w:ascii="Arial" w:cs="Arial" w:eastAsia="Arial" w:hAnsi="Arial"/>
                <w:sz w:val="17"/>
                <w:szCs w:val="17"/>
                <w:color w:val="auto"/>
                <w:w w:val="91"/>
              </w:rPr>
              <w:t>As of January 31, 2023, the estimate of future amortization expenses for intangible assets with definite lives is as follows:</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Arial" w:cs="Arial" w:eastAsia="Arial" w:hAnsi="Arial"/>
                <w:sz w:val="17"/>
                <w:szCs w:val="17"/>
                <w:b w:val="1"/>
                <w:bCs w:val="1"/>
                <w:color w:val="auto"/>
              </w:rPr>
              <w:t>Fiscal Years: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595"/>
              <w:spacing w:after="0"/>
              <w:rPr>
                <w:sz w:val="20"/>
                <w:szCs w:val="20"/>
                <w:color w:val="auto"/>
              </w:rPr>
            </w:pPr>
            <w:r>
              <w:rPr>
                <w:rFonts w:ascii="Arial" w:cs="Arial" w:eastAsia="Arial" w:hAnsi="Arial"/>
                <w:sz w:val="17"/>
                <w:szCs w:val="17"/>
                <w:b w:val="1"/>
                <w:bCs w:val="1"/>
                <w:color w:val="auto"/>
                <w:w w:val="92"/>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Remainder of 2023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1,047.5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7"/>
                <w:szCs w:val="17"/>
                <w:color w:val="auto"/>
              </w:rPr>
              <w:t>Total remaining amortization for intangible assets with definite lives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1,852.6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There was no impairment of intangible assets recorded in the three months ended January 31, 2023.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5. Financing Arrangements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outstanding debt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44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20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7"/>
                <w:szCs w:val="17"/>
                <w:b w:val="1"/>
                <w:bCs w:val="1"/>
                <w:color w:val="auto"/>
              </w:rPr>
              <w:t>January 31, 2023</w:t>
            </w:r>
          </w:p>
        </w:tc>
        <w:tc>
          <w:tcPr>
            <w:tcW w:w="200" w:type="dxa"/>
            <w:vAlign w:val="bottom"/>
          </w:tcPr>
          <w:p>
            <w:pPr>
              <w:spacing w:after="0"/>
              <w:rPr>
                <w:sz w:val="16"/>
                <w:szCs w:val="16"/>
                <w:color w:val="auto"/>
              </w:rPr>
            </w:pPr>
          </w:p>
        </w:tc>
        <w:tc>
          <w:tcPr>
            <w:tcW w:w="1640" w:type="dxa"/>
            <w:vAlign w:val="bottom"/>
          </w:tcPr>
          <w:p>
            <w:pPr>
              <w:jc w:val="right"/>
              <w:ind w:right="215"/>
              <w:spacing w:after="0"/>
              <w:rPr>
                <w:sz w:val="20"/>
                <w:szCs w:val="20"/>
                <w:color w:val="auto"/>
              </w:rPr>
            </w:pPr>
            <w:r>
              <w:rPr>
                <w:rFonts w:ascii="Arial" w:cs="Arial" w:eastAsia="Arial" w:hAnsi="Arial"/>
                <w:sz w:val="17"/>
                <w:szCs w:val="17"/>
                <w:b w:val="1"/>
                <w:bCs w:val="1"/>
                <w:color w:val="auto"/>
                <w:w w:val="96"/>
              </w:rPr>
              <w:t>October 31, 2022</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Overdraft and other credit facilities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7"/>
                <w:szCs w:val="17"/>
                <w:color w:val="auto"/>
              </w:rPr>
              <w:t>Term loans</w:t>
            </w:r>
          </w:p>
        </w:tc>
        <w:tc>
          <w:tcPr>
            <w:tcW w:w="2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338.0</w:t>
            </w:r>
          </w:p>
        </w:tc>
      </w:tr>
      <w:tr>
        <w:trPr>
          <w:trHeight w:val="230"/>
        </w:trPr>
        <w:tc>
          <w:tcPr>
            <w:tcW w:w="20" w:type="dxa"/>
            <w:vAlign w:val="bottom"/>
            <w:tcBorders>
              <w:top w:val="single" w:sz="8" w:color="CCEEFF"/>
            </w:tcBorders>
            <w:shd w:val="clear" w:color="auto" w:fill="CCEEFF"/>
          </w:tcPr>
          <w:p>
            <w:pPr>
              <w:spacing w:after="0"/>
              <w:rPr>
                <w:sz w:val="19"/>
                <w:szCs w:val="19"/>
                <w:color w:val="auto"/>
              </w:rPr>
            </w:pPr>
          </w:p>
        </w:tc>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Short-term debt, excluding financing leases</w:t>
            </w:r>
          </w:p>
        </w:tc>
        <w:tc>
          <w:tcPr>
            <w:tcW w:w="2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395.7</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Financing lease liabilities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412.6</w:t>
            </w: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Revolving credit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7"/>
                <w:szCs w:val="17"/>
                <w:color w:val="auto"/>
              </w:rPr>
              <w:t>Term loans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2,350.0</w:t>
            </w:r>
          </w:p>
        </w:tc>
      </w:tr>
      <w:tr>
        <w:trPr>
          <w:trHeight w:val="236"/>
        </w:trPr>
        <w:tc>
          <w:tcPr>
            <w:tcW w:w="20" w:type="dxa"/>
            <w:vAlign w:val="bottom"/>
            <w:shd w:val="clear" w:color="auto" w:fill="CCEEFF"/>
          </w:tcPr>
          <w:p>
            <w:pPr>
              <w:spacing w:after="0"/>
              <w:rPr>
                <w:sz w:val="20"/>
                <w:szCs w:val="20"/>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unamortized debt issuance cost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excluding financing leases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2,347.1</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Financing lease liabilities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2,350.8</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2,695.4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2,763.4</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Additional information regarding our indebtedness is included in our notes to our consolidated financial statements in our Annual Report on Form 10-K for the fiscal year ended October 31, 2022, which was filed with the Securities and Exchange Commission on December 9, 2022. The carrying value of the Company's revolving credit facility and term loans approximates fair value based on current market rates (Level 2). As of January 31, 2023, the Company was in compliance with all debt covenants. On February 1, 2023, the Company amended its credit agreements to transition the interest rates applicable to the loans denominated in U.S. Dollars from LIBOR to SOFR, as defined in the credit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Term Loan Agreement</w:t>
      </w: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The Company used the proceeds to fund the acquisition of Generate. Refer to Note 2. Acquisitions and Joint Venture for more details.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On January 31, 2023, the Company had $1.5 billion outstanding under the 2021 Term Loan Facility and the weighted average interest rate was 5.04%.</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364-Day Term Loan Agreement</w:t>
      </w:r>
    </w:p>
    <w:p>
      <w:pPr>
        <w:spacing w:after="0" w:line="25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November 2, 2021, the Company entered into a 364-day, $840.0 million, term loan agreement by and among the Company, the lenders party thereto and The Bank of Nova Scotia, as administrative agent, which matured on November 1, 2022. The Company used part of the funds to partially repay outstanding borrowings under the 2020 Revolving Credit Facility and for general corporate purposes. The loan was fully repaid by the maturity date.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Revolving Credit and Term Loan Agreement</w:t>
      </w:r>
    </w:p>
    <w:p>
      <w:pPr>
        <w:spacing w:after="0" w:line="268" w:lineRule="exact"/>
        <w:rPr>
          <w:sz w:val="20"/>
          <w:szCs w:val="20"/>
          <w:color w:val="auto"/>
        </w:rPr>
      </w:pPr>
    </w:p>
    <w:p>
      <w:pPr>
        <w:ind w:right="300"/>
        <w:spacing w:after="0" w:line="237"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Company has an uncommitted option to increase the revolving credit facility or establish a new term loan in an aggregate amount up to $1.605 billion.</w:t>
      </w:r>
    </w:p>
    <w:p>
      <w:pPr>
        <w:spacing w:after="0" w:line="232"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On January 31, 2023, the Company had $850.0 million outstanding under the 2020 Term Loan Facility and $276.5 million outstanding under the 2020 Revolving Credit Facility. The interest rate on the 2020 Term Loan Facility and the 2020 Revolving Credit Facility was 5.37% at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6. Income Taxes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The effective tax rates for the three months ended January 31, 2023 and January 31, 2022 were 30.7% and 21.8%, respectively. The increase was primarily due to</w:t>
      </w:r>
    </w:p>
    <w:p>
      <w:pPr>
        <w:spacing w:after="0" w:line="31" w:lineRule="exact"/>
        <w:rPr>
          <w:sz w:val="20"/>
          <w:szCs w:val="20"/>
          <w:color w:val="auto"/>
        </w:rPr>
      </w:pPr>
    </w:p>
    <w:p>
      <w:pPr>
        <w:ind w:right="840"/>
        <w:spacing w:after="0" w:line="231" w:lineRule="auto"/>
        <w:rPr>
          <w:sz w:val="20"/>
          <w:szCs w:val="20"/>
          <w:color w:val="auto"/>
        </w:rPr>
      </w:pPr>
      <w:r>
        <w:rPr>
          <w:rFonts w:ascii="Arial" w:cs="Arial" w:eastAsia="Arial" w:hAnsi="Arial"/>
          <w:sz w:val="17"/>
          <w:szCs w:val="17"/>
          <w:color w:val="auto"/>
        </w:rPr>
        <w:t>changes in the geographic composition of pre-tax earnings, an increase in the UK statutory tax rate from 19% to 25%, and capitalization of research and experimental expenditures for fiscal 2023 as required by the 2017 Tax Cuts and Jobs Act.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0"/>
              </w:rPr>
              <w:t>Note 7. Earnings Per Share</w:t>
            </w:r>
          </w:p>
        </w:tc>
        <w:tc>
          <w:tcPr>
            <w:tcW w:w="59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7960" w:type="dxa"/>
            <w:vAlign w:val="bottom"/>
            <w:gridSpan w:val="3"/>
          </w:tcPr>
          <w:p>
            <w:pPr>
              <w:spacing w:after="0"/>
              <w:rPr>
                <w:sz w:val="20"/>
                <w:szCs w:val="20"/>
                <w:color w:val="auto"/>
              </w:rPr>
            </w:pPr>
            <w:r>
              <w:rPr>
                <w:rFonts w:ascii="Arial" w:cs="Arial" w:eastAsia="Arial" w:hAnsi="Arial"/>
                <w:sz w:val="17"/>
                <w:szCs w:val="17"/>
                <w:b w:val="1"/>
                <w:bCs w:val="1"/>
                <w:color w:val="auto"/>
              </w:rPr>
              <w:t>Period Ended January 31,</w:t>
            </w: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6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(In millions, except per share amounts)</w:t>
            </w:r>
          </w:p>
        </w:tc>
        <w:tc>
          <w:tcPr>
            <w:tcW w:w="36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i w:val="1"/>
                <w:iCs w:val="1"/>
                <w:color w:val="auto"/>
              </w:rPr>
              <w:t>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Weighted average common shares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Arial" w:cs="Arial" w:eastAsia="Arial" w:hAnsi="Arial"/>
                <w:sz w:val="17"/>
                <w:szCs w:val="17"/>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60" w:type="dxa"/>
            <w:vAlign w:val="bottom"/>
            <w:gridSpan w:val="3"/>
            <w:vMerge w:val="continue"/>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7"/>
                <w:szCs w:val="17"/>
                <w:i w:val="1"/>
                <w:iCs w:val="1"/>
                <w:color w:val="auto"/>
              </w:rPr>
              <w:t>Diluted:</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3"/>
          </w:tcPr>
          <w:p>
            <w:pPr>
              <w:ind w:left="120"/>
              <w:spacing w:after="0"/>
              <w:rPr>
                <w:sz w:val="20"/>
                <w:szCs w:val="20"/>
                <w:color w:val="auto"/>
              </w:rPr>
            </w:pPr>
            <w:r>
              <w:rPr>
                <w:rFonts w:ascii="Arial" w:cs="Arial" w:eastAsia="Arial" w:hAnsi="Arial"/>
                <w:sz w:val="17"/>
                <w:szCs w:val="17"/>
                <w:color w:val="auto"/>
              </w:rPr>
              <w:t>Weighted average common shares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9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Effect of dilutive stock plans</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ind w:left="120"/>
              <w:spacing w:after="0"/>
              <w:rPr>
                <w:sz w:val="20"/>
                <w:szCs w:val="20"/>
                <w:color w:val="auto"/>
              </w:rPr>
            </w:pPr>
            <w:r>
              <w:rPr>
                <w:rFonts w:ascii="Arial" w:cs="Arial" w:eastAsia="Arial" w:hAnsi="Arial"/>
                <w:sz w:val="17"/>
                <w:szCs w:val="17"/>
                <w:color w:val="auto"/>
              </w:rPr>
              <w:t>Diluted weighted average common shares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Diluted earnings per share</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The following table sets forth stock options to purchase our common stock that were not included in the diluted earnings per share calculation because their effect would have been antidilutive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7"/>
                <w:szCs w:val="17"/>
                <w:b w:val="1"/>
                <w:bCs w:val="1"/>
                <w:color w:val="auto"/>
              </w:rPr>
              <w:t>Period Ended January 31,</w:t>
            </w:r>
          </w:p>
        </w:tc>
        <w:tc>
          <w:tcPr>
            <w:tcW w:w="2660" w:type="dxa"/>
            <w:vAlign w:val="bottom"/>
            <w:tcBorders>
              <w:bottom w:val="single" w:sz="8" w:color="auto"/>
            </w:tcBorders>
            <w:gridSpan w:val="3"/>
          </w:tcPr>
          <w:p>
            <w:pPr>
              <w:ind w:left="1500"/>
              <w:spacing w:after="0"/>
              <w:rPr>
                <w:sz w:val="20"/>
                <w:szCs w:val="20"/>
                <w:color w:val="auto"/>
              </w:rPr>
            </w:pPr>
            <w:r>
              <w:rPr>
                <w:rFonts w:ascii="Arial" w:cs="Arial" w:eastAsia="Arial" w:hAnsi="Arial"/>
                <w:sz w:val="17"/>
                <w:szCs w:val="17"/>
                <w:b w:val="1"/>
                <w:bCs w:val="1"/>
                <w:color w:val="auto"/>
              </w:rPr>
              <w:t>Three Months</w:t>
            </w:r>
          </w:p>
        </w:tc>
        <w:tc>
          <w:tcPr>
            <w:tcW w:w="138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718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thousands, except exercise prices)</w:t>
            </w:r>
          </w:p>
        </w:tc>
        <w:tc>
          <w:tcPr>
            <w:tcW w:w="1940" w:type="dxa"/>
            <w:vAlign w:val="bottom"/>
          </w:tcPr>
          <w:p>
            <w:pPr>
              <w:jc w:val="right"/>
              <w:ind w:right="715"/>
              <w:spacing w:after="0" w:line="176" w:lineRule="exact"/>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tcPr>
          <w:p>
            <w:pPr>
              <w:jc w:val="right"/>
              <w:ind w:right="715"/>
              <w:spacing w:after="0" w:line="176" w:lineRule="exact"/>
              <w:rPr>
                <w:sz w:val="20"/>
                <w:szCs w:val="20"/>
                <w:color w:val="auto"/>
              </w:rPr>
            </w:pPr>
            <w:r>
              <w:rPr>
                <w:rFonts w:ascii="Arial" w:cs="Arial" w:eastAsia="Arial" w:hAnsi="Arial"/>
                <w:sz w:val="17"/>
                <w:szCs w:val="17"/>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272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option shares excluded</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7"/>
                <w:szCs w:val="17"/>
                <w:color w:val="auto"/>
              </w:rPr>
              <w:t>Exercise prices</w:t>
            </w:r>
          </w:p>
        </w:tc>
        <w:tc>
          <w:tcPr>
            <w:tcW w:w="1940" w:type="dxa"/>
            <w:vAlign w:val="bottom"/>
          </w:tcPr>
          <w:p>
            <w:pPr>
              <w:jc w:val="right"/>
              <w:spacing w:after="0"/>
              <w:rPr>
                <w:sz w:val="20"/>
                <w:szCs w:val="20"/>
                <w:color w:val="auto"/>
              </w:rPr>
            </w:pPr>
            <w:r>
              <w:rPr>
                <w:rFonts w:ascii="Arial" w:cs="Arial" w:eastAsia="Arial" w:hAnsi="Arial"/>
                <w:sz w:val="17"/>
                <w:szCs w:val="17"/>
                <w:color w:val="auto"/>
              </w:rPr>
              <w:t>$300.12 - $406.17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w w:val="97"/>
              </w:rPr>
              <w:t>$345.74 - $406.17</w:t>
            </w:r>
          </w:p>
        </w:tc>
      </w:tr>
      <w:tr>
        <w:trPr>
          <w:trHeight w:val="236"/>
        </w:trPr>
        <w:tc>
          <w:tcPr>
            <w:tcW w:w="20" w:type="dxa"/>
            <w:vAlign w:val="bottom"/>
            <w:shd w:val="clear" w:color="auto" w:fill="CCEEFF"/>
          </w:tcPr>
          <w:p>
            <w:pPr>
              <w:spacing w:after="0"/>
              <w:rPr>
                <w:sz w:val="20"/>
                <w:szCs w:val="20"/>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 units excluded</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Share-Based Compensation</w:t>
      </w:r>
    </w:p>
    <w:p>
      <w:pPr>
        <w:spacing w:after="0" w:line="173" w:lineRule="exact"/>
        <w:rPr>
          <w:sz w:val="20"/>
          <w:szCs w:val="20"/>
          <w:color w:val="auto"/>
        </w:rPr>
      </w:pPr>
    </w:p>
    <w:p>
      <w:pPr>
        <w:jc w:val="both"/>
        <w:ind w:right="40"/>
        <w:spacing w:after="0" w:line="207" w:lineRule="exact"/>
        <w:rPr>
          <w:sz w:val="20"/>
          <w:szCs w:val="20"/>
          <w:color w:val="auto"/>
        </w:rPr>
      </w:pPr>
      <w:r>
        <w:rPr>
          <w:rFonts w:ascii="Arial" w:cs="Arial" w:eastAsia="Arial" w:hAnsi="Arial"/>
          <w:sz w:val="17"/>
          <w:szCs w:val="17"/>
          <w:color w:val="auto"/>
        </w:rPr>
        <w:t>The Company has several stock plans that are described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October 31, 2022. Compensation expense and the related income tax benefit recognized in our Consolidated Statements of Income and Comprehensive Income for share-based awards, including the Employee Stock Purchase Plan,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7"/>
                <w:szCs w:val="17"/>
                <w:b w:val="1"/>
                <w:bCs w:val="1"/>
                <w:color w:val="auto"/>
              </w:rPr>
              <w:t>Period Ended January 31,</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104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79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36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Arial" w:cs="Arial" w:eastAsia="Arial" w:hAnsi="Arial"/>
                <w:sz w:val="17"/>
                <w:szCs w:val="17"/>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 expense</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20" w:type="dxa"/>
            <w:vAlign w:val="bottom"/>
            <w:shd w:val="clear" w:color="auto" w:fill="CCEEFF"/>
          </w:tcPr>
          <w:p>
            <w:pPr>
              <w:spacing w:after="0"/>
              <w:rPr>
                <w:sz w:val="20"/>
                <w:szCs w:val="20"/>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17"/>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7"/>
                <w:szCs w:val="17"/>
                <w:color w:val="auto"/>
              </w:rPr>
              <w:t>Total share-based compensation expense</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Related income tax benefit</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9.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Changes in Accumulated Other Comprehensive Income: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Foreign Currency</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auto"/>
                <w:w w:val="92"/>
              </w:rPr>
              <w:t>Minimum Pension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00"/>
              <w:spacing w:after="0" w:line="171" w:lineRule="exact"/>
              <w:rPr>
                <w:sz w:val="20"/>
                <w:szCs w:val="20"/>
                <w:color w:val="auto"/>
              </w:rPr>
            </w:pPr>
            <w:r>
              <w:rPr>
                <w:rFonts w:ascii="Arial" w:cs="Arial" w:eastAsia="Arial" w:hAnsi="Arial"/>
                <w:sz w:val="17"/>
                <w:szCs w:val="17"/>
                <w:b w:val="1"/>
                <w:bCs w:val="1"/>
                <w:color w:val="auto"/>
                <w:w w:val="91"/>
              </w:rPr>
              <w:t>Translation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3"/>
            <w:vMerge w:val="restart"/>
          </w:tcPr>
          <w:p>
            <w:pPr>
              <w:jc w:val="right"/>
              <w:ind w:right="40"/>
              <w:spacing w:after="0"/>
              <w:rPr>
                <w:sz w:val="20"/>
                <w:szCs w:val="20"/>
                <w:color w:val="auto"/>
              </w:rPr>
            </w:pPr>
            <w:r>
              <w:rPr>
                <w:rFonts w:ascii="Arial" w:cs="Arial" w:eastAsia="Arial" w:hAnsi="Arial"/>
                <w:sz w:val="17"/>
                <w:szCs w:val="17"/>
                <w:b w:val="1"/>
                <w:bCs w:val="1"/>
                <w:color w:val="auto"/>
                <w:w w:val="93"/>
              </w:rPr>
              <w:t>Derivative Instruments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restart"/>
          </w:tcPr>
          <w:p>
            <w:pPr>
              <w:jc w:val="right"/>
              <w:ind w:right="6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center"/>
              <w:ind w:right="180"/>
              <w:spacing w:after="0" w:line="155" w:lineRule="exact"/>
              <w:rPr>
                <w:sz w:val="20"/>
                <w:szCs w:val="20"/>
                <w:color w:val="auto"/>
              </w:rPr>
            </w:pPr>
            <w:r>
              <w:rPr>
                <w:rFonts w:ascii="Arial" w:cs="Arial" w:eastAsia="Arial" w:hAnsi="Arial"/>
                <w:sz w:val="17"/>
                <w:szCs w:val="17"/>
                <w:b w:val="1"/>
                <w:bCs w:val="1"/>
                <w:color w:val="auto"/>
                <w:w w:val="91"/>
              </w:rPr>
              <w:t>Adjustment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160"/>
              <w:spacing w:after="0" w:line="155" w:lineRule="exact"/>
              <w:rPr>
                <w:sz w:val="20"/>
                <w:szCs w:val="20"/>
                <w:color w:val="auto"/>
              </w:rPr>
            </w:pPr>
            <w:r>
              <w:rPr>
                <w:rFonts w:ascii="Arial" w:cs="Arial" w:eastAsia="Arial" w:hAnsi="Arial"/>
                <w:sz w:val="17"/>
                <w:szCs w:val="17"/>
                <w:b w:val="1"/>
                <w:bCs w:val="1"/>
                <w:color w:val="auto"/>
                <w:w w:val="96"/>
              </w:rPr>
              <w:t>Liability</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October 31, 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7"/>
                <w:szCs w:val="17"/>
                <w:color w:val="auto"/>
              </w:rPr>
              <w:t>Gross change in value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7"/>
                <w:szCs w:val="17"/>
                <w:color w:val="auto"/>
              </w:rPr>
              <w:t>(49.2)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effect</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7"/>
                <w:szCs w:val="17"/>
                <w:color w:val="auto"/>
              </w:rPr>
              <w:t>Balance at January 31, 2022</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(369.5)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October 31, 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7"/>
                <w:szCs w:val="17"/>
                <w:color w:val="auto"/>
              </w:rPr>
              <w:t>Gross change in value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effect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7"/>
                <w:szCs w:val="17"/>
                <w:color w:val="auto"/>
              </w:rPr>
              <w:t>Balance at January 31, 2023</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55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7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December 2011, the Company's Board of Directors authorized the 2012 Share Repurchase Program and through subsequent amendments, the most recent being in March 2017, the total repurchase authorization was increased from $500.0 million to $1.0 billion of the Company's common stock. As of January 31, 2023, $256.4 million remains authorized for repurchase under the 2012 Share Repurchase Program.</w:t>
      </w:r>
    </w:p>
    <w:p>
      <w:pPr>
        <w:spacing w:after="0" w:line="126" w:lineRule="exact"/>
        <w:rPr>
          <w:sz w:val="20"/>
          <w:szCs w:val="20"/>
          <w:color w:val="auto"/>
        </w:rPr>
      </w:pPr>
    </w:p>
    <w:p>
      <w:pPr>
        <w:ind w:right="480"/>
        <w:spacing w:after="0" w:line="342" w:lineRule="auto"/>
        <w:rPr>
          <w:sz w:val="20"/>
          <w:szCs w:val="20"/>
          <w:color w:val="auto"/>
        </w:rPr>
      </w:pPr>
      <w:r>
        <w:rPr>
          <w:rFonts w:ascii="Arial" w:cs="Arial" w:eastAsia="Arial" w:hAnsi="Arial"/>
          <w:sz w:val="15"/>
          <w:szCs w:val="15"/>
          <w:color w:val="auto"/>
        </w:rPr>
        <w:t>During the three months ended January 31, 2023, there was no share repurchase under the 2012 Share Repurchase Program. During the three months ended January 31, 2022, the Company repurchased 191.2 thousand shares of its common stock for $78.5 million, at an average purchase price of $410.41 per share.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The Company paid a semiannual dividend of approximately $1.5 million or 3 cents per share, on February 10, 2023, to stockholders of record on January 23, 2023.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Company paid a semiannual dividend of approximately $1.5 million or 3 cents per share, on February 9, 2022, to stockholders of record on January 21, 2022.</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10. Contingencies</w:t>
      </w:r>
    </w:p>
    <w:p>
      <w:pPr>
        <w:spacing w:after="0" w:line="25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11. Business Segment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revenue and other financial information by reportable segment: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gridSpan w:val="3"/>
          </w:tcPr>
          <w:p>
            <w:pPr>
              <w:spacing w:after="0"/>
              <w:rPr>
                <w:sz w:val="20"/>
                <w:szCs w:val="20"/>
                <w:color w:val="auto"/>
              </w:rPr>
            </w:pPr>
            <w:r>
              <w:rPr>
                <w:rFonts w:ascii="Arial" w:cs="Arial" w:eastAsia="Arial" w:hAnsi="Arial"/>
                <w:sz w:val="17"/>
                <w:szCs w:val="17"/>
                <w:color w:val="auto"/>
              </w:rPr>
              <w:t>Segment information:</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7"/>
                <w:szCs w:val="17"/>
                <w:b w:val="1"/>
                <w:bCs w:val="1"/>
                <w:color w:val="auto"/>
              </w:rPr>
              <w:t>Period Ended January 31,</w:t>
            </w:r>
          </w:p>
        </w:tc>
        <w:tc>
          <w:tcPr>
            <w:tcW w:w="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Three Months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420" w:type="dxa"/>
            <w:vAlign w:val="bottom"/>
          </w:tcPr>
          <w:p>
            <w:pPr>
              <w:spacing w:after="0"/>
              <w:rPr>
                <w:sz w:val="15"/>
                <w:szCs w:val="15"/>
                <w:color w:val="auto"/>
              </w:rPr>
            </w:pPr>
          </w:p>
        </w:tc>
        <w:tc>
          <w:tcPr>
            <w:tcW w:w="1380" w:type="dxa"/>
            <w:vAlign w:val="bottom"/>
          </w:tcPr>
          <w:p>
            <w:pPr>
              <w:jc w:val="right"/>
              <w:ind w:right="655"/>
              <w:spacing w:after="0" w:line="176"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right"/>
              <w:ind w:right="655"/>
              <w:spacing w:after="0" w:line="176"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 net sales by category:</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7"/>
                <w:szCs w:val="17"/>
                <w:color w:val="auto"/>
              </w:rPr>
              <w:t>Toric lens</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189.8</w:t>
            </w:r>
          </w:p>
        </w:tc>
        <w:tc>
          <w:tcPr>
            <w:tcW w:w="12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182.2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Multifocal lens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7"/>
                <w:szCs w:val="17"/>
                <w:color w:val="auto"/>
              </w:rPr>
              <w:t>Single-use sphere lens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Non single-use sphere, other</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151.4</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CooperVision net sales</w:t>
            </w: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581.3</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CooperSurgical net sales by category:</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7"/>
                <w:szCs w:val="17"/>
                <w:color w:val="auto"/>
              </w:rPr>
              <w:t>Office and surgical</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165.2</w:t>
            </w:r>
          </w:p>
        </w:tc>
        <w:tc>
          <w:tcPr>
            <w:tcW w:w="12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128.9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Fertility</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CooperSurgical net sales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 net sales</w:t>
            </w: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Operating income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CooperVision</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Arial" w:cs="Arial" w:eastAsia="Arial" w:hAnsi="Arial"/>
                <w:sz w:val="17"/>
                <w:szCs w:val="17"/>
                <w:color w:val="auto"/>
              </w:rPr>
              <w:t>CooperSurgical</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Corporate</w:t>
            </w: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7"/>
                <w:szCs w:val="17"/>
                <w:color w:val="auto"/>
              </w:rPr>
              <w:t>Total operating income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149.5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Other expense,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16"/>
                <w:szCs w:val="16"/>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January 31, 2023</w:t>
            </w:r>
          </w:p>
        </w:tc>
        <w:tc>
          <w:tcPr>
            <w:tcW w:w="180" w:type="dxa"/>
            <w:vAlign w:val="bottom"/>
          </w:tcPr>
          <w:p>
            <w:pPr>
              <w:spacing w:after="0"/>
              <w:rPr>
                <w:sz w:val="16"/>
                <w:szCs w:val="16"/>
                <w:color w:val="auto"/>
              </w:rPr>
            </w:pPr>
          </w:p>
        </w:tc>
        <w:tc>
          <w:tcPr>
            <w:tcW w:w="162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October 31, 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identifiable assets:</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Arial" w:cs="Arial" w:eastAsia="Arial" w:hAnsi="Arial"/>
                <w:sz w:val="17"/>
                <w:szCs w:val="17"/>
                <w:color w:val="auto"/>
              </w:rPr>
              <w:t>CooperVision</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6,945.7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6,778.9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CooperSurgical</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4,333.9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Corporate</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11,561.1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Geographic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74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7"/>
                <w:szCs w:val="17"/>
                <w:b w:val="1"/>
                <w:bCs w:val="1"/>
                <w:color w:val="auto"/>
              </w:rPr>
              <w:t>Period Ended January 31,</w:t>
            </w:r>
          </w:p>
        </w:tc>
        <w:tc>
          <w:tcPr>
            <w:tcW w:w="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right"/>
              <w:ind w:right="1275"/>
              <w:spacing w:after="0"/>
              <w:rPr>
                <w:sz w:val="20"/>
                <w:szCs w:val="20"/>
                <w:color w:val="auto"/>
              </w:rPr>
            </w:pPr>
            <w:r>
              <w:rPr>
                <w:rFonts w:ascii="Arial" w:cs="Arial" w:eastAsia="Arial" w:hAnsi="Arial"/>
                <w:sz w:val="17"/>
                <w:szCs w:val="17"/>
                <w:b w:val="1"/>
                <w:bCs w:val="1"/>
                <w:color w:val="auto"/>
              </w:rPr>
              <w:t>Three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15"/>
                <w:szCs w:val="15"/>
                <w:color w:val="auto"/>
              </w:rPr>
            </w:pPr>
          </w:p>
        </w:tc>
        <w:tc>
          <w:tcPr>
            <w:tcW w:w="1620" w:type="dxa"/>
            <w:vAlign w:val="bottom"/>
          </w:tcPr>
          <w:p>
            <w:pPr>
              <w:jc w:val="center"/>
              <w:ind w:right="115"/>
              <w:spacing w:after="0" w:line="176" w:lineRule="exact"/>
              <w:rPr>
                <w:sz w:val="20"/>
                <w:szCs w:val="20"/>
                <w:color w:val="auto"/>
              </w:rPr>
            </w:pPr>
            <w:r>
              <w:rPr>
                <w:rFonts w:ascii="Arial" w:cs="Arial" w:eastAsia="Arial" w:hAnsi="Arial"/>
                <w:sz w:val="17"/>
                <w:szCs w:val="17"/>
                <w:b w:val="1"/>
                <w:bCs w:val="1"/>
                <w:color w:val="auto"/>
                <w:w w:val="89"/>
              </w:rPr>
              <w:t>2023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15"/>
              <w:spacing w:after="0" w:line="176" w:lineRule="exact"/>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 to unaffiliated customers by country of domicile:</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7"/>
                <w:szCs w:val="17"/>
                <w:color w:val="auto"/>
              </w:rPr>
              <w:t>United States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434.8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365.3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Europe</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7"/>
                <w:szCs w:val="17"/>
                <w:color w:val="auto"/>
              </w:rPr>
              <w:t>Rest of world</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24"/>
                <w:szCs w:val="2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January 31, 2023</w:t>
            </w:r>
          </w:p>
        </w:tc>
        <w:tc>
          <w:tcPr>
            <w:tcW w:w="180" w:type="dxa"/>
            <w:vAlign w:val="bottom"/>
          </w:tcPr>
          <w:p>
            <w:pPr>
              <w:spacing w:after="0"/>
              <w:rPr>
                <w:sz w:val="24"/>
                <w:szCs w:val="24"/>
                <w:color w:val="auto"/>
              </w:rPr>
            </w:pPr>
          </w:p>
        </w:tc>
        <w:tc>
          <w:tcPr>
            <w:tcW w:w="1620" w:type="dxa"/>
            <w:vAlign w:val="bottom"/>
          </w:tcPr>
          <w:p>
            <w:pPr>
              <w:jc w:val="center"/>
              <w:ind w:right="95"/>
              <w:spacing w:after="0"/>
              <w:rPr>
                <w:sz w:val="20"/>
                <w:szCs w:val="20"/>
                <w:color w:val="auto"/>
              </w:rPr>
            </w:pPr>
            <w:r>
              <w:rPr>
                <w:rFonts w:ascii="Arial" w:cs="Arial" w:eastAsia="Arial" w:hAnsi="Arial"/>
                <w:sz w:val="17"/>
                <w:szCs w:val="17"/>
                <w:b w:val="1"/>
                <w:bCs w:val="1"/>
                <w:color w:val="auto"/>
                <w:w w:val="91"/>
              </w:rPr>
              <w:t>October 31, 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property, plant and equipment by country of domicile:</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7"/>
                <w:szCs w:val="17"/>
                <w:color w:val="auto"/>
              </w:rPr>
              <w:t>United States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871.3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856.1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Europe</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7"/>
                <w:szCs w:val="17"/>
                <w:color w:val="auto"/>
              </w:rPr>
              <w:t>Rest of world</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12. Financial Derivatives and Hedging</w:t>
      </w:r>
    </w:p>
    <w:p>
      <w:pPr>
        <w:spacing w:after="0" w:line="25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On April 6, 2020, the Company entered into six interest rate swap contracts which were used to hedge its exposure to changes in cash flows associated with its variable rate debt and were designated as derivatives in a cash flow hedge. The payment streams were based on a total notional amount of $1.5 billion at the inception of the contracts. As of January 31, 2023, three of the six interest rate swap contracts have matured and the outstanding contracts have a total notional amount of $1.0 billion and remaining maturities of five years or less. The Company did not have any cross-currency swaps or foreign currency forward contracts as of January 31, 2023.</w:t>
      </w:r>
    </w:p>
    <w:p>
      <w:pPr>
        <w:spacing w:after="0" w:line="214"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The interest rate swap contracts are fair valued by netting discounted future fixed cash payments and the discounted expected variable cash receipts, which are estimated based on observable market interest rate curves (Level 2). The cumulative pre-tax impact of the gain on derivatives designated for hedge accounting recognized in accumulated other comprehensive income was $96.7 million ($73.4 million, net of tax) as of January 31, 2023, and $34.8 million ($26.4 million, net of tax) as of January 31, 2022. The fair value of derivative instruments are classified in "Other non-current assets" on our Consolidated Condensed Balance Sheets.</w:t>
      </w:r>
    </w:p>
    <w:p>
      <w:pPr>
        <w:spacing w:after="0" w:line="33"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following table summarizes the amounts recognized with respect to our derivative instruments within the accompanying Consolidated Statements of Income and Comprehensive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7"/>
                <w:szCs w:val="17"/>
                <w:b w:val="1"/>
                <w:bCs w:val="1"/>
                <w:color w:val="auto"/>
              </w:rPr>
              <w:t>Period Ended January 31,</w:t>
            </w:r>
          </w:p>
        </w:tc>
        <w:tc>
          <w:tcPr>
            <w:tcW w:w="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6"/>
              </w:rPr>
              <w:t>Three Months</w:t>
            </w:r>
          </w:p>
        </w:tc>
        <w:tc>
          <w:tcPr>
            <w:tcW w:w="980" w:type="dxa"/>
            <w:vAlign w:val="bottom"/>
            <w:tcBorders>
              <w:bottom w:val="single" w:sz="8" w:color="auto"/>
            </w:tcBorders>
          </w:tcPr>
          <w:p>
            <w:pPr>
              <w:spacing w:after="0"/>
              <w:rPr>
                <w:sz w:val="20"/>
                <w:szCs w:val="20"/>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64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r>
      <w:tr>
        <w:trPr>
          <w:trHeight w:val="160"/>
        </w:trPr>
        <w:tc>
          <w:tcPr>
            <w:tcW w:w="20" w:type="dxa"/>
            <w:vAlign w:val="bottom"/>
            <w:shd w:val="clear" w:color="auto" w:fill="CCEEFF"/>
          </w:tcPr>
          <w:p>
            <w:pPr>
              <w:spacing w:after="0"/>
              <w:rPr>
                <w:sz w:val="13"/>
                <w:szCs w:val="13"/>
                <w:color w:val="auto"/>
              </w:rPr>
            </w:pPr>
          </w:p>
        </w:tc>
        <w:tc>
          <w:tcPr>
            <w:tcW w:w="3600" w:type="dxa"/>
            <w:vAlign w:val="bottom"/>
            <w:gridSpan w:val="2"/>
            <w:shd w:val="clear" w:color="auto" w:fill="CCEEFF"/>
          </w:tcPr>
          <w:p>
            <w:pPr>
              <w:spacing w:after="0" w:line="160" w:lineRule="exact"/>
              <w:rPr>
                <w:sz w:val="20"/>
                <w:szCs w:val="20"/>
                <w:color w:val="auto"/>
              </w:rPr>
            </w:pPr>
            <w:r>
              <w:rPr>
                <w:rFonts w:ascii="Arial" w:cs="Arial" w:eastAsia="Arial" w:hAnsi="Arial"/>
                <w:sz w:val="17"/>
                <w:szCs w:val="17"/>
                <w:b w:val="1"/>
                <w:bCs w:val="1"/>
                <w:color w:val="auto"/>
              </w:rPr>
              <w:t>Derivatives designated as cash flow hedges</w:t>
            </w:r>
          </w:p>
        </w:tc>
        <w:tc>
          <w:tcPr>
            <w:tcW w:w="4480" w:type="dxa"/>
            <w:vAlign w:val="bottom"/>
            <w:gridSpan w:val="3"/>
            <w:shd w:val="clear" w:color="auto" w:fill="CCEEFF"/>
          </w:tcPr>
          <w:p>
            <w:pPr>
              <w:ind w:left="640"/>
              <w:spacing w:after="0" w:line="160" w:lineRule="exact"/>
              <w:rPr>
                <w:sz w:val="20"/>
                <w:szCs w:val="20"/>
                <w:color w:val="auto"/>
              </w:rPr>
            </w:pPr>
            <w:r>
              <w:rPr>
                <w:rFonts w:ascii="Arial" w:cs="Arial" w:eastAsia="Arial" w:hAnsi="Arial"/>
                <w:sz w:val="17"/>
                <w:szCs w:val="17"/>
                <w:b w:val="1"/>
                <w:bCs w:val="1"/>
                <w:color w:val="auto"/>
                <w:w w:val="92"/>
              </w:rPr>
              <w:t>Location of (Gain)/Loss Recognized on Derivatives</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500" w:type="dxa"/>
            <w:vAlign w:val="bottom"/>
          </w:tcPr>
          <w:p>
            <w:pPr>
              <w:spacing w:after="0"/>
              <w:rPr>
                <w:sz w:val="18"/>
                <w:szCs w:val="18"/>
                <w:color w:val="auto"/>
              </w:rPr>
            </w:pPr>
          </w:p>
        </w:tc>
        <w:tc>
          <w:tcPr>
            <w:tcW w:w="4480" w:type="dxa"/>
            <w:vAlign w:val="bottom"/>
            <w:gridSpan w:val="3"/>
          </w:tcPr>
          <w:p>
            <w:pPr>
              <w:ind w:left="500"/>
              <w:spacing w:after="0"/>
              <w:rPr>
                <w:sz w:val="20"/>
                <w:szCs w:val="20"/>
                <w:color w:val="auto"/>
              </w:rPr>
            </w:pPr>
            <w:r>
              <w:rPr>
                <w:rFonts w:ascii="Arial" w:cs="Arial" w:eastAsia="Arial" w:hAnsi="Arial"/>
                <w:sz w:val="17"/>
                <w:szCs w:val="17"/>
                <w:color w:val="auto"/>
              </w:rPr>
              <w:t>Interest (income) expense</w:t>
            </w:r>
          </w:p>
        </w:tc>
        <w:tc>
          <w:tcPr>
            <w:tcW w:w="1000" w:type="dxa"/>
            <w:vAlign w:val="bottom"/>
          </w:tcPr>
          <w:p>
            <w:pPr>
              <w:jc w:val="right"/>
              <w:ind w:right="79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5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292"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The Company expects that $38.1 million recorded as a component of accumulated other comprehensive loss will be realized in the Consolidated Statements of Income and Comprehensive Income over the next twelve months and the amount will vary depending on prevailing interest rates.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20"/>
                <w:szCs w:val="20"/>
                <w:color w:val="auto"/>
              </w:rPr>
            </w:pPr>
            <w:r>
              <w:rPr>
                <w:rFonts w:ascii="Arial" w:cs="Arial" w:eastAsia="Arial" w:hAnsi="Arial"/>
                <w:sz w:val="17"/>
                <w:szCs w:val="17"/>
                <w:color w:val="auto"/>
              </w:rPr>
              <w:t>The following table details the changes in accumulated other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Period Ended January 31,</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7"/>
                <w:szCs w:val="17"/>
                <w:b w:val="1"/>
                <w:bCs w:val="1"/>
                <w:color w:val="auto"/>
                <w:w w:val="95"/>
              </w:rPr>
              <w:t>2022</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gain</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71"/>
        </w:trPr>
        <w:tc>
          <w:tcPr>
            <w:tcW w:w="8260" w:type="dxa"/>
            <w:vAlign w:val="bottom"/>
          </w:tcPr>
          <w:p>
            <w:pPr>
              <w:ind w:left="20"/>
              <w:spacing w:after="0" w:line="172" w:lineRule="exact"/>
              <w:rPr>
                <w:sz w:val="20"/>
                <w:szCs w:val="20"/>
                <w:color w:val="auto"/>
              </w:rPr>
            </w:pPr>
            <w:r>
              <w:rPr>
                <w:rFonts w:ascii="Arial" w:cs="Arial" w:eastAsia="Arial" w:hAnsi="Arial"/>
                <w:sz w:val="17"/>
                <w:szCs w:val="17"/>
                <w:color w:val="auto"/>
                <w:w w:val="94"/>
              </w:rPr>
              <w:t>Amount recognized in other comprehensive income on interest rate swap contracts, gross ($(14.8) million, net of tax</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7"/>
                <w:szCs w:val="17"/>
                <w:color w:val="auto"/>
              </w:rPr>
              <w:t>and $11.9 million, net of tax, respectively)</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2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Amount reclassified from other comprehensive income into earnings, gross ($(6.2) million, net of tax and</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$1.4 million, net of tax,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Ending balance gain</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Item 2. 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Note numbers refer to “Notes to Consolidated Condensed Financial Statements” in Item 1. Unaudited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impacts of global macroeconomic, health and political conditions; and statements regarding acquisitions (including acquired companies' financial positions, our market position based on acquisitions, product development and business strategies, anticipated cost synergies, expected timing and benefits of pending transactions, and integration of acquired entities or operations, as well as estimates of our and the acquired entities' future expenses, sales and earnings per share) that are forward-looking. In addition, all statements regarding anticipated growth in our revenues, anticipated market conditions, planned product launches, restructuring or business transition expectations, regulatory plans, and expected results of operations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16" w:lineRule="exact"/>
        <w:rPr>
          <w:sz w:val="20"/>
          <w:szCs w:val="20"/>
          <w:color w:val="auto"/>
        </w:rPr>
      </w:pPr>
    </w:p>
    <w:p>
      <w:pPr>
        <w:ind w:left="660" w:right="200" w:hanging="652"/>
        <w:spacing w:after="0" w:line="254"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ind w:left="660" w:right="80" w:hanging="652"/>
        <w:spacing w:after="0" w:line="256"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Russia's invasion of Ukraine and the global response to this invasion on the global economy, European economy, financial markets, energy markets, currency rates and our ability to supply product to, or through, affected countries.</w:t>
      </w:r>
    </w:p>
    <w:p>
      <w:pPr>
        <w:spacing w:after="0" w:line="1" w:lineRule="exact"/>
        <w:rPr>
          <w:rFonts w:ascii="Arial" w:cs="Arial" w:eastAsia="Arial" w:hAnsi="Arial"/>
          <w:sz w:val="17"/>
          <w:szCs w:val="17"/>
          <w:color w:val="auto"/>
        </w:rPr>
      </w:pPr>
    </w:p>
    <w:p>
      <w:pPr>
        <w:ind w:left="660" w:right="46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Foreign currency exchange rate and interest rate fluctuations including the risk of fluctuations in the value of foreign currencies or interest rates that would decrease our net sales and earnings.</w:t>
      </w:r>
    </w:p>
    <w:p>
      <w:pPr>
        <w:spacing w:after="0" w:line="1" w:lineRule="exact"/>
        <w:rPr>
          <w:rFonts w:ascii="Arial" w:cs="Arial" w:eastAsia="Arial" w:hAnsi="Arial"/>
          <w:sz w:val="17"/>
          <w:szCs w:val="17"/>
          <w:color w:val="auto"/>
        </w:rPr>
      </w:pPr>
    </w:p>
    <w:p>
      <w:pPr>
        <w:ind w:left="660" w:right="2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tax laws, examinations by tax authorities, and changes in our geographic composition of income.</w:t>
      </w:r>
    </w:p>
    <w:p>
      <w:pPr>
        <w:spacing w:after="0" w:line="7" w:lineRule="exact"/>
        <w:rPr>
          <w:rFonts w:ascii="Arial" w:cs="Arial" w:eastAsia="Arial" w:hAnsi="Arial"/>
          <w:sz w:val="17"/>
          <w:szCs w:val="17"/>
          <w:color w:val="auto"/>
        </w:rPr>
      </w:pPr>
    </w:p>
    <w:p>
      <w:pPr>
        <w:ind w:left="660" w:right="140" w:hanging="652"/>
        <w:spacing w:after="0" w:line="251"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 w:lineRule="exact"/>
        <w:rPr>
          <w:rFonts w:ascii="Arial" w:cs="Arial" w:eastAsia="Arial" w:hAnsi="Arial"/>
          <w:sz w:val="17"/>
          <w:szCs w:val="17"/>
          <w:color w:val="auto"/>
        </w:rPr>
      </w:pPr>
    </w:p>
    <w:p>
      <w:pPr>
        <w:ind w:left="66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spacing w:after="0" w:line="1" w:lineRule="exact"/>
        <w:rPr>
          <w:rFonts w:ascii="Arial" w:cs="Arial" w:eastAsia="Arial" w:hAnsi="Arial"/>
          <w:sz w:val="17"/>
          <w:szCs w:val="17"/>
          <w:color w:val="auto"/>
        </w:rPr>
      </w:pPr>
    </w:p>
    <w:p>
      <w:pPr>
        <w:jc w:val="both"/>
        <w:ind w:left="660" w:right="300" w:hanging="652"/>
        <w:spacing w:after="0" w:line="254"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ind w:left="660" w:right="180" w:hanging="652"/>
        <w:spacing w:after="0" w:line="24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 w:lineRule="exact"/>
        <w:rPr>
          <w:rFonts w:ascii="Arial" w:cs="Arial" w:eastAsia="Arial" w:hAnsi="Arial"/>
          <w:sz w:val="17"/>
          <w:szCs w:val="17"/>
          <w:color w:val="auto"/>
        </w:rPr>
      </w:pPr>
    </w:p>
    <w:p>
      <w:pPr>
        <w:ind w:left="660" w:right="200" w:hanging="652"/>
        <w:spacing w:after="0" w:line="256"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Market consolidation of large customers globally through mergers or acquisitions resulting in a larger proportion or concentration of our business being derived from fewer customers.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Disruptions in supplies of raw materials, particularly components used to manufacture our silicone hydrogel lenses.</w:t>
      </w:r>
    </w:p>
    <w:p>
      <w:pPr>
        <w:spacing w:after="0" w:line="7" w:lineRule="exact"/>
        <w:rPr>
          <w:rFonts w:ascii="Arial" w:cs="Arial" w:eastAsia="Arial" w:hAnsi="Arial"/>
          <w:sz w:val="17"/>
          <w:szCs w:val="17"/>
          <w:color w:val="auto"/>
        </w:rPr>
      </w:pPr>
    </w:p>
    <w:p>
      <w:pPr>
        <w:ind w:left="660" w:right="100" w:hanging="652"/>
        <w:spacing w:after="0" w:line="257"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ind w:left="660" w:hanging="652"/>
        <w:spacing w:after="0" w:line="257"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Legal costs, insurance expenses, settlement costs and the risk of an adverse decision, prohibitive injunction or settlement related to product liability, patent infringement, contractual disputes, or other litigation.</w:t>
      </w: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Limitations on sales following product introductions due to poor market acceptance.</w:t>
      </w:r>
    </w:p>
    <w:p>
      <w:pPr>
        <w:spacing w:after="0" w:line="7" w:lineRule="exact"/>
        <w:rPr>
          <w:rFonts w:ascii="Arial" w:cs="Arial" w:eastAsia="Arial" w:hAnsi="Arial"/>
          <w:sz w:val="17"/>
          <w:szCs w:val="17"/>
          <w:color w:val="auto"/>
        </w:rPr>
      </w:pPr>
    </w:p>
    <w:p>
      <w:pPr>
        <w:ind w:left="660" w:right="360" w:hanging="652"/>
        <w:spacing w:after="0" w:line="256"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Reduced sales, loss of customers and costs and expenses related to product recalls and warning letters.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receive, or delays in receiving, regulatory approvals or certifications for products.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payers for our products and services.</w:t>
      </w:r>
    </w:p>
    <w:p>
      <w:pPr>
        <w:spacing w:after="0" w:line="18" w:lineRule="exact"/>
        <w:rPr>
          <w:rFonts w:ascii="Arial" w:cs="Arial" w:eastAsia="Arial" w:hAnsi="Arial"/>
          <w:sz w:val="16"/>
          <w:szCs w:val="16"/>
          <w:color w:val="auto"/>
        </w:rPr>
      </w:pPr>
    </w:p>
    <w:p>
      <w:pPr>
        <w:ind w:left="660" w:right="100" w:hanging="652"/>
        <w:spacing w:after="0" w:line="256"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requirement to provide for a significant liability or to write off, or accelerate depreciation on, a significant asset, including goodwill, other intangible assets and idle manufacturing facilities and equipment.</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success of our research and development activities and other start-up projects.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Dilution to earnings per share from acquisitions or issuing stock.</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Impact and costs incurred from changes in accounting standards and policies.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environmental, social and corporate governance (ESG) issues, including those related to climate change and sustainability.</w:t>
      </w:r>
    </w:p>
    <w:p>
      <w:pPr>
        <w:spacing w:after="0" w:line="7" w:lineRule="exact"/>
        <w:rPr>
          <w:rFonts w:ascii="Arial" w:cs="Arial" w:eastAsia="Arial" w:hAnsi="Arial"/>
          <w:sz w:val="17"/>
          <w:szCs w:val="17"/>
          <w:color w:val="auto"/>
        </w:rPr>
      </w:pPr>
    </w:p>
    <w:p>
      <w:pPr>
        <w:ind w:left="660" w:right="20" w:hanging="652"/>
        <w:spacing w:after="0" w:line="342" w:lineRule="auto"/>
        <w:tabs>
          <w:tab w:leader="none" w:pos="652" w:val="left"/>
        </w:tabs>
        <w:numPr>
          <w:ilvl w:val="0"/>
          <w:numId w:val="2"/>
        </w:numPr>
        <w:rPr>
          <w:rFonts w:ascii="Arial" w:cs="Arial" w:eastAsia="Arial" w:hAnsi="Arial"/>
          <w:sz w:val="15"/>
          <w:szCs w:val="15"/>
          <w:color w:val="auto"/>
        </w:rPr>
      </w:pPr>
      <w:r>
        <w:rPr>
          <w:rFonts w:ascii="Arial" w:cs="Arial" w:eastAsia="Arial" w:hAnsi="Arial"/>
          <w:sz w:val="15"/>
          <w:szCs w:val="15"/>
          <w:color w:val="auto"/>
        </w:rPr>
        <w:t>Other events described in our Securities and Exchange Commission filings, including the “Business” and “Risk Factors” sections in our Annual Report on Form 10-K for the fiscal year ended October 31, 2022, as such Risk Factors may be updated in quarterly filings including updates made in this filing.</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4" w:lineRule="exact"/>
        <w:rPr>
          <w:sz w:val="20"/>
          <w:szCs w:val="20"/>
          <w:color w:val="auto"/>
        </w:rPr>
      </w:pPr>
    </w:p>
    <w:p>
      <w:pPr>
        <w:ind w:right="100"/>
        <w:spacing w:after="0" w:line="321" w:lineRule="auto"/>
        <w:rPr>
          <w:sz w:val="20"/>
          <w:szCs w:val="20"/>
          <w:color w:val="auto"/>
        </w:rPr>
      </w:pPr>
      <w:r>
        <w:rPr>
          <w:rFonts w:ascii="Arial" w:cs="Arial" w:eastAsia="Arial" w:hAnsi="Arial"/>
          <w:sz w:val="15"/>
          <w:szCs w:val="15"/>
          <w:color w:val="auto"/>
        </w:rPr>
        <w:t>In this section, we discuss the results of our operations for the first quarter of fiscal 2023 ended January 31, 2023, and compare them with the same period of fiscal 2022. We also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54"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For more information on the risks associated with our global operating environment, refer to Part II, Item 1A "Risk Factors" herein. These risks and uncertainties have adversely affected our sales, cash flow and performance in the past and are likely to further adversely affect our future sales, cash flow and performance.</w:t>
      </w:r>
    </w:p>
    <w:p>
      <w:pPr>
        <w:spacing w:after="0" w:line="202"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i w:val="1"/>
          <w:iCs w:val="1"/>
          <w:color w:val="auto"/>
        </w:rPr>
        <w:t xml:space="preserve">Global Market and Economic Conditions </w:t>
      </w:r>
      <w:r>
        <w:rPr>
          <w:rFonts w:ascii="Arial" w:cs="Arial" w:eastAsia="Arial" w:hAnsi="Arial"/>
          <w:sz w:val="15"/>
          <w:szCs w:val="15"/>
          <w:color w:val="auto"/>
        </w:rPr>
        <w:t>- Over the last few years in the U.S. and globally, market and economic conditions have been challenging, particularly in</w:t>
      </w:r>
      <w:r>
        <w:rPr>
          <w:rFonts w:ascii="Arial" w:cs="Arial" w:eastAsia="Arial" w:hAnsi="Arial"/>
          <w:sz w:val="15"/>
          <w:szCs w:val="15"/>
          <w:i w:val="1"/>
          <w:iCs w:val="1"/>
          <w:color w:val="auto"/>
        </w:rPr>
        <w:t xml:space="preserve"> </w:t>
      </w:r>
      <w:r>
        <w:rPr>
          <w:rFonts w:ascii="Arial" w:cs="Arial" w:eastAsia="Arial" w:hAnsi="Arial"/>
          <w:sz w:val="15"/>
          <w:szCs w:val="15"/>
          <w:color w:val="auto"/>
        </w:rPr>
        <w:t>light of the COVID-19 pandemic. Foreign countries, in particular the Euro zone, have experienced recessionary pressures and face continued concerns about the systemic impacts of adverse economic conditions and geopolitical issues. In addition, changes in economic conditions, supply chain constraints, logistics challenges, labor shortages, the war in Ukraine, and steps taken by governments and central banks, particularly in response to the COVID-19 pandemic,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increase in our costs. These market and economic conditions could have a material adverse effect on our results of operations and financial condition.</w:t>
      </w:r>
    </w:p>
    <w:p>
      <w:pPr>
        <w:spacing w:after="0" w:line="109"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multifocal, toric multifocal contact lenses offered in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including using silicone hydrogel Aquaform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and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In November 2019, CooperVision received U.S. Food and Drug Administration (FDA)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which is the first and only FDA-approved product indicated to slow the progression of myopia in children with treatment initiated between the ages of 8-12 and became available in the United States during fiscal 2020. In August 2021, CooperVision received Chinese National Medical Products Administration (NMPA)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for use in China. CooperVision is focused on greater worldwide market penetration using recently introduced products, and we continue to expand our presence in existing and emerging markets, including through acquisitions.</w:t>
      </w:r>
    </w:p>
    <w:p>
      <w:pPr>
        <w:spacing w:after="0" w:line="143" w:lineRule="exact"/>
        <w:rPr>
          <w:sz w:val="20"/>
          <w:szCs w:val="20"/>
          <w:color w:val="auto"/>
        </w:rPr>
      </w:pPr>
    </w:p>
    <w:p>
      <w:pPr>
        <w:ind w:right="140"/>
        <w:spacing w:after="0" w:line="209"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monthly and 2-week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219" w:lineRule="exact"/>
        <w:rPr>
          <w:sz w:val="20"/>
          <w:szCs w:val="20"/>
          <w:color w:val="auto"/>
        </w:rPr>
      </w:pPr>
    </w:p>
    <w:p>
      <w:pPr>
        <w:ind w:right="500"/>
        <w:spacing w:after="0" w:line="289" w:lineRule="auto"/>
        <w:rPr>
          <w:sz w:val="20"/>
          <w:szCs w:val="20"/>
          <w:color w:val="auto"/>
        </w:rPr>
      </w:pPr>
      <w:r>
        <w:rPr>
          <w:rFonts w:ascii="Arial" w:cs="Arial" w:eastAsia="Arial" w:hAnsi="Arial"/>
          <w:sz w:val="15"/>
          <w:szCs w:val="15"/>
          <w:i w:val="1"/>
          <w:iCs w:val="1"/>
          <w:color w:val="auto"/>
        </w:rPr>
        <w:t xml:space="preserve">CooperSurgical - </w:t>
      </w:r>
      <w:r>
        <w:rPr>
          <w:rFonts w:ascii="Arial" w:cs="Arial" w:eastAsia="Arial" w:hAnsi="Arial"/>
          <w:sz w:val="15"/>
          <w:szCs w:val="15"/>
          <w:color w:val="auto"/>
        </w:rPr>
        <w:t>Our CooperSurgical business competes in the general health care market with a commitment to advancing the health of women, babies and</w:t>
      </w:r>
      <w:r>
        <w:rPr>
          <w:rFonts w:ascii="Arial" w:cs="Arial" w:eastAsia="Arial" w:hAnsi="Arial"/>
          <w:sz w:val="15"/>
          <w:szCs w:val="15"/>
          <w:i w:val="1"/>
          <w:iCs w:val="1"/>
          <w:color w:val="auto"/>
        </w:rPr>
        <w:t xml:space="preserve"> </w:t>
      </w:r>
      <w:r>
        <w:rPr>
          <w:rFonts w:ascii="Arial" w:cs="Arial" w:eastAsia="Arial" w:hAnsi="Arial"/>
          <w:sz w:val="15"/>
          <w:szCs w:val="15"/>
          <w:color w:val="auto"/>
        </w:rPr>
        <w:t>families through its diversified portfolio of products and services, including medical devices, fertility, genomics, diagnostics, cryostorage, contraception and healthcare technology services (such as cord blood and cord tissue storage and genomic testing). CooperSurgical has established its market presence and distribution system by developing products and acquiring companies, products and services that complement its business model.</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On December 17, 2021, CooperSurgical completed the acquisition of 100% of the equity interests in Generate Life Sciences (Generate), a privately held leading</w:t>
      </w:r>
    </w:p>
    <w:p>
      <w:pPr>
        <w:spacing w:after="0" w:line="31"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provider of donor egg and sperm for fertility treatments, fertility cryopreservation services and newborn stem cell storage (cord blood &amp; cord tissue), and paid an aggregate purchase consideration of approximately $1.663 billion.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125095</wp:posOffset>
            </wp:positionV>
            <wp:extent cx="3308985" cy="2177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898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contact lens market has two major product categories:</w:t>
      </w:r>
    </w:p>
    <w:p>
      <w:pPr>
        <w:spacing w:after="0" w:line="16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Spherical lenses including lenses that correct near- and farsightedness uncomplicated by more complex visual defects; and</w:t>
      </w:r>
    </w:p>
    <w:p>
      <w:pPr>
        <w:spacing w:after="0" w:line="182" w:lineRule="exact"/>
        <w:rPr>
          <w:rFonts w:ascii="Arial" w:cs="Arial" w:eastAsia="Arial" w:hAnsi="Arial"/>
          <w:sz w:val="17"/>
          <w:szCs w:val="17"/>
          <w:color w:val="auto"/>
        </w:rPr>
      </w:pPr>
    </w:p>
    <w:p>
      <w:pPr>
        <w:ind w:left="340" w:right="100" w:hanging="332"/>
        <w:spacing w:after="0" w:line="27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18415</wp:posOffset>
            </wp:positionV>
            <wp:extent cx="5143500" cy="2451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Single-use spheres </w:t>
      </w:r>
      <w:r>
        <w:rPr>
          <w:rFonts w:ascii="Arial" w:cs="Arial" w:eastAsia="Arial" w:hAnsi="Arial"/>
          <w:sz w:val="17"/>
          <w:szCs w:val="17"/>
          <w:color w:val="auto"/>
        </w:rPr>
        <w:t>– This includes Biomedics 1 day, clariti 1 day, MyDay, MiSight and Proclear 1 day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Toric </w:t>
      </w:r>
      <w:r>
        <w:rPr>
          <w:rFonts w:ascii="Arial" w:cs="Arial" w:eastAsia="Arial" w:hAnsi="Arial"/>
          <w:sz w:val="17"/>
          <w:szCs w:val="17"/>
          <w:color w:val="auto"/>
        </w:rPr>
        <w:t>– This includes Avaira Vitality toric, Biomedics toric, Biofinity toric, clariti 1 day toric, MyDay toric and Proclear toric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Multifocal </w:t>
      </w:r>
      <w:r>
        <w:rPr>
          <w:rFonts w:ascii="Arial" w:cs="Arial" w:eastAsia="Arial" w:hAnsi="Arial"/>
          <w:sz w:val="17"/>
          <w:szCs w:val="17"/>
          <w:color w:val="auto"/>
        </w:rPr>
        <w:t>– This includes Biofinity multifocal, Biofinity toric multifocal, clariti 1 day multifocal, MyDay multifocal and Proclear 1 day multifocal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 single-use sphere, other </w:t>
      </w:r>
      <w:r>
        <w:rPr>
          <w:rFonts w:ascii="Arial" w:cs="Arial" w:eastAsia="Arial" w:hAnsi="Arial"/>
          <w:sz w:val="17"/>
          <w:szCs w:val="17"/>
          <w:color w:val="auto"/>
        </w:rPr>
        <w:t>– This includes our Avaira Vitality spheres, frequent replacement product (FRP) lens portfolio (Biofinity spheres, Biofinity Energys,</w:t>
      </w:r>
      <w:r>
        <w:rPr>
          <w:rFonts w:ascii="Arial" w:cs="Arial" w:eastAsia="Arial" w:hAnsi="Arial"/>
          <w:sz w:val="17"/>
          <w:szCs w:val="17"/>
          <w:b w:val="1"/>
          <w:bCs w:val="1"/>
          <w:color w:val="auto"/>
        </w:rPr>
        <w:t xml:space="preserve"> </w:t>
      </w:r>
      <w:r>
        <w:rPr>
          <w:rFonts w:ascii="Arial" w:cs="Arial" w:eastAsia="Arial" w:hAnsi="Arial"/>
          <w:sz w:val="17"/>
          <w:szCs w:val="17"/>
          <w:color w:val="auto"/>
        </w:rPr>
        <w:t>Biomedics, Proclear spheres, clariti spheres), ortho-k, scleral and custom lenses, contact lens solutions and other</w:t>
      </w:r>
    </w:p>
    <w:p>
      <w:pPr>
        <w:sectPr>
          <w:pgSz w:w="11900" w:h="16838" w:orient="portrait"/>
          <w:cols w:equalWidth="0" w:num="1">
            <w:col w:w="11160"/>
          </w:cols>
          <w:pgMar w:left="320" w:top="368" w:right="4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line="284" w:lineRule="auto"/>
        <w:rPr>
          <w:sz w:val="20"/>
          <w:szCs w:val="20"/>
          <w:color w:val="auto"/>
        </w:rPr>
      </w:pPr>
      <w:r>
        <w:rPr>
          <w:rFonts w:ascii="Arial" w:cs="Arial" w:eastAsia="Arial" w:hAnsi="Arial"/>
          <w:sz w:val="17"/>
          <w:szCs w:val="17"/>
          <w:b w:val="1"/>
          <w:bCs w:val="1"/>
          <w:color w:val="auto"/>
        </w:rPr>
        <w:t>Three Months Ended January 31, ($ in millions)</w:t>
      </w:r>
    </w:p>
    <w:p>
      <w:pPr>
        <w:ind w:left="20"/>
        <w:spacing w:after="0"/>
        <w:rPr>
          <w:sz w:val="20"/>
          <w:szCs w:val="20"/>
          <w:color w:val="auto"/>
        </w:rPr>
      </w:pPr>
      <w:r>
        <w:rPr>
          <w:rFonts w:ascii="Arial" w:cs="Arial" w:eastAsia="Arial" w:hAnsi="Arial"/>
          <w:sz w:val="17"/>
          <w:szCs w:val="17"/>
          <w:color w:val="auto"/>
        </w:rPr>
        <w:t>Toric</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Multifocal</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Single-use spheres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 single-use sphere, other</w:t>
      </w:r>
    </w:p>
    <w:p>
      <w:pPr>
        <w:spacing w:after="0" w:line="20" w:lineRule="exact"/>
        <w:rPr>
          <w:sz w:val="20"/>
          <w:szCs w:val="20"/>
          <w:color w:val="auto"/>
        </w:rPr>
      </w:pPr>
      <w:r>
        <w:rPr>
          <w:sz w:val="20"/>
          <w:szCs w:val="20"/>
          <w:color w:val="auto"/>
        </w:rPr>
        <w:br w:type="column"/>
      </w:r>
    </w:p>
    <w:p>
      <w:pPr>
        <w:jc w:val="center"/>
        <w:ind w:right="3060"/>
        <w:spacing w:after="0" w:line="263" w:lineRule="auto"/>
        <w:rPr>
          <w:sz w:val="20"/>
          <w:szCs w:val="20"/>
          <w:color w:val="auto"/>
        </w:rPr>
      </w:pPr>
      <w:r>
        <w:rPr>
          <w:rFonts w:ascii="Arial" w:cs="Arial" w:eastAsia="Arial" w:hAnsi="Arial"/>
          <w:sz w:val="18"/>
          <w:szCs w:val="18"/>
          <w:color w:val="auto"/>
        </w:rPr>
        <w:t xml:space="preserve">THE COOPER COMPANIES, INC. AND SUBSIDIARIES </w:t>
      </w:r>
      <w:r>
        <w:rPr>
          <w:rFonts w:ascii="Arial" w:cs="Arial" w:eastAsia="Arial" w:hAnsi="Arial"/>
          <w:sz w:val="18"/>
          <w:szCs w:val="18"/>
          <w:u w:val="single" w:color="auto"/>
          <w:color w:val="auto"/>
        </w:rPr>
        <w:t>Item 2. Management’s Discussion and Analysis of Financial Condition and Results of Operations</w:t>
      </w:r>
    </w:p>
    <w:p>
      <w:pPr>
        <w:spacing w:after="0" w:line="200" w:lineRule="exact"/>
        <w:rPr>
          <w:sz w:val="20"/>
          <w:szCs w:val="20"/>
          <w:color w:val="auto"/>
        </w:rPr>
      </w:pPr>
    </w:p>
    <w:p>
      <w:pPr>
        <w:spacing w:after="0" w:line="342" w:lineRule="exact"/>
        <w:rPr>
          <w:sz w:val="20"/>
          <w:szCs w:val="20"/>
          <w:color w:val="auto"/>
        </w:rPr>
      </w:pPr>
    </w:p>
    <w:tbl>
      <w:tblPr>
        <w:tblLayout w:type="fixed"/>
        <w:tblInd w:w="250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1360" w:type="dxa"/>
            <w:vAlign w:val="bottom"/>
            <w:vMerge w:val="restart"/>
          </w:tcPr>
          <w:p>
            <w:pPr>
              <w:jc w:val="right"/>
              <w:ind w:right="63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restart"/>
          </w:tcPr>
          <w:p>
            <w:pPr>
              <w:jc w:val="right"/>
              <w:ind w:right="63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1880" w:type="dxa"/>
            <w:vAlign w:val="bottom"/>
          </w:tcPr>
          <w:p>
            <w:pPr>
              <w:jc w:val="right"/>
              <w:ind w:right="39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25"/>
        </w:trPr>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4"/>
        </w:trPr>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189.8</w:t>
            </w:r>
          </w:p>
        </w:tc>
        <w:tc>
          <w:tcPr>
            <w:tcW w:w="120" w:type="dxa"/>
            <w:vAlign w:val="bottom"/>
          </w:tcPr>
          <w:p>
            <w:pPr>
              <w:spacing w:after="0"/>
              <w:rPr>
                <w:sz w:val="18"/>
                <w:szCs w:val="18"/>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182.2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65.8</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167.0</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40"/>
        </w:trPr>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146.5</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30"/>
        </w:trPr>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561.5</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-779145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-479425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-187960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600"/>
            <w:col w:w="8160"/>
          </w:cols>
          <w:pgMar w:left="320" w:top="368" w:right="339" w:bottom="1440" w:gutter="0" w:footer="0" w:header="0"/>
        </w:sectPr>
      </w:pPr>
    </w:p>
    <w:p>
      <w:pPr>
        <w:spacing w:after="0" w:line="25"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In the three months ended January 31, 2023, the growth experienced across all categories was partially offset by unfavorable foreign exchange rate fluctuations, which approximated $43.4 million.</w:t>
      </w:r>
    </w:p>
    <w:p>
      <w:pPr>
        <w:spacing w:after="0" w:line="10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Toric and multifocal lenses grew primarily through the success of MyDay and Biofinity.</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Single-use sphere lenses grew primarily through MyDay, clariti and MiSight lenses.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 single-use sphere lenses grew primarily through Biofinity and ortho-k.</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products primarily include lens care which represented approximately 1% of net sales in the three months ended January 31, 2023 and 2022.</w:t>
      </w:r>
    </w:p>
    <w:p>
      <w:pPr>
        <w:spacing w:after="0" w:line="180" w:lineRule="exact"/>
        <w:rPr>
          <w:rFonts w:ascii="Arial" w:cs="Arial" w:eastAsia="Arial" w:hAnsi="Arial"/>
          <w:sz w:val="16"/>
          <w:szCs w:val="16"/>
          <w:color w:val="auto"/>
        </w:rPr>
      </w:pPr>
    </w:p>
    <w:p>
      <w:pPr>
        <w:ind w:left="660" w:right="380" w:hanging="328"/>
        <w:spacing w:after="0" w:line="290"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silicone hydrogel products increased by 4% in the three months ended January 31, 2023, representing 79% of net sales, compared to 78% in the three months ended January 31, 2022.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Geography</w:t>
      </w:r>
    </w:p>
    <w:p>
      <w:pPr>
        <w:spacing w:after="0" w:line="25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CooperVision competes in the worldwide soft contact lens market and services in three primary regions: the Americas, EMEA (Europe, Middle East and Africa) and Asia Pacific.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ind w:left="20"/>
              <w:spacing w:after="0"/>
              <w:rPr>
                <w:sz w:val="20"/>
                <w:szCs w:val="20"/>
                <w:color w:val="auto"/>
              </w:rPr>
            </w:pPr>
            <w:r>
              <w:rPr>
                <w:rFonts w:ascii="Arial" w:cs="Arial" w:eastAsia="Arial" w:hAnsi="Arial"/>
                <w:sz w:val="17"/>
                <w:szCs w:val="17"/>
                <w:b w:val="1"/>
                <w:bCs w:val="1"/>
                <w:color w:val="auto"/>
              </w:rPr>
              <w:t>Period Ended January 31,</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Three Months</w:t>
            </w: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59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 in millions)</w:t>
            </w:r>
          </w:p>
        </w:tc>
        <w:tc>
          <w:tcPr>
            <w:tcW w:w="360" w:type="dxa"/>
            <w:vAlign w:val="bottom"/>
          </w:tcPr>
          <w:p>
            <w:pPr>
              <w:spacing w:after="0"/>
              <w:rPr>
                <w:sz w:val="14"/>
                <w:szCs w:val="14"/>
                <w:color w:val="auto"/>
              </w:rPr>
            </w:pPr>
          </w:p>
        </w:tc>
        <w:tc>
          <w:tcPr>
            <w:tcW w:w="1260" w:type="dxa"/>
            <w:vAlign w:val="bottom"/>
            <w:vMerge w:val="restart"/>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4"/>
                <w:szCs w:val="14"/>
                <w:color w:val="auto"/>
              </w:rPr>
            </w:pPr>
          </w:p>
        </w:tc>
        <w:tc>
          <w:tcPr>
            <w:tcW w:w="1780" w:type="dxa"/>
            <w:vAlign w:val="bottom"/>
          </w:tcPr>
          <w:p>
            <w:pPr>
              <w:jc w:val="right"/>
              <w:ind w:right="355"/>
              <w:spacing w:after="0" w:line="167" w:lineRule="exact"/>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7"/>
                <w:szCs w:val="17"/>
                <w:color w:val="auto"/>
              </w:rPr>
              <w:t>EMEA</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213.5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561.5</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CooperVision's growth in net sales was primarily attributable to market gains of silicone hydrogel contact lenses. Refer to CooperVision Net Sales by Category above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CooperSurgical Net Sales by Category</w:t>
      </w:r>
    </w:p>
    <w:p>
      <w:pPr>
        <w:spacing w:after="0" w:line="17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the percentage of net sales of office and surgical and fertility.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365760</wp:posOffset>
            </wp:positionV>
            <wp:extent cx="5657850" cy="2486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 xml:space="preserve">Office/Surgical </w:t>
      </w:r>
      <w:r>
        <w:rPr>
          <w:rFonts w:ascii="Arial" w:cs="Arial" w:eastAsia="Arial" w:hAnsi="Arial"/>
          <w:sz w:val="17"/>
          <w:szCs w:val="17"/>
          <w:color w:val="auto"/>
        </w:rPr>
        <w:t>– This includes Endosee endometrial imaging products, Fetal Pillow cephalic elevation devices for use in Cesarean sections, illuminated speculum</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Lone Star retractor systems, loop electrosurgical excision procedure (LEEP) products, Mara water ablation systems, newborn stem cell storage, PARAGARD contraceptive IUDs, point-of-care products and uterine positioning products.</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7"/>
          <w:szCs w:val="17"/>
          <w:b w:val="1"/>
          <w:bCs w:val="1"/>
          <w:color w:val="auto"/>
        </w:rPr>
        <w:t xml:space="preserve">Fertility </w:t>
      </w:r>
      <w:r>
        <w:rPr>
          <w:rFonts w:ascii="Arial" w:cs="Arial" w:eastAsia="Arial" w:hAnsi="Arial"/>
          <w:sz w:val="17"/>
          <w:szCs w:val="17"/>
          <w:color w:val="auto"/>
        </w:rPr>
        <w:t>– Our significant fertility products and services include cryostorage, donor gamete services, fertility consumables and equipment and genomic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preimplantation genetic testing).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January 31,</w:t>
            </w:r>
          </w:p>
        </w:tc>
        <w:tc>
          <w:tcPr>
            <w:tcW w:w="380" w:type="dxa"/>
            <w:vAlign w:val="bottom"/>
          </w:tcPr>
          <w:p>
            <w:pPr>
              <w:spacing w:after="0"/>
              <w:rPr>
                <w:sz w:val="20"/>
                <w:szCs w:val="20"/>
                <w:color w:val="auto"/>
              </w:rPr>
            </w:pPr>
          </w:p>
        </w:tc>
        <w:tc>
          <w:tcPr>
            <w:tcW w:w="126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1800" w:type="dxa"/>
            <w:vAlign w:val="bottom"/>
          </w:tcPr>
          <w:p>
            <w:pPr>
              <w:jc w:val="right"/>
              <w:ind w:right="35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gridSpan w:val="2"/>
          </w:tcPr>
          <w:p>
            <w:pPr>
              <w:spacing w:after="0" w:line="155"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435"/>
              <w:spacing w:after="0" w:line="155"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and surgical</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Fertility</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225.7</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In the three months ended January 31, 2023, the net sales increase in both categories was primarily due to the addition of Generate. The increase was slightly offset by unfavorable foreign exchange rate fluctuations, which approximated $7.8 million.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54"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Consolidated gross margin decreased in the three months ended January 31, 2023 to 65% compared to 66% in the three months ended January 31, 2022, primarily driven by unfavorable currency.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w w:val="92"/>
              </w:rPr>
              <w:t>Selling, General and Administrative Expense (SGA)</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January 31,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80" w:type="dxa"/>
            <w:vAlign w:val="bottom"/>
          </w:tcPr>
          <w:p>
            <w:pPr>
              <w:spacing w:after="0"/>
              <w:rPr>
                <w:sz w:val="18"/>
                <w:szCs w:val="18"/>
                <w:color w:val="auto"/>
              </w:rPr>
            </w:pPr>
          </w:p>
        </w:tc>
        <w:tc>
          <w:tcPr>
            <w:tcW w:w="9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 Net Sales</w:t>
            </w:r>
          </w:p>
        </w:tc>
        <w:tc>
          <w:tcPr>
            <w:tcW w:w="260" w:type="dxa"/>
            <w:vAlign w:val="bottom"/>
          </w:tcPr>
          <w:p>
            <w:pPr>
              <w:spacing w:after="0"/>
              <w:rPr>
                <w:sz w:val="18"/>
                <w:szCs w:val="18"/>
                <w:color w:val="auto"/>
              </w:rPr>
            </w:pPr>
          </w:p>
        </w:tc>
        <w:tc>
          <w:tcPr>
            <w:tcW w:w="9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1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8"/>
                <w:szCs w:val="18"/>
                <w:color w:val="auto"/>
              </w:rPr>
            </w:pPr>
          </w:p>
        </w:tc>
        <w:tc>
          <w:tcPr>
            <w:tcW w:w="2140" w:type="dxa"/>
            <w:vAlign w:val="bottom"/>
          </w:tcPr>
          <w:p>
            <w:pPr>
              <w:jc w:val="right"/>
              <w:ind w:right="53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right"/>
              <w:ind w:right="595"/>
              <w:spacing w:after="0" w:line="150"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87"/>
              </w:rPr>
              <w:t>32 %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87"/>
              </w:rPr>
              <w:t>38 %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127.2</w:t>
            </w: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w w:val="87"/>
              </w:rPr>
              <w:t>46 %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96.1</w:t>
            </w:r>
          </w:p>
        </w:tc>
        <w:tc>
          <w:tcPr>
            <w:tcW w:w="1280" w:type="dxa"/>
            <w:vAlign w:val="bottom"/>
            <w:gridSpan w:val="2"/>
          </w:tcPr>
          <w:p>
            <w:pPr>
              <w:ind w:left="920"/>
              <w:spacing w:after="0"/>
              <w:rPr>
                <w:sz w:val="20"/>
                <w:szCs w:val="20"/>
                <w:color w:val="auto"/>
              </w:rPr>
            </w:pPr>
            <w:r>
              <w:rPr>
                <w:rFonts w:ascii="Arial" w:cs="Arial" w:eastAsia="Arial" w:hAnsi="Arial"/>
                <w:sz w:val="17"/>
                <w:szCs w:val="17"/>
                <w:color w:val="auto"/>
                <w:w w:val="87"/>
              </w:rPr>
              <w:t>43 %</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330.9</w:t>
            </w: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w w:val="87"/>
              </w:rPr>
              <w:t>39 %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319.1</w:t>
            </w:r>
          </w:p>
        </w:tc>
        <w:tc>
          <w:tcPr>
            <w:tcW w:w="1280" w:type="dxa"/>
            <w:vAlign w:val="bottom"/>
            <w:gridSpan w:val="2"/>
          </w:tcPr>
          <w:p>
            <w:pPr>
              <w:ind w:left="920"/>
              <w:spacing w:after="0"/>
              <w:rPr>
                <w:sz w:val="20"/>
                <w:szCs w:val="20"/>
                <w:color w:val="auto"/>
              </w:rPr>
            </w:pPr>
            <w:r>
              <w:rPr>
                <w:rFonts w:ascii="Arial" w:cs="Arial" w:eastAsia="Arial" w:hAnsi="Arial"/>
                <w:sz w:val="17"/>
                <w:szCs w:val="17"/>
                <w:color w:val="auto"/>
                <w:w w:val="87"/>
              </w:rPr>
              <w:t>41 %</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CooperVision's SGA decreased in the three months ended January 31, 2023 compared to the three months ended January 31, 2022, primarily due to the $31.8 million release of contingent consideration liability associated with SightGlass Vision's regulatory approval milestone.</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CooperSurgical's SGA increased in the three months ended January 31, 2023 compared to the three months ended January 31, 2022, primarily due to the addition of Generate's SGA and acquisition and integration expenses.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Corporate SGA increased in the three months ended January 31, 2023 compared to the three months ended January 31, 2022, primarily due to share-based compensation related expenses.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gridSpan w:val="3"/>
          </w:tcPr>
          <w:p>
            <w:pPr>
              <w:spacing w:after="0"/>
              <w:rPr>
                <w:sz w:val="20"/>
                <w:szCs w:val="20"/>
                <w:color w:val="auto"/>
              </w:rPr>
            </w:pPr>
            <w:r>
              <w:rPr>
                <w:rFonts w:ascii="Arial" w:cs="Arial" w:eastAsia="Arial" w:hAnsi="Arial"/>
                <w:sz w:val="17"/>
                <w:szCs w:val="17"/>
                <w:b w:val="1"/>
                <w:bCs w:val="1"/>
                <w:color w:val="auto"/>
              </w:rPr>
              <w:t>Research and Development Expense (R&amp;D)</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January 31,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80" w:type="dxa"/>
            <w:vAlign w:val="bottom"/>
          </w:tcPr>
          <w:p>
            <w:pPr>
              <w:spacing w:after="0"/>
              <w:rPr>
                <w:sz w:val="17"/>
                <w:szCs w:val="17"/>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7"/>
                <w:szCs w:val="17"/>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 Net Sales</w:t>
            </w:r>
          </w:p>
        </w:tc>
        <w:tc>
          <w:tcPr>
            <w:tcW w:w="260" w:type="dxa"/>
            <w:vAlign w:val="bottom"/>
          </w:tcPr>
          <w:p>
            <w:pPr>
              <w:spacing w:after="0"/>
              <w:rPr>
                <w:sz w:val="17"/>
                <w:szCs w:val="17"/>
                <w:color w:val="auto"/>
              </w:rPr>
            </w:pPr>
          </w:p>
        </w:tc>
        <w:tc>
          <w:tcPr>
            <w:tcW w:w="9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7"/>
                <w:szCs w:val="17"/>
                <w:color w:val="auto"/>
              </w:rPr>
            </w:pPr>
          </w:p>
        </w:tc>
        <w:tc>
          <w:tcPr>
            <w:tcW w:w="11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 Net Sales</w:t>
            </w:r>
          </w:p>
        </w:tc>
        <w:tc>
          <w:tcPr>
            <w:tcW w:w="120" w:type="dxa"/>
            <w:vAlign w:val="bottom"/>
          </w:tcPr>
          <w:p>
            <w:pPr>
              <w:spacing w:after="0"/>
              <w:rPr>
                <w:sz w:val="17"/>
                <w:szCs w:val="17"/>
                <w:color w:val="auto"/>
              </w:rPr>
            </w:pPr>
          </w:p>
        </w:tc>
        <w:tc>
          <w:tcPr>
            <w:tcW w:w="2140" w:type="dxa"/>
            <w:vAlign w:val="bottom"/>
          </w:tcPr>
          <w:p>
            <w:pPr>
              <w:jc w:val="right"/>
              <w:ind w:right="53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jc w:val="right"/>
              <w:ind w:right="595"/>
              <w:spacing w:after="0" w:line="176"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CooperVision's R&amp;D expense for the three months ended January 31, 2023 remained relatively flat year over year. CooperVision's R&amp;D activities are primarily focused on the development of contact lenses, manufacturing technology and process enhancements.</w:t>
      </w:r>
    </w:p>
    <w:p>
      <w:pPr>
        <w:spacing w:after="0" w:line="13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CooperSurgical's R&amp;D expense increased in the three months ended January 31, 2023 compared to the three months ended January 31, 2022, mainly due to European Medical Device Regulation costs. CooperSurgical's R&amp;D activities are focused on developing and refining diagnostic and therapeutic products including medical interventions, surgical devices and fertility solutions.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rPr>
              <w:t>Amortization Expense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January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18"/>
                <w:szCs w:val="18"/>
                <w:color w:val="auto"/>
              </w:rPr>
            </w:pPr>
          </w:p>
        </w:tc>
        <w:tc>
          <w:tcPr>
            <w:tcW w:w="9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 Net Sales</w:t>
            </w:r>
          </w:p>
        </w:tc>
        <w:tc>
          <w:tcPr>
            <w:tcW w:w="280" w:type="dxa"/>
            <w:vAlign w:val="bottom"/>
          </w:tcPr>
          <w:p>
            <w:pPr>
              <w:spacing w:after="0"/>
              <w:rPr>
                <w:sz w:val="18"/>
                <w:szCs w:val="18"/>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8"/>
                <w:szCs w:val="18"/>
                <w:color w:val="auto"/>
              </w:rPr>
            </w:pPr>
          </w:p>
        </w:tc>
        <w:tc>
          <w:tcPr>
            <w:tcW w:w="2160" w:type="dxa"/>
            <w:vAlign w:val="bottom"/>
          </w:tcPr>
          <w:p>
            <w:pPr>
              <w:jc w:val="right"/>
              <w:ind w:right="53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right"/>
              <w:ind w:right="615"/>
              <w:spacing w:after="0" w:line="150"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15 %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CooperVision's amortization expense for the three months ended January 31, 2023 remained relatively flat year over year. CooperSurgical's amortization expense increased in the three months ended January 31, 2023 compared to the three months ended January 31, 2022, primarily due to the amortization of intangible assets newly acquired through acquisitions.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gridSpan w:val="3"/>
          </w:tcPr>
          <w:p>
            <w:pPr>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January 31,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2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80" w:type="dxa"/>
            <w:vAlign w:val="bottom"/>
          </w:tcPr>
          <w:p>
            <w:pPr>
              <w:spacing w:after="0"/>
              <w:rPr>
                <w:sz w:val="18"/>
                <w:szCs w:val="18"/>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8"/>
                <w:szCs w:val="18"/>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 Net Sales</w:t>
            </w:r>
          </w:p>
        </w:tc>
        <w:tc>
          <w:tcPr>
            <w:tcW w:w="280" w:type="dxa"/>
            <w:vAlign w:val="bottom"/>
          </w:tcPr>
          <w:p>
            <w:pPr>
              <w:spacing w:after="0"/>
              <w:rPr>
                <w:sz w:val="18"/>
                <w:szCs w:val="18"/>
                <w:color w:val="auto"/>
              </w:rPr>
            </w:pPr>
          </w:p>
        </w:tc>
        <w:tc>
          <w:tcPr>
            <w:tcW w:w="94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 Net Sales</w:t>
            </w:r>
          </w:p>
        </w:tc>
        <w:tc>
          <w:tcPr>
            <w:tcW w:w="100" w:type="dxa"/>
            <w:vAlign w:val="bottom"/>
          </w:tcPr>
          <w:p>
            <w:pPr>
              <w:spacing w:after="0"/>
              <w:rPr>
                <w:sz w:val="18"/>
                <w:szCs w:val="18"/>
                <w:color w:val="auto"/>
              </w:rPr>
            </w:pPr>
          </w:p>
        </w:tc>
        <w:tc>
          <w:tcPr>
            <w:tcW w:w="2160" w:type="dxa"/>
            <w:vAlign w:val="bottom"/>
          </w:tcPr>
          <w:p>
            <w:pPr>
              <w:jc w:val="right"/>
              <w:ind w:right="535"/>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right"/>
              <w:ind w:right="615"/>
              <w:spacing w:after="0" w:line="150"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15.6</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149.5</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CooperVision's operating income increased in the three months ended January 31, 2023 compared to the three months ended January 31, 2022, primarily due to an increase in net sales partially offset by net changes in operating expenses.</w:t>
      </w:r>
    </w:p>
    <w:p>
      <w:pPr>
        <w:spacing w:after="0" w:line="20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CooperSurgical's operating income decreased in the three months ended January 31, 2023 compared to the three months ended January 31, 2022, primarily due to an increase in SGA and amortization expenses, partially offset by an increase in net sales.</w:t>
      </w:r>
    </w:p>
    <w:p>
      <w:pPr>
        <w:spacing w:after="0" w:line="189"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Corporate operating loss increased in the three months ended January 31, 2023 compared to the three months ended January 31, 2022, primarily due to higher share-based compensation expense.</w:t>
      </w:r>
    </w:p>
    <w:p>
      <w:pPr>
        <w:spacing w:after="0" w:line="20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On a consolidated basis, operating income increased in the three months ended January 31, 2023 compared to the three months ended January 31, 2022, primarily due an increase in consolidated net sales.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gridSpan w:val="3"/>
          </w:tcPr>
          <w:p>
            <w:pPr>
              <w:spacing w:after="0"/>
              <w:rPr>
                <w:sz w:val="20"/>
                <w:szCs w:val="20"/>
                <w:color w:val="auto"/>
              </w:rPr>
            </w:pPr>
            <w:r>
              <w:rPr>
                <w:rFonts w:ascii="Arial" w:cs="Arial" w:eastAsia="Arial" w:hAnsi="Arial"/>
                <w:sz w:val="17"/>
                <w:szCs w:val="17"/>
                <w:b w:val="1"/>
                <w:bCs w:val="1"/>
                <w:color w:val="auto"/>
              </w:rPr>
              <w:t>Interest Expense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January 31,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18"/>
                <w:szCs w:val="18"/>
                <w:color w:val="auto"/>
              </w:rPr>
            </w:pPr>
          </w:p>
        </w:tc>
        <w:tc>
          <w:tcPr>
            <w:tcW w:w="9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1540" w:type="dxa"/>
            <w:vAlign w:val="bottom"/>
            <w:gridSpan w:val="3"/>
            <w:vMerge w:val="restart"/>
          </w:tcPr>
          <w:p>
            <w:pPr>
              <w:jc w:val="right"/>
              <w:ind w:right="435"/>
              <w:spacing w:after="0"/>
              <w:rPr>
                <w:sz w:val="20"/>
                <w:szCs w:val="20"/>
                <w:color w:val="auto"/>
              </w:rPr>
            </w:pPr>
            <w:r>
              <w:rPr>
                <w:rFonts w:ascii="Arial" w:cs="Arial" w:eastAsia="Arial" w:hAnsi="Arial"/>
                <w:sz w:val="17"/>
                <w:szCs w:val="17"/>
                <w:b w:val="1"/>
                <w:bCs w:val="1"/>
                <w:color w:val="auto"/>
              </w:rPr>
              <w:t>% Net Sales</w:t>
            </w:r>
          </w:p>
        </w:tc>
        <w:tc>
          <w:tcPr>
            <w:tcW w:w="94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 Net Sales</w:t>
            </w:r>
          </w:p>
        </w:tc>
        <w:tc>
          <w:tcPr>
            <w:tcW w:w="2260" w:type="dxa"/>
            <w:vAlign w:val="bottom"/>
          </w:tcPr>
          <w:p>
            <w:pPr>
              <w:jc w:val="center"/>
              <w:ind w:left="15"/>
              <w:spacing w:after="0"/>
              <w:rPr>
                <w:sz w:val="20"/>
                <w:szCs w:val="20"/>
                <w:color w:val="auto"/>
              </w:rPr>
            </w:pPr>
            <w:r>
              <w:rPr>
                <w:rFonts w:ascii="Arial" w:cs="Arial" w:eastAsia="Arial" w:hAnsi="Arial"/>
                <w:sz w:val="17"/>
                <w:szCs w:val="17"/>
                <w:b w:val="1"/>
                <w:bCs w:val="1"/>
                <w:color w:val="auto"/>
                <w:w w:val="88"/>
              </w:rPr>
              <w:t>2023 vs 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60" w:type="dxa"/>
            <w:vAlign w:val="bottom"/>
          </w:tcPr>
          <w:p>
            <w:pPr>
              <w:jc w:val="center"/>
              <w:ind w:left="15"/>
              <w:spacing w:after="0" w:line="150"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Interest expense increased during the three months ended January 31, 2023 compared to the three months ended January 31, 2022, primarily due to higher average debt balances and higher interest rates.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40" w:type="dxa"/>
            <w:vAlign w:val="bottom"/>
            <w:gridSpan w:val="4"/>
          </w:tcPr>
          <w:p>
            <w:pPr>
              <w:spacing w:after="0"/>
              <w:rPr>
                <w:sz w:val="20"/>
                <w:szCs w:val="20"/>
                <w:color w:val="auto"/>
              </w:rPr>
            </w:pPr>
            <w:r>
              <w:rPr>
                <w:rFonts w:ascii="Arial" w:cs="Arial" w:eastAsia="Arial" w:hAnsi="Arial"/>
                <w:sz w:val="17"/>
                <w:szCs w:val="17"/>
                <w:b w:val="1"/>
                <w:bCs w:val="1"/>
                <w:color w:val="auto"/>
              </w:rPr>
              <w:t>Other Expense (Income), Net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6"/>
        </w:trPr>
        <w:tc>
          <w:tcPr>
            <w:tcW w:w="20" w:type="dxa"/>
            <w:vAlign w:val="bottom"/>
          </w:tcPr>
          <w:p>
            <w:pPr>
              <w:spacing w:after="0"/>
              <w:rPr>
                <w:sz w:val="24"/>
                <w:szCs w:val="24"/>
                <w:color w:val="auto"/>
              </w:rPr>
            </w:pPr>
          </w:p>
        </w:tc>
        <w:tc>
          <w:tcPr>
            <w:tcW w:w="7920" w:type="dxa"/>
            <w:vAlign w:val="bottom"/>
            <w:gridSpan w:val="3"/>
          </w:tcPr>
          <w:p>
            <w:pPr>
              <w:spacing w:after="0"/>
              <w:rPr>
                <w:sz w:val="20"/>
                <w:szCs w:val="20"/>
                <w:color w:val="auto"/>
              </w:rPr>
            </w:pPr>
            <w:r>
              <w:rPr>
                <w:rFonts w:ascii="Arial" w:cs="Arial" w:eastAsia="Arial" w:hAnsi="Arial"/>
                <w:sz w:val="17"/>
                <w:szCs w:val="17"/>
                <w:b w:val="1"/>
                <w:bCs w:val="1"/>
                <w:color w:val="auto"/>
              </w:rPr>
              <w:t>Period Ended January 31,</w:t>
            </w:r>
          </w:p>
        </w:tc>
        <w:tc>
          <w:tcPr>
            <w:tcW w:w="208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Three Months</w:t>
            </w:r>
          </w:p>
        </w:tc>
        <w:tc>
          <w:tcPr>
            <w:tcW w:w="12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7500" w:type="dxa"/>
            <w:vAlign w:val="bottom"/>
            <w:gridSpan w:val="2"/>
          </w:tcPr>
          <w:p>
            <w:pPr>
              <w:spacing w:after="0" w:line="176" w:lineRule="exact"/>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4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655"/>
              <w:spacing w:after="0" w:line="176" w:lineRule="exact"/>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655"/>
              <w:spacing w:after="0" w:line="176" w:lineRule="exact"/>
              <w:rPr>
                <w:sz w:val="20"/>
                <w:szCs w:val="20"/>
                <w:color w:val="auto"/>
              </w:rPr>
            </w:pPr>
            <w:r>
              <w:rPr>
                <w:rFonts w:ascii="Arial" w:cs="Arial" w:eastAsia="Arial" w:hAnsi="Arial"/>
                <w:sz w:val="17"/>
                <w:szCs w:val="17"/>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 (gain) loss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7"/>
              </w:rPr>
              <w:t>(1.0)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95"/>
              <w:spacing w:after="0"/>
              <w:rPr>
                <w:sz w:val="20"/>
                <w:szCs w:val="20"/>
                <w:color w:val="auto"/>
              </w:rPr>
            </w:pPr>
            <w:r>
              <w:rPr>
                <w:rFonts w:ascii="Arial" w:cs="Arial" w:eastAsia="Arial" w:hAnsi="Arial"/>
                <w:sz w:val="17"/>
                <w:szCs w:val="17"/>
                <w:color w:val="auto"/>
                <w:w w:val="92"/>
              </w:rPr>
              <w:t>3.3</w:t>
            </w:r>
          </w:p>
        </w:tc>
      </w:tr>
      <w:tr>
        <w:trPr>
          <w:trHeight w:val="223"/>
        </w:trPr>
        <w:tc>
          <w:tcPr>
            <w:tcW w:w="20" w:type="dxa"/>
            <w:vAlign w:val="bottom"/>
          </w:tcPr>
          <w:p>
            <w:pPr>
              <w:spacing w:after="0"/>
              <w:rPr>
                <w:sz w:val="19"/>
                <w:szCs w:val="19"/>
                <w:color w:val="auto"/>
              </w:rPr>
            </w:pPr>
          </w:p>
        </w:tc>
        <w:tc>
          <w:tcPr>
            <w:tcW w:w="7920" w:type="dxa"/>
            <w:vAlign w:val="bottom"/>
            <w:gridSpan w:val="3"/>
          </w:tcPr>
          <w:p>
            <w:pPr>
              <w:spacing w:after="0"/>
              <w:rPr>
                <w:sz w:val="20"/>
                <w:szCs w:val="20"/>
                <w:color w:val="auto"/>
              </w:rPr>
            </w:pPr>
            <w:r>
              <w:rPr>
                <w:rFonts w:ascii="Arial" w:cs="Arial" w:eastAsia="Arial" w:hAnsi="Arial"/>
                <w:sz w:val="17"/>
                <w:szCs w:val="17"/>
                <w:color w:val="auto"/>
              </w:rPr>
              <w:t>Other expense (income), net</w:t>
            </w:r>
          </w:p>
        </w:tc>
        <w:tc>
          <w:tcPr>
            <w:tcW w:w="1380" w:type="dxa"/>
            <w:vAlign w:val="bottom"/>
          </w:tcPr>
          <w:p>
            <w:pPr>
              <w:jc w:val="center"/>
              <w:ind w:left="955"/>
              <w:spacing w:after="0"/>
              <w:rPr>
                <w:sz w:val="20"/>
                <w:szCs w:val="20"/>
                <w:color w:val="auto"/>
              </w:rPr>
            </w:pPr>
            <w:r>
              <w:rPr>
                <w:rFonts w:ascii="Arial" w:cs="Arial" w:eastAsia="Arial" w:hAnsi="Arial"/>
                <w:sz w:val="17"/>
                <w:szCs w:val="17"/>
                <w:color w:val="auto"/>
                <w:w w:val="92"/>
              </w:rPr>
              <w:t>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center"/>
              <w:ind w:left="755"/>
              <w:spacing w:after="0"/>
              <w:rPr>
                <w:sz w:val="20"/>
                <w:szCs w:val="20"/>
                <w:color w:val="auto"/>
              </w:rPr>
            </w:pPr>
            <w:r>
              <w:rPr>
                <w:rFonts w:ascii="Arial" w:cs="Arial" w:eastAsia="Arial" w:hAnsi="Arial"/>
                <w:sz w:val="17"/>
                <w:szCs w:val="17"/>
                <w:color w:val="auto"/>
                <w:w w:val="97"/>
              </w:rPr>
              <w:t>(1.0)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center"/>
              <w:ind w:left="955"/>
              <w:spacing w:after="0"/>
              <w:rPr>
                <w:sz w:val="20"/>
                <w:szCs w:val="20"/>
                <w:color w:val="auto"/>
              </w:rPr>
            </w:pPr>
            <w:r>
              <w:rPr>
                <w:rFonts w:ascii="Arial" w:cs="Arial" w:eastAsia="Arial" w:hAnsi="Arial"/>
                <w:sz w:val="17"/>
                <w:szCs w:val="17"/>
                <w:color w:val="auto"/>
                <w:w w:val="92"/>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center"/>
              <w:ind w:left="795"/>
              <w:spacing w:after="0"/>
              <w:rPr>
                <w:sz w:val="20"/>
                <w:szCs w:val="20"/>
                <w:color w:val="auto"/>
              </w:rPr>
            </w:pPr>
            <w:r>
              <w:rPr>
                <w:rFonts w:ascii="Arial" w:cs="Arial" w:eastAsia="Arial" w:hAnsi="Arial"/>
                <w:sz w:val="17"/>
                <w:szCs w:val="17"/>
                <w:color w:val="auto"/>
                <w:w w:val="92"/>
              </w:rPr>
              <w:t>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Foreign exchange gain is primarily associated with the relative weakening of the US dollar against foreign currencies and the effect on intercompany receivables during the three months ended January 31, 2023.</w:t>
      </w:r>
    </w:p>
    <w:p>
      <w:pPr>
        <w:spacing w:after="0" w:line="16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Other expense (income), net increased in the three months ended January 31, 2023 compared to the three months ended January 31, 2022, primarily due to loss on minority investments, partially offset by defined benefit plan related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The effective tax rates for the three months ended January 31, 2023 and January 31, 2022 were 30.7% and 21.8%, respectively. The increase was primarily due to</w:t>
      </w:r>
    </w:p>
    <w:p>
      <w:pPr>
        <w:spacing w:after="0" w:line="31" w:lineRule="exact"/>
        <w:rPr>
          <w:sz w:val="20"/>
          <w:szCs w:val="20"/>
          <w:color w:val="auto"/>
        </w:rPr>
      </w:pPr>
    </w:p>
    <w:p>
      <w:pPr>
        <w:ind w:right="840"/>
        <w:spacing w:after="0" w:line="231" w:lineRule="auto"/>
        <w:rPr>
          <w:sz w:val="20"/>
          <w:szCs w:val="20"/>
          <w:color w:val="auto"/>
        </w:rPr>
      </w:pPr>
      <w:r>
        <w:rPr>
          <w:rFonts w:ascii="Arial" w:cs="Arial" w:eastAsia="Arial" w:hAnsi="Arial"/>
          <w:sz w:val="17"/>
          <w:szCs w:val="17"/>
          <w:color w:val="auto"/>
        </w:rPr>
        <w:t>changes in the geographic composition of pre-tax earnings, an increase in the UK statutory tax rate from 19% to 25%, and capitalization of research and experimental expenditures for fiscal 2023 as required by the 2017 Tax Cuts and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 and Liquidity</w:t>
      </w:r>
    </w:p>
    <w:p>
      <w:pPr>
        <w:spacing w:after="0" w:line="25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Working capital on January 31, 2023 and October 31, 2022, was $661.7 million and $253.4 million, respectively. The increase in working capital was primarily due to repayment of the 364-day term loan during the first three months of fiscal 2023. See Note 5. Financing Arrangements for further information.</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00" w:type="dxa"/>
            <w:vAlign w:val="bottom"/>
            <w:gridSpan w:val="3"/>
          </w:tcPr>
          <w:p>
            <w:pPr>
              <w:spacing w:after="0"/>
              <w:rPr>
                <w:sz w:val="20"/>
                <w:szCs w:val="20"/>
                <w:color w:val="auto"/>
              </w:rPr>
            </w:pPr>
            <w:r>
              <w:rPr>
                <w:rFonts w:ascii="Arial" w:cs="Arial" w:eastAsia="Arial" w:hAnsi="Arial"/>
                <w:sz w:val="17"/>
                <w:szCs w:val="17"/>
                <w:b w:val="1"/>
                <w:bCs w:val="1"/>
                <w:color w:val="auto"/>
              </w:rPr>
              <w:t>Cash Flow</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080" w:type="dxa"/>
            <w:vAlign w:val="bottom"/>
            <w:gridSpan w:val="2"/>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17"/>
                <w:szCs w:val="17"/>
                <w:color w:val="auto"/>
              </w:rPr>
            </w:pPr>
          </w:p>
        </w:tc>
        <w:tc>
          <w:tcPr>
            <w:tcW w:w="1860" w:type="dxa"/>
            <w:vAlign w:val="bottom"/>
            <w:gridSpan w:val="2"/>
          </w:tcPr>
          <w:p>
            <w:pPr>
              <w:ind w:left="140"/>
              <w:spacing w:after="0"/>
              <w:rPr>
                <w:sz w:val="20"/>
                <w:szCs w:val="20"/>
                <w:color w:val="auto"/>
              </w:rPr>
            </w:pPr>
            <w:r>
              <w:rPr>
                <w:rFonts w:ascii="Arial" w:cs="Arial" w:eastAsia="Arial" w:hAnsi="Arial"/>
                <w:sz w:val="17"/>
                <w:szCs w:val="17"/>
                <w:b w:val="1"/>
                <w:bCs w:val="1"/>
                <w:color w:val="auto"/>
              </w:rPr>
              <w:t>January 31, 2023</w:t>
            </w:r>
          </w:p>
        </w:tc>
        <w:tc>
          <w:tcPr>
            <w:tcW w:w="260" w:type="dxa"/>
            <w:vAlign w:val="bottom"/>
          </w:tcPr>
          <w:p>
            <w:pPr>
              <w:spacing w:after="0"/>
              <w:rPr>
                <w:sz w:val="17"/>
                <w:szCs w:val="17"/>
                <w:color w:val="auto"/>
              </w:rPr>
            </w:pPr>
          </w:p>
        </w:tc>
        <w:tc>
          <w:tcPr>
            <w:tcW w:w="1760" w:type="dxa"/>
            <w:vAlign w:val="bottom"/>
          </w:tcPr>
          <w:p>
            <w:pPr>
              <w:jc w:val="right"/>
              <w:ind w:right="295"/>
              <w:spacing w:after="0"/>
              <w:rPr>
                <w:sz w:val="20"/>
                <w:szCs w:val="20"/>
                <w:color w:val="auto"/>
              </w:rPr>
            </w:pPr>
            <w:r>
              <w:rPr>
                <w:rFonts w:ascii="Arial" w:cs="Arial" w:eastAsia="Arial" w:hAnsi="Arial"/>
                <w:sz w:val="17"/>
                <w:szCs w:val="17"/>
                <w:b w:val="1"/>
                <w:bCs w:val="1"/>
                <w:color w:val="auto"/>
                <w:w w:val="99"/>
              </w:rPr>
              <w:t>January 31, 2022</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r>
      <w:tr>
        <w:trPr>
          <w:trHeight w:val="234"/>
        </w:trPr>
        <w:tc>
          <w:tcPr>
            <w:tcW w:w="2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7"/>
                <w:szCs w:val="17"/>
                <w:color w:val="auto"/>
              </w:rPr>
              <w:t>Investing activities</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(113.3)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(1,669.3)</w:t>
            </w:r>
          </w:p>
        </w:tc>
      </w:tr>
      <w:tr>
        <w:trPr>
          <w:trHeight w:val="252"/>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2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1,693.6</w:t>
            </w:r>
          </w:p>
        </w:tc>
      </w:tr>
      <w:tr>
        <w:trPr>
          <w:trHeight w:val="198"/>
        </w:trPr>
        <w:tc>
          <w:tcPr>
            <w:tcW w:w="20" w:type="dxa"/>
            <w:vAlign w:val="bottom"/>
          </w:tcPr>
          <w:p>
            <w:pPr>
              <w:spacing w:after="0"/>
              <w:rPr>
                <w:sz w:val="17"/>
                <w:szCs w:val="17"/>
                <w:color w:val="auto"/>
              </w:rPr>
            </w:pPr>
          </w:p>
        </w:tc>
        <w:tc>
          <w:tcPr>
            <w:tcW w:w="7080" w:type="dxa"/>
            <w:vAlign w:val="bottom"/>
            <w:gridSpan w:val="2"/>
          </w:tcPr>
          <w:p>
            <w:pPr>
              <w:spacing w:after="0"/>
              <w:rPr>
                <w:sz w:val="20"/>
                <w:szCs w:val="20"/>
                <w:color w:val="auto"/>
              </w:rPr>
            </w:pPr>
            <w:r>
              <w:rPr>
                <w:rFonts w:ascii="Arial" w:cs="Arial" w:eastAsia="Arial" w:hAnsi="Arial"/>
                <w:sz w:val="17"/>
                <w:szCs w:val="17"/>
                <w:color w:val="auto"/>
              </w:rPr>
              <w:t>Effect of exchange rate changes on cash, cash equivalents, restricted</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cash</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185"/>
        </w:trPr>
        <w:tc>
          <w:tcPr>
            <w:tcW w:w="20" w:type="dxa"/>
            <w:vAlign w:val="bottom"/>
            <w:shd w:val="clear" w:color="auto" w:fill="CCEEFF"/>
          </w:tcPr>
          <w:p>
            <w:pPr>
              <w:spacing w:after="0"/>
              <w:rPr>
                <w:sz w:val="16"/>
                <w:szCs w:val="16"/>
                <w:color w:val="auto"/>
              </w:rPr>
            </w:pPr>
          </w:p>
        </w:tc>
        <w:tc>
          <w:tcPr>
            <w:tcW w:w="70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Net (decrease) increase in cash, cash equivalents, restricted cash and</w:t>
            </w: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27"/>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held for sale</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186.6</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Cash Flow</w:t>
      </w:r>
    </w:p>
    <w:p>
      <w:pPr>
        <w:spacing w:after="0" w:line="187" w:lineRule="exact"/>
        <w:rPr>
          <w:sz w:val="20"/>
          <w:szCs w:val="20"/>
          <w:color w:val="auto"/>
        </w:rPr>
      </w:pPr>
    </w:p>
    <w:p>
      <w:pPr>
        <w:jc w:val="both"/>
        <w:ind w:right="280"/>
        <w:spacing w:after="0" w:line="261" w:lineRule="auto"/>
        <w:rPr>
          <w:sz w:val="20"/>
          <w:szCs w:val="20"/>
          <w:color w:val="auto"/>
        </w:rPr>
      </w:pPr>
      <w:r>
        <w:rPr>
          <w:rFonts w:ascii="Arial" w:cs="Arial" w:eastAsia="Arial" w:hAnsi="Arial"/>
          <w:sz w:val="17"/>
          <w:szCs w:val="17"/>
          <w:color w:val="auto"/>
        </w:rPr>
        <w:t>Cash provided by operating activities in the first three months of fiscal 2023 remains flat compared to the first three months of fiscal 2022, primarily due to net changes in other non-cash items, partially offset by the net cash flow from changes in operating capital and the $31.8 million release of contingent consideration liability associated with SGV's regulatory approval milestone.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Cash Flow</w:t>
      </w:r>
    </w:p>
    <w:p>
      <w:pPr>
        <w:spacing w:after="0" w:line="25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Cash used in investing activities in the first three months of fiscal 2023 was lower than cash used in the first three months of fiscal 2022, primarily attributable to $1.6 billion cash paid, net of cash acquired, for the Generate acquisition in the first three months of fiscal 2022. Refer to Note 2. Acquisitions and Joint Venture for further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Cash Flow</w:t>
      </w:r>
    </w:p>
    <w:p>
      <w:pPr>
        <w:spacing w:after="0" w:line="17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Cash used in financing activities in the first three months of fiscal 2023 was primarily due to repayments of $338.0 million on the 2021 364-day term loan, partially offset by $276.5 million of funds drawn on the 2020 revolving credit.</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Cash provided by financing activities in the first three months of fiscal 2022 was primarily due to funds received from the 2021 term loan facility ($1.5 billion) and the 2021 364-day term loan facility ($840.0 million), partially offset by $546.1 million repayments of the 2021 revolving credit and $78.5 million repurchases of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5. Financing Arrangements for further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January 31, 2023:</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0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Facility Limit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Outstanding</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b w:val="1"/>
                <w:bCs w:val="1"/>
                <w:color w:val="auto"/>
                <w:w w:val="91"/>
              </w:rPr>
              <w:t>Total Amount</w:t>
            </w:r>
          </w:p>
        </w:tc>
        <w:tc>
          <w:tcPr>
            <w:tcW w:w="21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Maturity Date</w:t>
            </w:r>
          </w:p>
        </w:tc>
        <w:tc>
          <w:tcPr>
            <w:tcW w:w="0" w:type="dxa"/>
            <w:vAlign w:val="bottom"/>
          </w:tcPr>
          <w:p>
            <w:pPr>
              <w:spacing w:after="0"/>
              <w:rPr>
                <w:sz w:val="1"/>
                <w:szCs w:val="1"/>
                <w:color w:val="auto"/>
              </w:rPr>
            </w:pPr>
          </w:p>
        </w:tc>
      </w:tr>
      <w:tr>
        <w:trPr>
          <w:trHeight w:val="126"/>
        </w:trPr>
        <w:tc>
          <w:tcPr>
            <w:tcW w:w="34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center"/>
              <w:ind w:right="260"/>
              <w:spacing w:after="0" w:line="150" w:lineRule="exact"/>
              <w:rPr>
                <w:sz w:val="20"/>
                <w:szCs w:val="20"/>
                <w:color w:val="auto"/>
              </w:rPr>
            </w:pPr>
            <w:r>
              <w:rPr>
                <w:rFonts w:ascii="Arial" w:cs="Arial" w:eastAsia="Arial" w:hAnsi="Arial"/>
                <w:sz w:val="17"/>
                <w:szCs w:val="17"/>
                <w:b w:val="1"/>
                <w:bCs w:val="1"/>
                <w:color w:val="auto"/>
                <w:w w:val="88"/>
              </w:rPr>
              <w:t>Borrowings</w:t>
            </w:r>
          </w:p>
        </w:tc>
        <w:tc>
          <w:tcPr>
            <w:tcW w:w="1460" w:type="dxa"/>
            <w:vAlign w:val="bottom"/>
            <w:gridSpan w:val="3"/>
            <w:vMerge w:val="restart"/>
          </w:tcPr>
          <w:p>
            <w:pPr>
              <w:jc w:val="right"/>
              <w:ind w:right="180"/>
              <w:spacing w:after="0" w:line="150" w:lineRule="exact"/>
              <w:rPr>
                <w:sz w:val="20"/>
                <w:szCs w:val="20"/>
                <w:color w:val="auto"/>
              </w:rPr>
            </w:pPr>
            <w:r>
              <w:rPr>
                <w:rFonts w:ascii="Arial" w:cs="Arial" w:eastAsia="Arial" w:hAnsi="Arial"/>
                <w:sz w:val="17"/>
                <w:szCs w:val="17"/>
                <w:b w:val="1"/>
                <w:bCs w:val="1"/>
                <w:color w:val="auto"/>
                <w:w w:val="95"/>
              </w:rPr>
              <w:t>Letters of Credit</w:t>
            </w:r>
          </w:p>
        </w:tc>
        <w:tc>
          <w:tcPr>
            <w:tcW w:w="100" w:type="dxa"/>
            <w:vAlign w:val="bottom"/>
          </w:tcPr>
          <w:p>
            <w:pPr>
              <w:spacing w:after="0"/>
              <w:rPr>
                <w:sz w:val="10"/>
                <w:szCs w:val="10"/>
                <w:color w:val="auto"/>
              </w:rPr>
            </w:pPr>
          </w:p>
        </w:tc>
        <w:tc>
          <w:tcPr>
            <w:tcW w:w="1140" w:type="dxa"/>
            <w:vAlign w:val="bottom"/>
            <w:vMerge w:val="restart"/>
          </w:tcPr>
          <w:p>
            <w:pPr>
              <w:jc w:val="right"/>
              <w:ind w:right="195"/>
              <w:spacing w:after="0" w:line="150" w:lineRule="exact"/>
              <w:rPr>
                <w:sz w:val="20"/>
                <w:szCs w:val="20"/>
                <w:color w:val="auto"/>
              </w:rPr>
            </w:pPr>
            <w:r>
              <w:rPr>
                <w:rFonts w:ascii="Arial" w:cs="Arial" w:eastAsia="Arial" w:hAnsi="Arial"/>
                <w:sz w:val="17"/>
                <w:szCs w:val="17"/>
                <w:b w:val="1"/>
                <w:bCs w:val="1"/>
                <w:color w:val="auto"/>
              </w:rPr>
              <w:t>Available</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34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gridSpan w:val="2"/>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rPr>
              <w:t>Revolving Credit: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2020</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Revolving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1,012.1</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25"/>
        </w:trPr>
        <w:tc>
          <w:tcPr>
            <w:tcW w:w="3460" w:type="dxa"/>
            <w:vAlign w:val="bottom"/>
            <w:gridSpan w:val="3"/>
          </w:tcPr>
          <w:p>
            <w:pPr>
              <w:spacing w:after="0"/>
              <w:rPr>
                <w:sz w:val="20"/>
                <w:szCs w:val="20"/>
                <w:color w:val="auto"/>
              </w:rPr>
            </w:pPr>
            <w:r>
              <w:rPr>
                <w:rFonts w:ascii="Arial" w:cs="Arial" w:eastAsia="Arial" w:hAnsi="Arial"/>
                <w:sz w:val="17"/>
                <w:szCs w:val="17"/>
                <w:b w:val="1"/>
                <w:bCs w:val="1"/>
                <w:color w:val="auto"/>
              </w:rPr>
              <w:t>Term loan:</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2020</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7"/>
                <w:szCs w:val="17"/>
                <w:color w:val="auto"/>
                <w:w w:val="95"/>
              </w:rPr>
              <w:t>2021</w:t>
            </w:r>
          </w:p>
        </w:tc>
        <w:tc>
          <w:tcPr>
            <w:tcW w:w="3080" w:type="dxa"/>
            <w:vAlign w:val="bottom"/>
            <w:gridSpan w:val="2"/>
          </w:tcPr>
          <w:p>
            <w:pPr>
              <w:ind w:left="20"/>
              <w:spacing w:after="0"/>
              <w:rPr>
                <w:sz w:val="20"/>
                <w:szCs w:val="20"/>
                <w:color w:val="auto"/>
              </w:rPr>
            </w:pPr>
            <w:r>
              <w:rPr>
                <w:rFonts w:ascii="Arial" w:cs="Arial" w:eastAsia="Arial" w:hAnsi="Arial"/>
                <w:sz w:val="17"/>
                <w:szCs w:val="17"/>
                <w:color w:val="auto"/>
              </w:rPr>
              <w:t>Term Loan</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December 17, 2026</w:t>
            </w:r>
          </w:p>
        </w:tc>
        <w:tc>
          <w:tcPr>
            <w:tcW w:w="0" w:type="dxa"/>
            <w:vAlign w:val="bottom"/>
          </w:tcPr>
          <w:p>
            <w:pPr>
              <w:spacing w:after="0"/>
              <w:rPr>
                <w:sz w:val="1"/>
                <w:szCs w:val="1"/>
                <w:color w:val="auto"/>
              </w:rPr>
            </w:pPr>
          </w:p>
        </w:tc>
      </w:tr>
      <w:tr>
        <w:trPr>
          <w:trHeight w:val="255"/>
        </w:trPr>
        <w:tc>
          <w:tcPr>
            <w:tcW w:w="34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1,012.1</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As of January 31, 2023, the Company was in compliance with all debt covenants. See Note 5. Financing Arrangements of the Consolidated Condensed Financial Statements for additional information.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Considering recent market conditions and the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 As of January 31, 2023, $256.4 million remains authorized for repurchase under the 2012 Share Repurchase Program.</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January 31, 2023, there was no share repurchase under the 2012 Share Repurchase Program.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9, 2023, to stockholders of record on January 20, 2023.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LIBOR</w:t>
      </w:r>
    </w:p>
    <w:p>
      <w:pPr>
        <w:spacing w:after="0" w:line="160"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 xml:space="preserve">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Arial" w:cs="Arial" w:eastAsia="Arial" w:hAnsi="Arial"/>
          <w:sz w:val="17"/>
          <w:szCs w:val="17"/>
          <w:i w:val="1"/>
          <w:iCs w:val="1"/>
          <w:color w:val="auto"/>
        </w:rPr>
        <w:t>Reference Rate Reform (Topic 848): Facilitation of the Effects of Reference Rate Reform on Financial Reporting</w:t>
      </w:r>
      <w:r>
        <w:rPr>
          <w:rFonts w:ascii="Arial" w:cs="Arial" w:eastAsia="Arial" w:hAnsi="Arial"/>
          <w:sz w:val="17"/>
          <w:szCs w:val="17"/>
          <w:color w:val="auto"/>
        </w:rPr>
        <w:t>. This guidance provides optional expedients and exceptions for applying GAAP to contracts, hedging relationships, and other transactions affected by reference rate reform if certain criteria are met. Effective February 1, 2023, the Company transitioned its credit agreements from LIBOR to the Secured Overnight Financing Rate ("SOFR"). While the notional value of agreements potentially indexed to LIBOR is material, we do not expect a material impact on our financial statements related to this transition.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Estimates and Critical Accounting Policies</w:t>
      </w:r>
    </w:p>
    <w:p>
      <w:pPr>
        <w:spacing w:after="0" w:line="254" w:lineRule="exact"/>
        <w:rPr>
          <w:sz w:val="20"/>
          <w:szCs w:val="20"/>
          <w:color w:val="auto"/>
        </w:rPr>
      </w:pPr>
    </w:p>
    <w:p>
      <w:pPr>
        <w:jc w:val="both"/>
        <w:ind w:right="360"/>
        <w:spacing w:after="0" w:line="269" w:lineRule="auto"/>
        <w:rPr>
          <w:sz w:val="20"/>
          <w:szCs w:val="20"/>
          <w:color w:val="auto"/>
        </w:rPr>
      </w:pPr>
      <w:r>
        <w:rPr>
          <w:rFonts w:ascii="Arial" w:cs="Arial" w:eastAsia="Arial" w:hAnsi="Arial"/>
          <w:sz w:val="17"/>
          <w:szCs w:val="17"/>
          <w:color w:val="auto"/>
        </w:rPr>
        <w:t>Information regarding estimates and critical accounting policies is included in Management's Discussion and Analysis on Form 10-K for the fiscal year ended October 31, 2022. There have been no material changes in our policies from those previously discussed in our Form 10-K for the fiscal year ended October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w:t>
      </w:r>
    </w:p>
    <w:p>
      <w:pPr>
        <w:spacing w:after="0" w:line="17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Information regarding new accounting pronouncements is included in Note 1. General of the Consolidated Condensed Financial Statements of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11" w:lineRule="exact"/>
        <w:rPr>
          <w:sz w:val="20"/>
          <w:szCs w:val="20"/>
          <w:color w:val="auto"/>
        </w:rPr>
      </w:pPr>
    </w:p>
    <w:p>
      <w:pPr>
        <w:ind w:right="80"/>
        <w:spacing w:after="0" w:line="202" w:lineRule="auto"/>
        <w:rPr>
          <w:sz w:val="20"/>
          <w:szCs w:val="20"/>
          <w:color w:val="auto"/>
        </w:rPr>
      </w:pPr>
      <w:r>
        <w:rPr>
          <w:rFonts w:ascii="Arial" w:cs="Arial" w:eastAsia="Arial" w:hAnsi="Arial"/>
          <w:sz w:val="17"/>
          <w:szCs w:val="17"/>
          <w:color w:val="auto"/>
        </w:rPr>
        <w:t>ActivControl</w:t>
      </w:r>
      <w:r>
        <w:rPr>
          <w:rFonts w:ascii="Arial" w:cs="Arial" w:eastAsia="Arial" w:hAnsi="Arial"/>
          <w:sz w:val="22"/>
          <w:szCs w:val="22"/>
          <w:color w:val="auto"/>
          <w:vertAlign w:val="superscript"/>
        </w:rPr>
        <w:t>®</w:t>
      </w:r>
      <w:r>
        <w:rPr>
          <w:rFonts w:ascii="Arial" w:cs="Arial" w:eastAsia="Arial" w:hAnsi="Arial"/>
          <w:sz w:val="17"/>
          <w:szCs w:val="17"/>
          <w:color w:val="auto"/>
        </w:rPr>
        <w:t>, Aquaform</w:t>
      </w:r>
      <w:r>
        <w:rPr>
          <w:rFonts w:ascii="Arial" w:cs="Arial" w:eastAsia="Arial" w:hAnsi="Arial"/>
          <w:sz w:val="22"/>
          <w:szCs w:val="22"/>
          <w:color w:val="auto"/>
          <w:vertAlign w:val="superscript"/>
        </w:rPr>
        <w:t>®</w:t>
      </w:r>
      <w:r>
        <w:rPr>
          <w:rFonts w:ascii="Arial" w:cs="Arial" w:eastAsia="Arial" w:hAnsi="Arial"/>
          <w:sz w:val="17"/>
          <w:szCs w:val="17"/>
          <w:color w:val="auto"/>
        </w:rPr>
        <w:t>, Avaira Vitality</w:t>
      </w:r>
      <w:r>
        <w:rPr>
          <w:rFonts w:ascii="Arial" w:cs="Arial" w:eastAsia="Arial" w:hAnsi="Arial"/>
          <w:sz w:val="22"/>
          <w:szCs w:val="22"/>
          <w:color w:val="auto"/>
          <w:vertAlign w:val="superscript"/>
        </w:rPr>
        <w:t>®</w:t>
      </w:r>
      <w:r>
        <w:rPr>
          <w:rFonts w:ascii="Arial" w:cs="Arial" w:eastAsia="Arial" w:hAnsi="Arial"/>
          <w:sz w:val="17"/>
          <w:szCs w:val="17"/>
          <w:color w:val="auto"/>
        </w:rPr>
        <w:t>, Biofinity</w:t>
      </w:r>
      <w:r>
        <w:rPr>
          <w:rFonts w:ascii="Arial" w:cs="Arial" w:eastAsia="Arial" w:hAnsi="Arial"/>
          <w:sz w:val="22"/>
          <w:szCs w:val="22"/>
          <w:color w:val="auto"/>
          <w:vertAlign w:val="superscript"/>
        </w:rPr>
        <w:t>®</w:t>
      </w:r>
      <w:r>
        <w:rPr>
          <w:rFonts w:ascii="Arial" w:cs="Arial" w:eastAsia="Arial" w:hAnsi="Arial"/>
          <w:sz w:val="17"/>
          <w:szCs w:val="17"/>
          <w:color w:val="auto"/>
        </w:rPr>
        <w:t>,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Biomedics</w:t>
      </w:r>
      <w:r>
        <w:rPr>
          <w:rFonts w:ascii="Arial" w:cs="Arial" w:eastAsia="Arial" w:hAnsi="Arial"/>
          <w:sz w:val="22"/>
          <w:szCs w:val="22"/>
          <w:color w:val="auto"/>
          <w:vertAlign w:val="superscript"/>
        </w:rPr>
        <w:t>®</w:t>
      </w:r>
      <w:r>
        <w:rPr>
          <w:rFonts w:ascii="Arial" w:cs="Arial" w:eastAsia="Arial" w:hAnsi="Arial"/>
          <w:sz w:val="17"/>
          <w:szCs w:val="17"/>
          <w:color w:val="auto"/>
        </w:rPr>
        <w:t>, Proclear</w:t>
      </w:r>
      <w:r>
        <w:rPr>
          <w:rFonts w:ascii="Arial" w:cs="Arial" w:eastAsia="Arial" w:hAnsi="Arial"/>
          <w:sz w:val="22"/>
          <w:szCs w:val="22"/>
          <w:color w:val="auto"/>
          <w:vertAlign w:val="superscript"/>
        </w:rPr>
        <w:t>®</w:t>
      </w:r>
      <w:r>
        <w:rPr>
          <w:rFonts w:ascii="Arial" w:cs="Arial" w:eastAsia="Arial" w:hAnsi="Arial"/>
          <w:sz w:val="17"/>
          <w:szCs w:val="17"/>
          <w:color w:val="auto"/>
        </w:rPr>
        <w:t>, MyDay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MiSight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The Cooper Companies, Inc., its affiliates and/or subsidiaries. PC Technology™ is a trademark of The Cooper Companies, Inc., its affiliates and/or subsidiaries. The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 is a registered trademark of The Cooper Companies, Inc., its affiliates and/or subsidiaries worldwide except in the United States where the use of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licensed. Endosee</w:t>
      </w:r>
      <w:r>
        <w:rPr>
          <w:rFonts w:ascii="Arial" w:cs="Arial" w:eastAsia="Arial" w:hAnsi="Arial"/>
          <w:sz w:val="22"/>
          <w:szCs w:val="22"/>
          <w:color w:val="auto"/>
          <w:vertAlign w:val="superscript"/>
        </w:rPr>
        <w:t>®</w:t>
      </w:r>
      <w:r>
        <w:rPr>
          <w:rFonts w:ascii="Arial" w:cs="Arial" w:eastAsia="Arial" w:hAnsi="Arial"/>
          <w:sz w:val="17"/>
          <w:szCs w:val="17"/>
          <w:color w:val="auto"/>
        </w:rPr>
        <w:t>, Insorb</w:t>
      </w:r>
      <w:r>
        <w:rPr>
          <w:rFonts w:ascii="Arial" w:cs="Arial" w:eastAsia="Arial" w:hAnsi="Arial"/>
          <w:sz w:val="22"/>
          <w:szCs w:val="22"/>
          <w:color w:val="auto"/>
          <w:vertAlign w:val="superscript"/>
        </w:rPr>
        <w:t>®</w:t>
      </w:r>
      <w:r>
        <w:rPr>
          <w:rFonts w:ascii="Arial" w:cs="Arial" w:eastAsia="Arial" w:hAnsi="Arial"/>
          <w:sz w:val="17"/>
          <w:szCs w:val="17"/>
          <w:color w:val="auto"/>
        </w:rPr>
        <w:t>, Paragard</w:t>
      </w:r>
      <w:r>
        <w:rPr>
          <w:rFonts w:ascii="Arial" w:cs="Arial" w:eastAsia="Arial" w:hAnsi="Arial"/>
          <w:sz w:val="22"/>
          <w:szCs w:val="22"/>
          <w:color w:val="auto"/>
          <w:vertAlign w:val="superscript"/>
        </w:rPr>
        <w:t>®</w:t>
      </w:r>
      <w:r>
        <w:rPr>
          <w:rFonts w:ascii="Arial" w:cs="Arial" w:eastAsia="Arial" w:hAnsi="Arial"/>
          <w:sz w:val="17"/>
          <w:szCs w:val="17"/>
          <w:color w:val="auto"/>
        </w:rPr>
        <w:t>, Mara</w:t>
      </w:r>
      <w:r>
        <w:rPr>
          <w:rFonts w:ascii="Arial" w:cs="Arial" w:eastAsia="Arial" w:hAnsi="Arial"/>
          <w:sz w:val="22"/>
          <w:szCs w:val="22"/>
          <w:color w:val="auto"/>
          <w:vertAlign w:val="superscript"/>
        </w:rPr>
        <w:t>®</w:t>
      </w:r>
      <w:r>
        <w:rPr>
          <w:rFonts w:ascii="Arial" w:cs="Arial" w:eastAsia="Arial" w:hAnsi="Arial"/>
          <w:sz w:val="17"/>
          <w:szCs w:val="17"/>
          <w:color w:val="auto"/>
        </w:rPr>
        <w:t>, Fetal Pillow</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Generate Life Sciences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CooperSurgical, Inc, its affiliates and/or subsidiaries.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 About Market Risk</w:t>
      </w:r>
    </w:p>
    <w:p>
      <w:pPr>
        <w:spacing w:after="0" w:line="169"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are exposed to risks caused by changes in foreign exchange, principally our British pound sterling, euro and Japanese yen denominated debt and receivables denominated in currencies other than the United States dollar, and from operations in other foreign currencies. We did not have any cross-currency swaps or foreign currency forward contracts as of January 31, 2023.</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are exposed to risks associated with changes in interest rates, as the interest rates on our revolving lines of credit and term loans may vary with the federal funds rate and SOFR (and, previously, LIBOR). As of January 31, 2023, we had outstanding debt for an aggregate carrying amount of $2.7 billion. We have entered, and in the future may enter, into interest rate swaps to manage interest rate risk. Effective February 1, 2023, the interest rate on our credit agreements was converted from LIBOR to SOFR.</w:t>
      </w:r>
    </w:p>
    <w:p>
      <w:pPr>
        <w:spacing w:after="0" w:line="132"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have increased or decreased by approximately $4.5 million based on average debt outstanding, after consideration of our interest rate swap contracts, during the first quarter of fiscal 2023. See Note 5. Financing Arrangements of the Consolidated Condensed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3" w:lineRule="exact"/>
        <w:rPr>
          <w:sz w:val="20"/>
          <w:szCs w:val="20"/>
          <w:color w:val="auto"/>
        </w:rPr>
      </w:pPr>
    </w:p>
    <w:p>
      <w:pPr>
        <w:jc w:val="both"/>
        <w:ind w:right="500"/>
        <w:spacing w:after="0" w:line="269"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required by Rule 13a-15(d) and 15d-15(d) of the Exchange Act that occurred during our first quarter of fiscal 2023, that have materially affected, or are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250"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Information regarding legal proceedings is included in Note 10. Contingencies of the Consolidated Condensed Financial Statements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50" w:lineRule="exact"/>
        <w:rPr>
          <w:sz w:val="20"/>
          <w:szCs w:val="20"/>
          <w:color w:val="auto"/>
        </w:rPr>
      </w:pPr>
    </w:p>
    <w:p>
      <w:pPr>
        <w:spacing w:after="0" w:line="312" w:lineRule="auto"/>
        <w:rPr>
          <w:sz w:val="20"/>
          <w:szCs w:val="20"/>
          <w:color w:val="auto"/>
        </w:rPr>
      </w:pPr>
      <w:r>
        <w:rPr>
          <w:rFonts w:ascii="Arial" w:cs="Arial" w:eastAsia="Arial" w:hAnsi="Arial"/>
          <w:sz w:val="15"/>
          <w:szCs w:val="15"/>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78"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Risk factors describing the major risks to our business can be found under Item 1A. Risk Factors in our Annual Report on Form 10-K for the fiscal year ended October 31, 2022. There have been no material changes to the risk factors previously disclosed in our Annual Report on Form 10-K for the fiscal year ended October 31, 2022.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55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As of January 31, 2023, $256.4 million remains authorized for repurchase under the 2012 Share Repurchase Program.</w:t>
      </w:r>
    </w:p>
    <w:p>
      <w:pPr>
        <w:spacing w:after="0" w:line="107" w:lineRule="exact"/>
        <w:rPr>
          <w:sz w:val="20"/>
          <w:szCs w:val="20"/>
          <w:color w:val="auto"/>
        </w:rPr>
      </w:pPr>
    </w:p>
    <w:p>
      <w:pPr>
        <w:ind w:right="420"/>
        <w:spacing w:after="0" w:line="342" w:lineRule="auto"/>
        <w:rPr>
          <w:sz w:val="20"/>
          <w:szCs w:val="20"/>
          <w:color w:val="auto"/>
        </w:rPr>
      </w:pPr>
      <w:r>
        <w:rPr>
          <w:rFonts w:ascii="Arial" w:cs="Arial" w:eastAsia="Arial" w:hAnsi="Arial"/>
          <w:sz w:val="15"/>
          <w:szCs w:val="15"/>
          <w:color w:val="auto"/>
        </w:rPr>
        <w:t>During the three months ended January 31, 2023, there was no share repurchase under the 2012 Share Repurchase Program. During the three months ended January 31, 2022, the Company repurchased 191.2 thousand shares of its common stock for $78.5 million, at an average purchase price of $410.41 per share.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Defaults Upon Senior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Mine Safety Disclosures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w:t>
      </w:r>
    </w:p>
    <w:p>
      <w:pPr>
        <w:ind w:left="20"/>
        <w:spacing w:after="0"/>
        <w:tabs>
          <w:tab w:leader="none" w:pos="860" w:val="left"/>
        </w:tabs>
        <w:rPr>
          <w:sz w:val="20"/>
          <w:szCs w:val="20"/>
          <w:color w:val="auto"/>
        </w:rPr>
      </w:pPr>
      <w:r>
        <w:rPr>
          <w:rFonts w:ascii="Arial" w:cs="Arial" w:eastAsia="Arial" w:hAnsi="Arial"/>
          <w:sz w:val="17"/>
          <w:szCs w:val="17"/>
          <w:u w:val="single" w:color="auto"/>
          <w:color w:val="auto"/>
        </w:rPr>
        <w:t>Number</w:t>
      </w:r>
      <w:r>
        <w:rPr>
          <w:sz w:val="20"/>
          <w:szCs w:val="20"/>
          <w:color w:val="auto"/>
        </w:rPr>
        <w:tab/>
      </w:r>
      <w:r>
        <w:rPr>
          <w:rFonts w:ascii="Arial" w:cs="Arial" w:eastAsia="Arial" w:hAnsi="Arial"/>
          <w:sz w:val="17"/>
          <w:szCs w:val="17"/>
          <w:u w:val="single" w:color="auto"/>
          <w:color w:val="auto"/>
        </w:rPr>
        <w:t>Description</w:t>
      </w:r>
    </w:p>
    <w:p>
      <w:pPr>
        <w:spacing w:after="0" w:line="115" w:lineRule="exact"/>
        <w:rPr>
          <w:sz w:val="20"/>
          <w:szCs w:val="20"/>
          <w:color w:val="auto"/>
        </w:rPr>
      </w:pPr>
    </w:p>
    <w:p>
      <w:pPr>
        <w:ind w:left="880" w:hanging="687"/>
        <w:spacing w:after="0" w:line="241" w:lineRule="auto"/>
        <w:tabs>
          <w:tab w:leader="none" w:pos="8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u w:val="single" w:color="auto"/>
          <w:color w:val="0000FF"/>
        </w:rPr>
        <w:t>Amendment No.1, dated as of February 1, 2023, to the Term Loan Agreement, dated as of December 17, 2021, by and among The Cooper Companies, Inc. and PNC Bank, National Association, as the administrative agent</w:t>
      </w:r>
      <w:r>
        <w:rPr>
          <w:rFonts w:ascii="Arial" w:cs="Arial" w:eastAsia="Arial" w:hAnsi="Arial"/>
          <w:sz w:val="17"/>
          <w:szCs w:val="17"/>
          <w:color w:val="000000"/>
        </w:rPr>
        <w:t>.</w:t>
      </w:r>
    </w:p>
    <w:p>
      <w:pPr>
        <w:spacing w:after="0" w:line="93" w:lineRule="exact"/>
        <w:rPr>
          <w:sz w:val="20"/>
          <w:szCs w:val="20"/>
          <w:color w:val="auto"/>
        </w:rPr>
      </w:pPr>
    </w:p>
    <w:p>
      <w:pPr>
        <w:ind w:left="880" w:right="320" w:hanging="687"/>
        <w:spacing w:after="0" w:line="232" w:lineRule="auto"/>
        <w:tabs>
          <w:tab w:leader="none" w:pos="8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u w:val="single" w:color="auto"/>
          <w:color w:val="0000FF"/>
        </w:rPr>
        <w:t>Amendment No. 3, dated as of February 1, 2023, to the Revolving Credit and Term Loan Agreement, dated as of April 1, 2020, by and among the Company, CooperVision International Limited, and CooperSurgical Holdings Limited, the borrowers party thereto, and KeyBank National Association, as administrative agent.</w:t>
      </w:r>
    </w:p>
    <w:p>
      <w:pPr>
        <w:spacing w:after="0" w:line="95" w:lineRule="exact"/>
        <w:rPr>
          <w:sz w:val="20"/>
          <w:szCs w:val="20"/>
          <w:color w:val="auto"/>
        </w:rPr>
      </w:pPr>
    </w:p>
    <w:p>
      <w:pPr>
        <w:ind w:left="880" w:right="140" w:hanging="687"/>
        <w:spacing w:after="0" w:line="241" w:lineRule="auto"/>
        <w:tabs>
          <w:tab w:leader="none" w:pos="860" w:val="left"/>
        </w:tabs>
        <w:rPr>
          <w:rFonts w:ascii="Arial" w:cs="Arial" w:eastAsia="Arial" w:hAnsi="Arial"/>
          <w:sz w:val="17"/>
          <w:szCs w:val="17"/>
          <w:u w:val="single" w:color="auto"/>
          <w:color w:val="0000FF"/>
        </w:rPr>
      </w:pPr>
      <w:r>
        <w:rPr>
          <w:rFonts w:ascii="Arial" w:cs="Arial" w:eastAsia="Arial" w:hAnsi="Arial"/>
          <w:sz w:val="17"/>
          <w:szCs w:val="17"/>
          <w:color w:val="auto"/>
        </w:rPr>
        <w:t>10.3</w:t>
      </w:r>
      <w:r>
        <w:rPr>
          <w:sz w:val="20"/>
          <w:szCs w:val="20"/>
          <w:color w:val="auto"/>
        </w:rPr>
        <w:tab/>
      </w:r>
      <w:hyperlink r:id="rId43">
        <w:r>
          <w:rPr>
            <w:rFonts w:ascii="Arial" w:cs="Arial" w:eastAsia="Arial" w:hAnsi="Arial"/>
            <w:sz w:val="17"/>
            <w:szCs w:val="17"/>
            <w:u w:val="single" w:color="auto"/>
            <w:color w:val="0000FF"/>
          </w:rPr>
          <w:t>The Cooper Companies, Inc. 2023 Incentive Payment Plan, incorporated by reference to Exhibit 10.1 of the Company's Current Report on Form 8-K</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filed on December 19, 2022</w:t>
        </w:r>
      </w:hyperlink>
    </w:p>
    <w:p>
      <w:pPr>
        <w:spacing w:after="0" w:line="93"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u w:val="single" w:color="auto"/>
          <w:color w:val="0000FF"/>
        </w:rPr>
        <w:t>Certification of the Chief Executive Officer, pursuant to Rule 13a-14(a) under the Securities Exchange Act of 1934</w:t>
      </w:r>
    </w:p>
    <w:p>
      <w:pPr>
        <w:spacing w:after="0" w:line="12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u w:val="single" w:color="auto"/>
          <w:color w:val="0000FF"/>
        </w:rPr>
        <w:t>Certification of the Chief Financial Officer, pursuant to Rule 13a-14(a) under the Securities Exchange Act of 1934</w:t>
      </w:r>
    </w:p>
    <w:p>
      <w:pPr>
        <w:spacing w:after="0" w:line="12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u w:val="single" w:color="auto"/>
          <w:color w:val="0000FF"/>
        </w:rPr>
        <w:t>Certification of the Chief Executive Officer, pursuant to 18 U.S.C. Section 1350</w:t>
      </w:r>
    </w:p>
    <w:p>
      <w:pPr>
        <w:spacing w:after="0" w:line="12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u w:val="single" w:color="auto"/>
          <w:color w:val="0000FF"/>
        </w:rPr>
        <w:t>Certification of the Chief Financial Officer, pursuant to 18 U.S.C. Section 1350</w:t>
      </w:r>
    </w:p>
    <w:p>
      <w:pPr>
        <w:spacing w:after="0" w:line="129" w:lineRule="exact"/>
        <w:rPr>
          <w:sz w:val="20"/>
          <w:szCs w:val="20"/>
          <w:color w:val="auto"/>
        </w:rPr>
      </w:pPr>
    </w:p>
    <w:p>
      <w:pPr>
        <w:jc w:val="right"/>
        <w:ind w:left="180" w:right="120"/>
        <w:spacing w:after="0" w:line="253" w:lineRule="auto"/>
        <w:rPr>
          <w:sz w:val="20"/>
          <w:szCs w:val="20"/>
          <w:color w:val="auto"/>
        </w:rPr>
      </w:pPr>
      <w:r>
        <w:rPr>
          <w:rFonts w:ascii="Arial" w:cs="Arial" w:eastAsia="Arial" w:hAnsi="Arial"/>
          <w:sz w:val="15"/>
          <w:szCs w:val="15"/>
          <w:color w:val="auto"/>
        </w:rPr>
        <w:t>101.1    The following materials from the Company's Quarterly Report on Form 10-Q for the three months period ended January 31, 2023 formatted in Inline XBRL (Extensible Business Reporting Language): (i) Consolidated Statements of Income and Comprehensive Income, (ii) Consolidated Condensed</w:t>
      </w:r>
    </w:p>
    <w:p>
      <w:pPr>
        <w:spacing w:after="0" w:line="1" w:lineRule="exact"/>
        <w:rPr>
          <w:sz w:val="20"/>
          <w:szCs w:val="20"/>
          <w:color w:val="auto"/>
        </w:rPr>
      </w:pPr>
    </w:p>
    <w:p>
      <w:pPr>
        <w:ind w:left="880" w:right="320"/>
        <w:spacing w:after="0" w:line="223" w:lineRule="auto"/>
        <w:rPr>
          <w:sz w:val="20"/>
          <w:szCs w:val="20"/>
          <w:color w:val="auto"/>
        </w:rPr>
      </w:pPr>
      <w:r>
        <w:rPr>
          <w:rFonts w:ascii="Arial" w:cs="Arial" w:eastAsia="Arial" w:hAnsi="Arial"/>
          <w:sz w:val="17"/>
          <w:szCs w:val="17"/>
          <w:color w:val="auto"/>
        </w:rPr>
        <w:t>Balance Sheets, (iii) Consolidated Condensed Statements of Stockholders' Equity, (iv) Consolidated Condensed Statements of Cash Flows and (v) related Notes to Consolidated Condensed Financial Statements.</w:t>
      </w:r>
    </w:p>
    <w:p>
      <w:pPr>
        <w:spacing w:after="0" w:line="109"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5"/>
          <w:szCs w:val="15"/>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8" w:name="page29"/>
    <w:bookmarkEnd w:id="28"/>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00"/>
        <w:spacing w:after="0"/>
        <w:rPr>
          <w:sz w:val="20"/>
          <w:szCs w:val="20"/>
          <w:color w:val="auto"/>
        </w:rPr>
      </w:pPr>
      <w:r>
        <w:rPr>
          <w:rFonts w:ascii="Arial" w:cs="Arial" w:eastAsia="Arial" w:hAnsi="Arial"/>
          <w:sz w:val="17"/>
          <w:szCs w:val="17"/>
          <w:u w:val="single" w:color="auto"/>
          <w:color w:val="auto"/>
        </w:rPr>
        <w:t>SIGNATURES</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jc w:val="center"/>
        <w:ind w:left="4540"/>
        <w:spacing w:after="0"/>
        <w:rPr>
          <w:sz w:val="20"/>
          <w:szCs w:val="20"/>
          <w:color w:val="auto"/>
        </w:rPr>
      </w:pPr>
      <w:r>
        <w:rPr>
          <w:rFonts w:ascii="Arial" w:cs="Arial" w:eastAsia="Arial" w:hAnsi="Arial"/>
          <w:sz w:val="17"/>
          <w:szCs w:val="17"/>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24130</wp:posOffset>
            </wp:positionV>
            <wp:extent cx="33343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jc w:val="center"/>
        <w:ind w:left="4540"/>
        <w:spacing w:after="0"/>
        <w:rPr>
          <w:sz w:val="20"/>
          <w:szCs w:val="20"/>
          <w:color w:val="auto"/>
        </w:rPr>
      </w:pPr>
      <w:r>
        <w:rPr>
          <w:rFonts w:ascii="Arial" w:cs="Arial" w:eastAsia="Arial" w:hAnsi="Arial"/>
          <w:sz w:val="17"/>
          <w:szCs w:val="17"/>
          <w:color w:val="auto"/>
        </w:rPr>
        <w:t>(Registrant)</w:t>
      </w:r>
    </w:p>
    <w:p>
      <w:pPr>
        <w:spacing w:after="0" w:line="304" w:lineRule="exact"/>
        <w:rPr>
          <w:sz w:val="20"/>
          <w:szCs w:val="20"/>
          <w:color w:val="auto"/>
        </w:rPr>
      </w:pPr>
    </w:p>
    <w:p>
      <w:pPr>
        <w:ind w:left="20"/>
        <w:spacing w:after="0"/>
        <w:tabs>
          <w:tab w:leader="none" w:pos="7160" w:val="left"/>
        </w:tabs>
        <w:rPr>
          <w:sz w:val="20"/>
          <w:szCs w:val="20"/>
          <w:color w:val="auto"/>
        </w:rPr>
      </w:pPr>
      <w:r>
        <w:rPr>
          <w:rFonts w:ascii="Arial" w:cs="Arial" w:eastAsia="Arial" w:hAnsi="Arial"/>
          <w:sz w:val="17"/>
          <w:szCs w:val="17"/>
          <w:color w:val="auto"/>
        </w:rPr>
        <w:t>Date: March 3, 2023</w:t>
      </w:r>
      <w:r>
        <w:rPr>
          <w:sz w:val="20"/>
          <w:szCs w:val="20"/>
          <w:color w:val="auto"/>
        </w:rPr>
        <w:tab/>
      </w:r>
      <w:r>
        <w:rPr>
          <w:rFonts w:ascii="Arial" w:cs="Arial" w:eastAsia="Arial" w:hAnsi="Arial"/>
          <w:sz w:val="15"/>
          <w:szCs w:val="15"/>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24130</wp:posOffset>
            </wp:positionV>
            <wp:extent cx="33343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Brian G. Andrews</w:t>
      </w:r>
    </w:p>
    <w:p>
      <w:pPr>
        <w:spacing w:after="0" w:line="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Executive Vice President, Chief Financial Officer and Treasurer</w:t>
      </w:r>
    </w:p>
    <w:p>
      <w:pPr>
        <w:ind w:left="69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160" w:val="left"/>
        </w:tabs>
        <w:rPr>
          <w:sz w:val="20"/>
          <w:szCs w:val="20"/>
          <w:color w:val="auto"/>
        </w:rPr>
      </w:pPr>
      <w:r>
        <w:rPr>
          <w:rFonts w:ascii="Arial" w:cs="Arial" w:eastAsia="Arial" w:hAnsi="Arial"/>
          <w:sz w:val="17"/>
          <w:szCs w:val="17"/>
          <w:color w:val="auto"/>
        </w:rPr>
        <w:t>Date: March 3, 2023</w:t>
      </w:r>
      <w:r>
        <w:rPr>
          <w:sz w:val="20"/>
          <w:szCs w:val="20"/>
          <w:color w:val="auto"/>
        </w:rPr>
        <w:tab/>
      </w:r>
      <w:r>
        <w:rPr>
          <w:rFonts w:ascii="Arial" w:cs="Arial" w:eastAsia="Arial" w:hAnsi="Arial"/>
          <w:sz w:val="15"/>
          <w:szCs w:val="15"/>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24130</wp:posOffset>
            </wp:positionV>
            <wp:extent cx="33343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Agostino Ricupati</w:t>
      </w:r>
    </w:p>
    <w:p>
      <w:pPr>
        <w:spacing w:after="0" w:line="34"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Senior Vice President and Chief Accounting Officer (Principal Accounting</w:t>
      </w:r>
    </w:p>
    <w:p>
      <w:pPr>
        <w:spacing w:after="0" w:line="6"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00"/>
          </w:cols>
          <w:pgMar w:left="320" w:top="800" w:right="87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 TO TERM LOAN AGREEMENT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AMENDMENT NO. 1 TO TERM LOAN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February 1, 2023 among (i) THE COOPER COMPANIES,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(ii) PNC BANK, NATIONAL ASSOCIATION, as the</w:t>
      </w:r>
    </w:p>
    <w:p>
      <w:pPr>
        <w:spacing w:after="0"/>
        <w:rPr>
          <w:sz w:val="20"/>
          <w:szCs w:val="20"/>
          <w:color w:val="auto"/>
        </w:rPr>
      </w:pPr>
      <w:r>
        <w:rPr>
          <w:rFonts w:ascii="Arial" w:cs="Arial" w:eastAsia="Arial" w:hAnsi="Arial"/>
          <w:sz w:val="20"/>
          <w:szCs w:val="20"/>
          <w:color w:val="auto"/>
        </w:rPr>
        <w:t>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175" w:lineRule="exact"/>
        <w:rPr>
          <w:sz w:val="20"/>
          <w:szCs w:val="20"/>
          <w:color w:val="auto"/>
        </w:rPr>
      </w:pPr>
    </w:p>
    <w:p>
      <w:pPr>
        <w:jc w:val="both"/>
        <w:ind w:firstLine="656"/>
        <w:spacing w:after="0" w:line="220" w:lineRule="auto"/>
        <w:tabs>
          <w:tab w:leader="none" w:pos="1155" w:val="left"/>
        </w:tabs>
        <w:numPr>
          <w:ilvl w:val="0"/>
          <w:numId w:val="5"/>
        </w:numPr>
        <w:rPr>
          <w:rFonts w:ascii="Arial" w:cs="Arial" w:eastAsia="Arial" w:hAnsi="Arial"/>
          <w:sz w:val="20"/>
          <w:szCs w:val="20"/>
          <w:color w:val="auto"/>
        </w:rPr>
      </w:pPr>
      <w:r>
        <w:rPr>
          <w:rFonts w:ascii="Arial" w:cs="Arial" w:eastAsia="Arial" w:hAnsi="Arial"/>
          <w:sz w:val="20"/>
          <w:szCs w:val="20"/>
          <w:color w:val="auto"/>
        </w:rPr>
        <w:t>WHEREAS, the Borrower, the Administrative Agent and the lenders party thereto (each,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are parties to the Term Loan Agreement, dated as of December 17, 2021 (as amended, restated, amended and restated, supplemented or otherwise modified prior to the date hereof, the “</w:t>
      </w:r>
      <w:r>
        <w:rPr>
          <w:rFonts w:ascii="Arial" w:cs="Arial" w:eastAsia="Arial" w:hAnsi="Arial"/>
          <w:sz w:val="20"/>
          <w:szCs w:val="20"/>
          <w:u w:val="single" w:color="auto"/>
          <w:color w:val="auto"/>
        </w:rPr>
        <w:t>Term Loan Agreement</w:t>
      </w:r>
      <w:r>
        <w:rPr>
          <w:rFonts w:ascii="Arial" w:cs="Arial" w:eastAsia="Arial" w:hAnsi="Arial"/>
          <w:sz w:val="20"/>
          <w:szCs w:val="20"/>
          <w:color w:val="auto"/>
        </w:rPr>
        <w:t>”; and the Term Loan Agreement as amended by this Amendment, the “</w:t>
      </w:r>
      <w:r>
        <w:rPr>
          <w:rFonts w:ascii="Arial" w:cs="Arial" w:eastAsia="Arial" w:hAnsi="Arial"/>
          <w:sz w:val="20"/>
          <w:szCs w:val="20"/>
          <w:u w:val="single" w:color="auto"/>
          <w:color w:val="auto"/>
        </w:rPr>
        <w:t>Amended Term Loan Agreement</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firstLine="656"/>
        <w:spacing w:after="0" w:line="223" w:lineRule="auto"/>
        <w:tabs>
          <w:tab w:leader="none" w:pos="1202" w:val="left"/>
        </w:tabs>
        <w:numPr>
          <w:ilvl w:val="0"/>
          <w:numId w:val="5"/>
        </w:numPr>
        <w:rPr>
          <w:rFonts w:ascii="Arial" w:cs="Arial" w:eastAsia="Arial" w:hAnsi="Arial"/>
          <w:sz w:val="20"/>
          <w:szCs w:val="20"/>
          <w:color w:val="auto"/>
        </w:rPr>
      </w:pPr>
      <w:r>
        <w:rPr>
          <w:rFonts w:ascii="Arial" w:cs="Arial" w:eastAsia="Arial" w:hAnsi="Arial"/>
          <w:sz w:val="20"/>
          <w:szCs w:val="20"/>
          <w:color w:val="auto"/>
        </w:rPr>
        <w:t>WHEREAS, on January 23, 2023, the Administrative Agent notified the Lenders of the Administrative Agent and the Borrower’s joint election to trigger a fallback from LIBOR pursuant to clause (B) of the definition of Early Opt-in Election in the Term Loan Agreement; and</w:t>
      </w:r>
    </w:p>
    <w:p>
      <w:pPr>
        <w:spacing w:after="0" w:line="168" w:lineRule="exact"/>
        <w:rPr>
          <w:rFonts w:ascii="Arial" w:cs="Arial" w:eastAsia="Arial" w:hAnsi="Arial"/>
          <w:sz w:val="20"/>
          <w:szCs w:val="20"/>
          <w:color w:val="auto"/>
        </w:rPr>
      </w:pPr>
    </w:p>
    <w:p>
      <w:pPr>
        <w:ind w:firstLine="656"/>
        <w:spacing w:after="0" w:line="257" w:lineRule="auto"/>
        <w:tabs>
          <w:tab w:leader="none" w:pos="1029" w:val="left"/>
        </w:tabs>
        <w:numPr>
          <w:ilvl w:val="0"/>
          <w:numId w:val="5"/>
        </w:numPr>
        <w:rPr>
          <w:rFonts w:ascii="Arial" w:cs="Arial" w:eastAsia="Arial" w:hAnsi="Arial"/>
          <w:sz w:val="19"/>
          <w:szCs w:val="19"/>
          <w:color w:val="auto"/>
        </w:rPr>
      </w:pPr>
      <w:r>
        <w:rPr>
          <w:rFonts w:ascii="Arial" w:cs="Arial" w:eastAsia="Arial" w:hAnsi="Arial"/>
          <w:sz w:val="19"/>
          <w:szCs w:val="19"/>
          <w:color w:val="auto"/>
        </w:rPr>
        <w:t>WHEREAS, in connection with the Early Opt-in Election, the Borrower and the Administrative Agent desire to amend the Term Loan Agreement solely for the purpose of implementing certain Benchmark Replacement Conforming Changes.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premises and mutual covenants herein and for other valuable consideration, the Borrower and the</w:t>
      </w:r>
    </w:p>
    <w:p>
      <w:pPr>
        <w:spacing w:after="0"/>
        <w:rPr>
          <w:sz w:val="20"/>
          <w:szCs w:val="20"/>
          <w:color w:val="auto"/>
        </w:rPr>
      </w:pPr>
      <w:r>
        <w:rPr>
          <w:rFonts w:ascii="Arial" w:cs="Arial" w:eastAsia="Arial" w:hAnsi="Arial"/>
          <w:sz w:val="20"/>
          <w:szCs w:val="20"/>
          <w:color w:val="auto"/>
        </w:rPr>
        <w:t>Administrative Agent agree as follows:</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Definitions</w:t>
      </w:r>
      <w:r>
        <w:rPr>
          <w:rFonts w:ascii="Arial" w:cs="Arial" w:eastAsia="Arial" w:hAnsi="Arial"/>
          <w:sz w:val="20"/>
          <w:szCs w:val="20"/>
          <w:color w:val="auto"/>
        </w:rPr>
        <w:t>. Unless otherwise defined herein, each capitalized term used in this Amendment and not defined herein shall be defined in accordance with the Amended Term Loan Agreement.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Subject to the satisfaction of the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Amendment, as of the Early Opt-in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w:t>
      </w:r>
    </w:p>
    <w:p>
      <w:pPr>
        <w:spacing w:after="0" w:line="173" w:lineRule="exact"/>
        <w:rPr>
          <w:sz w:val="20"/>
          <w:szCs w:val="20"/>
          <w:color w:val="auto"/>
        </w:rPr>
      </w:pPr>
    </w:p>
    <w:p>
      <w:pPr>
        <w:jc w:val="both"/>
        <w:ind w:left="660" w:firstLine="644"/>
        <w:spacing w:after="0" w:line="252" w:lineRule="auto"/>
        <w:tabs>
          <w:tab w:leader="none" w:pos="175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Term Loan Agreement is hereby amended by deleting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(ii) adding the double underlined text (indicated textually in the same manner as the following example: </w:t>
      </w:r>
      <w:r>
        <w:rPr>
          <w:rFonts w:ascii="Arial" w:cs="Arial" w:eastAsia="Arial" w:hAnsi="Arial"/>
          <w:sz w:val="18"/>
          <w:szCs w:val="18"/>
          <w:u w:val="single" w:color="auto"/>
          <w:color w:val="074BB9"/>
        </w:rPr>
        <w:t>double-underlined text</w:t>
      </w:r>
      <w:r>
        <w:rPr>
          <w:rFonts w:ascii="Arial" w:cs="Arial" w:eastAsia="Arial" w:hAnsi="Arial"/>
          <w:sz w:val="18"/>
          <w:szCs w:val="18"/>
          <w:color w:val="auto"/>
        </w:rPr>
        <w:t xml:space="preserve">) as set forth in the Amended Term Loan Agreement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660" w:firstLine="644"/>
        <w:spacing w:after="0" w:line="229" w:lineRule="auto"/>
        <w:tabs>
          <w:tab w:leader="none" w:pos="1741"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Exhibit E to the Term Loan Agreement is hereby amended and restated in its entirety and replaced with Exhibit E to the Term Loan Agreement attached hereto as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LIBOR Replacement</w:t>
      </w:r>
      <w:r>
        <w:rPr>
          <w:rFonts w:ascii="Arial" w:cs="Arial" w:eastAsia="Arial" w:hAnsi="Arial"/>
          <w:sz w:val="18"/>
          <w:szCs w:val="18"/>
          <w:color w:val="auto"/>
        </w:rPr>
        <w:t>. Notwithstanding anything to the contrary in the Amended Term Loan Agreement or in any other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 Document, to the extent any Eurodollar Loan (as defined in the Term Loan Agreement) is outstanding on the Early Opt-in Effective Date, such Loan shall continue to bear interest at the Adjusted LIBO Rate (as defined in the Term Loan Agreement) plus the Applicable 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defined in the Term Loan Agreement) until the end of the current Interest Period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NAI-1534445386v5</w:t>
      </w:r>
    </w:p>
    <w:p>
      <w:pPr>
        <w:sectPr>
          <w:pgSz w:w="11900" w:h="16838" w:orient="portrait"/>
          <w:cols w:equalWidth="0" w:num="1">
            <w:col w:w="11240"/>
          </w:cols>
          <w:pgMar w:left="320" w:top="104"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the Term Loan Agreement) applicable to such Eurodollar Loan in accordance with and subject to the Term Loan Agreement.|</w:t>
      </w:r>
    </w:p>
    <w:p>
      <w:pPr>
        <w:spacing w:after="0" w:line="189"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Effectiveness of Amendment</w:t>
      </w:r>
      <w:r>
        <w:rPr>
          <w:rFonts w:ascii="Arial" w:cs="Arial" w:eastAsia="Arial" w:hAnsi="Arial"/>
          <w:sz w:val="19"/>
          <w:szCs w:val="19"/>
          <w:color w:val="auto"/>
        </w:rPr>
        <w:t>. Each of the modifications set forth in the Amended Term Loan Agreement shall be effective on the date upon which each of the following conditions precedent has been satisfied (the “</w:t>
      </w:r>
      <w:r>
        <w:rPr>
          <w:rFonts w:ascii="Arial" w:cs="Arial" w:eastAsia="Arial" w:hAnsi="Arial"/>
          <w:sz w:val="19"/>
          <w:szCs w:val="19"/>
          <w:u w:val="single" w:color="auto"/>
          <w:color w:val="auto"/>
        </w:rPr>
        <w:t>Early Opt-in Effective Date</w:t>
      </w:r>
      <w:r>
        <w:rPr>
          <w:rFonts w:ascii="Arial" w:cs="Arial" w:eastAsia="Arial" w:hAnsi="Arial"/>
          <w:sz w:val="19"/>
          <w:szCs w:val="19"/>
          <w:color w:val="auto"/>
        </w:rPr>
        <w:t>”):</w:t>
      </w:r>
    </w:p>
    <w:p>
      <w:pPr>
        <w:spacing w:after="0" w:line="167" w:lineRule="exact"/>
        <w:rPr>
          <w:sz w:val="20"/>
          <w:szCs w:val="20"/>
          <w:color w:val="auto"/>
        </w:rPr>
      </w:pPr>
    </w:p>
    <w:p>
      <w:pPr>
        <w:ind w:left="660" w:firstLine="644"/>
        <w:spacing w:after="0" w:line="236" w:lineRule="auto"/>
        <w:tabs>
          <w:tab w:leader="none" w:pos="1747"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Amendment shall have been executed by the Borrower, each Subsidiary Guarantor and the Administrative Agent, and counterparts hereof as so executed shall have been delivered to the Administrative Agent.</w:t>
      </w:r>
    </w:p>
    <w:p>
      <w:pPr>
        <w:spacing w:after="0" w:line="155" w:lineRule="exact"/>
        <w:rPr>
          <w:rFonts w:ascii="Arial" w:cs="Arial" w:eastAsia="Arial" w:hAnsi="Arial"/>
          <w:sz w:val="20"/>
          <w:szCs w:val="20"/>
          <w:color w:val="auto"/>
        </w:rPr>
      </w:pPr>
    </w:p>
    <w:p>
      <w:pPr>
        <w:jc w:val="both"/>
        <w:ind w:left="660" w:firstLine="644"/>
        <w:spacing w:after="0" w:line="220" w:lineRule="auto"/>
        <w:tabs>
          <w:tab w:leader="none" w:pos="1813"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Administrative Agent shall have received all reasonable out of pocket expenses incurred by the Administrative Agent (including the reasonable fees, charges and disbursements of its outside counsel, to the extent invoiced on or prior to the Early Opt-in Effective Date) in connection with the preparation, negotiation and effectiveness of this Amendment and the other documents being executed or delivered in connection herewith.</w:t>
      </w:r>
    </w:p>
    <w:p>
      <w:pPr>
        <w:spacing w:after="0" w:line="169"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Borrower and each Subsidiary Guarantor, by signing below, hereby represents and warrants to the Administrative Agent and the Lenders that:</w:t>
      </w:r>
    </w:p>
    <w:p>
      <w:pPr>
        <w:spacing w:after="0" w:line="155" w:lineRule="exact"/>
        <w:rPr>
          <w:sz w:val="20"/>
          <w:szCs w:val="20"/>
          <w:color w:val="auto"/>
        </w:rPr>
      </w:pPr>
    </w:p>
    <w:p>
      <w:pPr>
        <w:ind w:left="1720" w:hanging="416"/>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Borrower and each Subsidiary Guarantor has the legal power and authority to execute and deliver this Amendment;</w:t>
      </w:r>
    </w:p>
    <w:p>
      <w:pPr>
        <w:spacing w:after="0" w:line="211" w:lineRule="exact"/>
        <w:rPr>
          <w:rFonts w:ascii="Arial" w:cs="Arial" w:eastAsia="Arial" w:hAnsi="Arial"/>
          <w:sz w:val="18"/>
          <w:szCs w:val="18"/>
          <w:color w:val="auto"/>
        </w:rPr>
      </w:pPr>
    </w:p>
    <w:p>
      <w:pPr>
        <w:jc w:val="both"/>
        <w:ind w:left="660" w:firstLine="644"/>
        <w:spacing w:after="0" w:line="350" w:lineRule="auto"/>
        <w:tabs>
          <w:tab w:leader="none" w:pos="185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officers executing this Amendment on behalf of the Borrower and each Subsidiary Guarantor have been duly authorized to execute and deliver the same and bind the Borrower or such Subsidiary Guarantor with respect to the provisions hereof;</w:t>
      </w:r>
    </w:p>
    <w:p>
      <w:pPr>
        <w:spacing w:after="0" w:line="70" w:lineRule="exact"/>
        <w:rPr>
          <w:rFonts w:ascii="Arial" w:cs="Arial" w:eastAsia="Arial" w:hAnsi="Arial"/>
          <w:sz w:val="16"/>
          <w:szCs w:val="16"/>
          <w:color w:val="auto"/>
        </w:rPr>
      </w:pPr>
    </w:p>
    <w:p>
      <w:pPr>
        <w:jc w:val="both"/>
        <w:ind w:left="660" w:firstLine="644"/>
        <w:spacing w:after="0" w:line="220" w:lineRule="auto"/>
        <w:tabs>
          <w:tab w:leader="none" w:pos="1742" w:val="left"/>
        </w:tabs>
        <w:numPr>
          <w:ilvl w:val="0"/>
          <w:numId w:val="8"/>
        </w:numPr>
        <w:rPr>
          <w:rFonts w:ascii="Arial" w:cs="Arial" w:eastAsia="Arial" w:hAnsi="Arial"/>
          <w:sz w:val="20"/>
          <w:szCs w:val="20"/>
          <w:color w:val="auto"/>
        </w:rPr>
      </w:pPr>
      <w:r>
        <w:rPr>
          <w:rFonts w:ascii="Arial" w:cs="Arial" w:eastAsia="Arial" w:hAnsi="Arial"/>
          <w:sz w:val="20"/>
          <w:szCs w:val="20"/>
          <w:color w:val="auto"/>
        </w:rPr>
        <w:t>this Amendment constitutes the legal, valid and binding agreement and obligation of the Borrower and each Subsidiary Guarantor,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and</w:t>
      </w:r>
    </w:p>
    <w:p>
      <w:pPr>
        <w:spacing w:after="0" w:line="169" w:lineRule="exact"/>
        <w:rPr>
          <w:rFonts w:ascii="Arial" w:cs="Arial" w:eastAsia="Arial" w:hAnsi="Arial"/>
          <w:sz w:val="20"/>
          <w:szCs w:val="20"/>
          <w:color w:val="auto"/>
        </w:rPr>
      </w:pPr>
    </w:p>
    <w:p>
      <w:pPr>
        <w:jc w:val="both"/>
        <w:ind w:left="660" w:firstLine="644"/>
        <w:spacing w:after="0" w:line="252" w:lineRule="auto"/>
        <w:tabs>
          <w:tab w:leader="none" w:pos="1802"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in Article III of the Amended Term Loan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5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Term Loan Agreement Unaffected</w:t>
      </w:r>
      <w:r>
        <w:rPr>
          <w:rFonts w:ascii="Arial" w:cs="Arial" w:eastAsia="Arial" w:hAnsi="Arial"/>
          <w:sz w:val="18"/>
          <w:szCs w:val="18"/>
          <w:color w:val="auto"/>
        </w:rPr>
        <w:t>. Each reference to the Term Loan Agreement in any Loan Document shall hereafter be construed as a reference to the Amended Term Loan Agreement. Except as otherwise specifically provided herein, all provisions of the Term</w:t>
      </w:r>
    </w:p>
    <w:p>
      <w:pPr>
        <w:jc w:val="center"/>
        <w:ind w:right="1380"/>
        <w:spacing w:after="0" w:line="468" w:lineRule="auto"/>
        <w:rPr>
          <w:sz w:val="20"/>
          <w:szCs w:val="20"/>
          <w:color w:val="auto"/>
        </w:rPr>
      </w:pPr>
      <w:r>
        <w:rPr>
          <w:rFonts w:ascii="Arial" w:cs="Arial" w:eastAsia="Arial" w:hAnsi="Arial"/>
          <w:sz w:val="18"/>
          <w:szCs w:val="18"/>
          <w:color w:val="auto"/>
        </w:rPr>
        <w:t xml:space="preserve">Loan Agreement shall remain in full force and effect and be unaffected hereby. This Amendment shall be a Loan Document. Section 7. </w:t>
      </w:r>
      <w:r>
        <w:rPr>
          <w:rFonts w:ascii="Arial" w:cs="Arial" w:eastAsia="Arial" w:hAnsi="Arial"/>
          <w:sz w:val="18"/>
          <w:szCs w:val="18"/>
          <w:u w:val="single" w:color="auto"/>
          <w:color w:val="auto"/>
        </w:rPr>
        <w:t>Subsidiary Guarantor Acknowledgment</w:t>
      </w:r>
      <w:r>
        <w:rPr>
          <w:rFonts w:ascii="Arial" w:cs="Arial" w:eastAsia="Arial" w:hAnsi="Arial"/>
          <w:sz w:val="18"/>
          <w:szCs w:val="18"/>
          <w:color w:val="auto"/>
        </w:rPr>
        <w:t>. Each Subsidiary Guarantor, by signing this Amendment:</w:t>
      </w:r>
    </w:p>
    <w:p>
      <w:pPr>
        <w:ind w:left="1720" w:hanging="416"/>
        <w:spacing w:after="0"/>
        <w:tabs>
          <w:tab w:leader="none" w:pos="1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consents and agrees to and acknowledges the terms of this Amendment;</w:t>
      </w:r>
    </w:p>
    <w:p>
      <w:pPr>
        <w:spacing w:after="0" w:line="188" w:lineRule="exact"/>
        <w:rPr>
          <w:rFonts w:ascii="Arial" w:cs="Arial" w:eastAsia="Arial" w:hAnsi="Arial"/>
          <w:sz w:val="20"/>
          <w:szCs w:val="20"/>
          <w:color w:val="auto"/>
        </w:rPr>
      </w:pPr>
    </w:p>
    <w:p>
      <w:pPr>
        <w:jc w:val="both"/>
        <w:ind w:left="660" w:right="20" w:firstLine="644"/>
        <w:spacing w:after="0" w:line="235" w:lineRule="auto"/>
        <w:tabs>
          <w:tab w:leader="none" w:pos="1753" w:val="left"/>
        </w:tabs>
        <w:numPr>
          <w:ilvl w:val="0"/>
          <w:numId w:val="9"/>
        </w:numPr>
        <w:rPr>
          <w:rFonts w:ascii="Arial" w:cs="Arial" w:eastAsia="Arial" w:hAnsi="Arial"/>
          <w:sz w:val="19"/>
          <w:szCs w:val="19"/>
          <w:color w:val="auto"/>
        </w:rPr>
      </w:pPr>
      <w:r>
        <w:rPr>
          <w:rFonts w:ascii="Arial" w:cs="Arial" w:eastAsia="Arial" w:hAnsi="Arial"/>
          <w:sz w:val="19"/>
          <w:szCs w:val="19"/>
          <w:color w:val="auto"/>
        </w:rPr>
        <w:t>acknowledges and agrees that all of the Loan Documents to which such Subsidiary Guarantor is a party or is otherwise bound shall continue in full force and effect and that all of such Subsidiary Guarantor’s obligations thereunder shall be valid and enforceable and shall not be impaired or limited by the execution or effectiveness of this Amendment; and</w:t>
      </w:r>
    </w:p>
    <w:p>
      <w:pPr>
        <w:spacing w:after="0" w:line="168" w:lineRule="exact"/>
        <w:rPr>
          <w:rFonts w:ascii="Arial" w:cs="Arial" w:eastAsia="Arial" w:hAnsi="Arial"/>
          <w:sz w:val="19"/>
          <w:szCs w:val="19"/>
          <w:color w:val="auto"/>
        </w:rPr>
      </w:pPr>
    </w:p>
    <w:p>
      <w:pPr>
        <w:jc w:val="both"/>
        <w:ind w:left="660" w:firstLine="644"/>
        <w:spacing w:after="0" w:line="252" w:lineRule="auto"/>
        <w:tabs>
          <w:tab w:leader="none" w:pos="1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acknowledges and agrees that (i) notwithstanding the conditions to effectiveness set forth in this Amendment, such Subsidiary Guarantor is not required by the terms of the Term Loan Agreement or any other Loan Document to which such Subsidiary Guarantor is a party to consent to the amendments to the Term Loan Agreement effected pursuant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NAI-1534445386v5</w:t>
      </w:r>
    </w:p>
    <w:p>
      <w:pPr>
        <w:sectPr>
          <w:pgSz w:w="11900" w:h="16838" w:orient="portrait"/>
          <w:cols w:equalWidth="0" w:num="1">
            <w:col w:w="11240"/>
          </w:cols>
          <w:pgMar w:left="320" w:top="1405" w:right="339" w:bottom="1440" w:gutter="0" w:footer="0" w:header="0"/>
        </w:sectPr>
      </w:pPr>
    </w:p>
    <w:bookmarkStart w:id="31" w:name="page32"/>
    <w:bookmarkEnd w:id="31"/>
    <w:p>
      <w:pPr>
        <w:ind w:left="660"/>
        <w:spacing w:after="0" w:line="236" w:lineRule="auto"/>
        <w:rPr>
          <w:sz w:val="20"/>
          <w:szCs w:val="20"/>
          <w:color w:val="auto"/>
        </w:rPr>
      </w:pPr>
      <w:r>
        <w:rPr>
          <w:rFonts w:ascii="Arial" w:cs="Arial" w:eastAsia="Arial" w:hAnsi="Arial"/>
          <w:sz w:val="20"/>
          <w:szCs w:val="20"/>
          <w:color w:val="auto"/>
        </w:rPr>
        <w:t>and (ii) nothing in the Term Loan Agreement, this Amendment or any other Loan Document shall be deemed to require the consent of such Subsidiary Guarantor to any future amendments or modifications to the Term Loan Agreement.</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together with the Term Loan Agreement and the other Loan Documents, integrates all the terms and conditions mentioned herein or incidental hereto and supersedes all oral representations and negotiations and prior writings with respect to the subject matter hereof.</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5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AND THE OTHER LOAN DOCUMENTS AND THE RIGHTS AND OBLIGATIONS OF THE PARTIES HEREUNDER AND THEREUNDER SHALL BE CONSTRUED IN ACCORDANCE WITH AND BE</w:t>
      </w:r>
    </w:p>
    <w:p>
      <w:pPr>
        <w:jc w:val="both"/>
        <w:spacing w:after="0" w:line="215" w:lineRule="auto"/>
        <w:rPr>
          <w:sz w:val="20"/>
          <w:szCs w:val="20"/>
          <w:color w:val="auto"/>
        </w:rPr>
      </w:pPr>
      <w:r>
        <w:rPr>
          <w:rFonts w:ascii="Arial" w:cs="Arial" w:eastAsia="Arial" w:hAnsi="Arial"/>
          <w:sz w:val="19"/>
          <w:szCs w:val="19"/>
          <w:color w:val="auto"/>
        </w:rPr>
        <w:t>GOVERNED BY THE LAW OF THE STATE OF NEW YORK. TO THE FULLEST EXTENT PERMITTED BY LAW, THE BORROWER HEREBY UNCONDITIONALLY AND IRREVOCABLY WAIVES ANY CLAIM TO ASSERT THAT THE LAW OF ANY</w:t>
      </w:r>
    </w:p>
    <w:p>
      <w:pPr>
        <w:jc w:val="both"/>
        <w:spacing w:after="0" w:line="227" w:lineRule="auto"/>
        <w:rPr>
          <w:sz w:val="20"/>
          <w:szCs w:val="20"/>
          <w:color w:val="auto"/>
        </w:rPr>
      </w:pPr>
      <w:r>
        <w:rPr>
          <w:rFonts w:ascii="Arial" w:cs="Arial" w:eastAsia="Arial" w:hAnsi="Arial"/>
          <w:sz w:val="20"/>
          <w:szCs w:val="20"/>
          <w:color w:val="auto"/>
        </w:rPr>
        <w:t>JURISDICTION OTHER THAN THE STATE OF NEW YORK GOVERNS THIS AMENDMENT OR ANY OF THE OTHER LOAN DOCUMENTS.</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Jurisdiction</w:t>
      </w:r>
      <w:r>
        <w:rPr>
          <w:rFonts w:ascii="Arial" w:cs="Arial" w:eastAsia="Arial" w:hAnsi="Arial"/>
          <w:sz w:val="18"/>
          <w:szCs w:val="18"/>
          <w:color w:val="auto"/>
        </w:rPr>
        <w:t>. THE BORROWER HEREBY IRREVOCABLY AND UNCONDITIONALLY SUBMITS, FOR ITSELF AND ITS PROPERTY, TO THE EXCLUSIVE JURISDICTION OF THE SUPREME COURT OF THE STATE OF NEW YORK SITTING</w:t>
      </w:r>
    </w:p>
    <w:p>
      <w:pPr>
        <w:jc w:val="both"/>
        <w:spacing w:after="0" w:line="204" w:lineRule="auto"/>
        <w:rPr>
          <w:sz w:val="20"/>
          <w:szCs w:val="20"/>
          <w:color w:val="auto"/>
        </w:rPr>
      </w:pPr>
      <w:r>
        <w:rPr>
          <w:rFonts w:ascii="Arial" w:cs="Arial" w:eastAsia="Arial" w:hAnsi="Arial"/>
          <w:sz w:val="20"/>
          <w:szCs w:val="20"/>
          <w:color w:val="auto"/>
        </w:rPr>
        <w:t>IN NEW YORK COUNTY, BOROUGH OF MANHATTAN, AND OF THE UNITED STATES DISTRICT COURT FOR THE SOUTHERN DISTRICT OF NEW YORK, AND ANY APPELLATE COURT FROM ANY THEREOF, IN ANY ACTION OR</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PROCEEDING ARISING OUT OF OR RELATING TO THIS AMENDMENT OR ANY OTHER LOAN DOCUMENT, OR FOR RECOGNITION OR ENFORCEMENT OF ANY JUDGMENT, AND EACH OF THE PARTIES HERETO HEREBY IRREVOCABLY</w:t>
      </w:r>
    </w:p>
    <w:p>
      <w:pPr>
        <w:spacing w:after="0" w:line="211" w:lineRule="auto"/>
        <w:rPr>
          <w:sz w:val="20"/>
          <w:szCs w:val="20"/>
          <w:color w:val="auto"/>
        </w:rPr>
      </w:pPr>
      <w:r>
        <w:rPr>
          <w:rFonts w:ascii="Arial" w:cs="Arial" w:eastAsia="Arial" w:hAnsi="Arial"/>
          <w:sz w:val="20"/>
          <w:szCs w:val="20"/>
          <w:color w:val="auto"/>
        </w:rPr>
        <w:t>AND UNCONDITIONALLY AGREES THAT ALL CLAIMS IN RESPECT OF ANY SUCH ACTION OR PROCEEDING MAY BE</w:t>
      </w:r>
    </w:p>
    <w:p>
      <w:pPr>
        <w:jc w:val="both"/>
        <w:spacing w:after="0" w:line="215" w:lineRule="auto"/>
        <w:rPr>
          <w:sz w:val="20"/>
          <w:szCs w:val="20"/>
          <w:color w:val="auto"/>
        </w:rPr>
      </w:pPr>
      <w:r>
        <w:rPr>
          <w:rFonts w:ascii="Arial" w:cs="Arial" w:eastAsia="Arial" w:hAnsi="Arial"/>
          <w:sz w:val="19"/>
          <w:szCs w:val="19"/>
          <w:color w:val="auto"/>
        </w:rPr>
        <w:t>HEARD AND DETERMINED IN SUCH NEW YORK STATE OR, TO THE EXTENT PERMITTED BY LAW, IN SUCH FEDERAL COURT. EACH OF THE PARTIES HERETO AGREES THAT A FINAL JUDGMENT IN ANY SUCH ACTION OR PROCEEDING</w:t>
      </w:r>
    </w:p>
    <w:p>
      <w:pPr>
        <w:spacing w:after="0" w:line="222" w:lineRule="auto"/>
        <w:rPr>
          <w:sz w:val="20"/>
          <w:szCs w:val="20"/>
          <w:color w:val="auto"/>
        </w:rPr>
      </w:pPr>
      <w:r>
        <w:rPr>
          <w:rFonts w:ascii="Arial" w:cs="Arial" w:eastAsia="Arial" w:hAnsi="Arial"/>
          <w:sz w:val="19"/>
          <w:szCs w:val="19"/>
          <w:color w:val="auto"/>
        </w:rPr>
        <w:t>SHALL BE CONCLUSIVE AND MAY BE ENFORCED IN OTHER JURISDICTIONS BY SUIT ON THE JUDGMENT OR IN ANY</w:t>
      </w:r>
    </w:p>
    <w:p>
      <w:pPr>
        <w:jc w:val="both"/>
        <w:spacing w:after="0" w:line="204" w:lineRule="auto"/>
        <w:rPr>
          <w:sz w:val="20"/>
          <w:szCs w:val="20"/>
          <w:color w:val="auto"/>
        </w:rPr>
      </w:pPr>
      <w:r>
        <w:rPr>
          <w:rFonts w:ascii="Arial" w:cs="Arial" w:eastAsia="Arial" w:hAnsi="Arial"/>
          <w:sz w:val="20"/>
          <w:szCs w:val="20"/>
          <w:color w:val="auto"/>
        </w:rPr>
        <w:t>OTHER MANNER PROVIDED BY LAW. NOTHING IN THIS AMENDMENT SHALL AFFECT ANY RIGHT THAT THE ADMINISTRATIVE AGENT, THE ISSUING BANK OR ANY LENDER MAY OTHERWISE HAVE TO BRING ANY ACTION OR</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PROCEEDING RELATING TO THIS AMENDMENT OR ANY OF THE OTHER LOAN DOCUMENTS AGAINST THE BORROWER OR ITS PROPERTIES IN THE COURTS OF ANY JURISDICTION.</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JURY TRIAL WAIVER</w:t>
      </w:r>
      <w:r>
        <w:rPr>
          <w:rFonts w:ascii="Arial" w:cs="Arial" w:eastAsia="Arial" w:hAnsi="Arial"/>
          <w:sz w:val="19"/>
          <w:szCs w:val="19"/>
          <w:color w:val="auto"/>
        </w:rPr>
        <w:t>. EACH OF THE PARTIES TO THIS AMENDMENT HEREBY IRREVOCABLY WAIVES ALL RIGHT TO A TRIAL BY JURY IN ANY ACTION, PROCEEDING OR COUNTERCLAIM ARISING OUT OF OR RELATING TO</w:t>
      </w:r>
    </w:p>
    <w:p>
      <w:pPr>
        <w:jc w:val="both"/>
        <w:spacing w:after="0" w:line="215" w:lineRule="auto"/>
        <w:rPr>
          <w:sz w:val="20"/>
          <w:szCs w:val="20"/>
          <w:color w:val="auto"/>
        </w:rPr>
      </w:pPr>
      <w:r>
        <w:rPr>
          <w:rFonts w:ascii="Arial" w:cs="Arial" w:eastAsia="Arial" w:hAnsi="Arial"/>
          <w:sz w:val="19"/>
          <w:szCs w:val="19"/>
          <w:color w:val="auto"/>
        </w:rPr>
        <w:t>THIS AMENDMENT OR ANY OF THE OTHER LOAN DOCUMENTS (INCLUDING, WITHOUT LIMITATION, ANY AMENDMENTS, WAIVERS OR OTHER MODIFICATIONS RELATING TO ANY OF THE FOREGOING), OR THE TRANSACTIONS</w:t>
      </w:r>
    </w:p>
    <w:p>
      <w:pPr>
        <w:spacing w:after="0"/>
        <w:rPr>
          <w:sz w:val="20"/>
          <w:szCs w:val="20"/>
          <w:color w:val="auto"/>
        </w:rPr>
      </w:pPr>
      <w:r>
        <w:rPr>
          <w:rFonts w:ascii="Arial" w:cs="Arial" w:eastAsia="Arial" w:hAnsi="Arial"/>
          <w:sz w:val="20"/>
          <w:szCs w:val="20"/>
          <w:color w:val="auto"/>
        </w:rPr>
        <w:t>CONTEMPLATED HEREBY OR THEREBY.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NAI-1534445386v5</w:t>
      </w:r>
    </w:p>
    <w:p>
      <w:pPr>
        <w:sectPr>
          <w:pgSz w:w="11900" w:h="16838" w:orient="portrait"/>
          <w:cols w:equalWidth="0" w:num="1">
            <w:col w:w="11240"/>
          </w:cols>
          <w:pgMar w:left="320" w:top="1405" w:right="339" w:bottom="1440" w:gutter="0" w:footer="0" w:header="0"/>
        </w:sectPr>
      </w:pPr>
    </w:p>
    <w:bookmarkStart w:id="32" w:name="page33"/>
    <w:bookmarkEnd w:id="32"/>
    <w:p>
      <w:pPr>
        <w:ind w:left="180"/>
        <w:spacing w:after="0"/>
        <w:rPr>
          <w:sz w:val="20"/>
          <w:szCs w:val="20"/>
          <w:color w:val="auto"/>
        </w:rPr>
      </w:pPr>
      <w:r>
        <w:rPr>
          <w:rFonts w:ascii="Arial" w:cs="Arial" w:eastAsia="Arial" w:hAnsi="Arial"/>
          <w:sz w:val="18"/>
          <w:szCs w:val="18"/>
          <w:color w:val="auto"/>
        </w:rPr>
        <w:t>IN WITNESS WHEREOF, this Amendment has been duly executed and delivered as of the date first above written.</w:t>
      </w:r>
    </w:p>
    <w:p>
      <w:pPr>
        <w:spacing w:after="0" w:line="30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26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Brian G. Andrews</w:t>
      </w:r>
    </w:p>
    <w:p>
      <w:pPr>
        <w:spacing w:after="0" w:line="20" w:lineRule="exact"/>
        <w:rPr>
          <w:sz w:val="20"/>
          <w:szCs w:val="20"/>
          <w:color w:val="auto"/>
        </w:rPr>
      </w:pPr>
    </w:p>
    <w:p>
      <w:pPr>
        <w:ind w:left="5240"/>
        <w:spacing w:after="0"/>
        <w:tabs>
          <w:tab w:leader="none" w:pos="5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Brian G. Andrews</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Executive Vice President, Chief</w:t>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[Signtaure Page – Amendment No. 1]</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NAI-1534445386v5</w:t>
      </w:r>
    </w:p>
    <w:p>
      <w:pPr>
        <w:sectPr>
          <w:pgSz w:w="11900" w:h="16838" w:orient="portrait"/>
          <w:cols w:equalWidth="0" w:num="1">
            <w:col w:w="10119"/>
          </w:cols>
          <w:pgMar w:left="340" w:top="1405" w:right="1440" w:bottom="1440" w:gutter="0" w:footer="0" w:header="0"/>
        </w:sectPr>
      </w:pPr>
    </w:p>
    <w:bookmarkStart w:id="33" w:name="page34"/>
    <w:bookmarkEnd w:id="33"/>
    <w:p>
      <w:pPr>
        <w:spacing w:after="0" w:line="263"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PNC BANK, NATIONAL ASSOCIATION,</w:t>
      </w:r>
    </w:p>
    <w:p>
      <w:pPr>
        <w:spacing w:after="0" w:line="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as the Administrative Agent</w:t>
      </w:r>
    </w:p>
    <w:p>
      <w:pPr>
        <w:spacing w:after="0" w:line="23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/s/ Stephanie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-14605</wp:posOffset>
            </wp:positionV>
            <wp:extent cx="9594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Name: Stephanie Gray</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[Signtaure Page – Amendment No. 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NAI-1534445386v5</w:t>
      </w:r>
    </w:p>
    <w:p>
      <w:pPr>
        <w:sectPr>
          <w:pgSz w:w="11900" w:h="16838" w:orient="portrait"/>
          <w:cols w:equalWidth="0" w:num="1">
            <w:col w:w="10119"/>
          </w:cols>
          <w:pgMar w:left="340" w:top="1440" w:right="1440" w:bottom="1440" w:gutter="0" w:footer="0" w:header="0"/>
        </w:sectPr>
      </w:pPr>
    </w:p>
    <w:bookmarkStart w:id="34" w:name="page35"/>
    <w:bookmarkEnd w:id="34"/>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Each of the undersigned Subsidiary Guarantors acknowledges</w:t>
      </w:r>
    </w:p>
    <w:p>
      <w:pPr>
        <w:ind w:left="160"/>
        <w:spacing w:after="0"/>
        <w:rPr>
          <w:sz w:val="20"/>
          <w:szCs w:val="20"/>
          <w:color w:val="auto"/>
        </w:rPr>
      </w:pPr>
      <w:r>
        <w:rPr>
          <w:rFonts w:ascii="Arial" w:cs="Arial" w:eastAsia="Arial" w:hAnsi="Arial"/>
          <w:sz w:val="20"/>
          <w:szCs w:val="20"/>
          <w:color w:val="auto"/>
        </w:rPr>
        <w:t>the terms of and consents to the foregoing:</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COOPERVISION, INC.</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By: /s/ Brian G. Andrews</w:t>
      </w:r>
    </w:p>
    <w:p>
      <w:pPr>
        <w:ind w:left="360"/>
        <w:spacing w:after="0" w:line="211" w:lineRule="auto"/>
        <w:rPr>
          <w:sz w:val="20"/>
          <w:szCs w:val="20"/>
          <w:color w:val="auto"/>
        </w:rPr>
      </w:pPr>
      <w:r>
        <w:rPr>
          <w:rFonts w:ascii="Arial" w:cs="Arial" w:eastAsia="Arial" w:hAnsi="Arial"/>
          <w:sz w:val="20"/>
          <w:szCs w:val="20"/>
          <w:color w:val="auto"/>
        </w:rPr>
        <w:t>Name: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-127000</wp:posOffset>
            </wp:positionV>
            <wp:extent cx="10991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Title: Executive Vice President</w:t>
      </w:r>
    </w:p>
    <w:p>
      <w:pPr>
        <w:spacing w:after="0" w:line="4" w:lineRule="exact"/>
        <w:rPr>
          <w:sz w:val="20"/>
          <w:szCs w:val="20"/>
          <w:color w:val="auto"/>
        </w:rPr>
      </w:pPr>
    </w:p>
    <w:p>
      <w:pPr>
        <w:ind w:left="1020" w:hanging="197"/>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Treasurer</w:t>
      </w:r>
    </w:p>
    <w:p>
      <w:pPr>
        <w:spacing w:after="0" w:line="275" w:lineRule="exact"/>
        <w:rPr>
          <w:rFonts w:ascii="Arial" w:cs="Arial" w:eastAsia="Arial" w:hAnsi="Arial"/>
          <w:sz w:val="20"/>
          <w:szCs w:val="20"/>
          <w:color w:val="auto"/>
        </w:rPr>
      </w:pPr>
    </w:p>
    <w:p>
      <w:pPr>
        <w:ind w:left="160"/>
        <w:spacing w:after="0"/>
        <w:rPr>
          <w:rFonts w:ascii="Arial" w:cs="Arial" w:eastAsia="Arial" w:hAnsi="Arial"/>
          <w:sz w:val="20"/>
          <w:szCs w:val="20"/>
          <w:color w:val="auto"/>
        </w:rPr>
      </w:pPr>
      <w:r>
        <w:rPr>
          <w:rFonts w:ascii="Arial" w:cs="Arial" w:eastAsia="Arial" w:hAnsi="Arial"/>
          <w:sz w:val="20"/>
          <w:szCs w:val="20"/>
          <w:color w:val="auto"/>
        </w:rPr>
        <w:t>COOPERSURGICAL, INC.</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By: /s/ Brian G. Andrews</w:t>
      </w:r>
    </w:p>
    <w:p>
      <w:pPr>
        <w:ind w:left="360"/>
        <w:spacing w:after="0" w:line="211" w:lineRule="auto"/>
        <w:rPr>
          <w:sz w:val="20"/>
          <w:szCs w:val="20"/>
          <w:color w:val="auto"/>
        </w:rPr>
      </w:pPr>
      <w:r>
        <w:rPr>
          <w:rFonts w:ascii="Arial" w:cs="Arial" w:eastAsia="Arial" w:hAnsi="Arial"/>
          <w:sz w:val="20"/>
          <w:szCs w:val="20"/>
          <w:color w:val="auto"/>
        </w:rPr>
        <w:t>Name: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-127000</wp:posOffset>
            </wp:positionV>
            <wp:extent cx="10991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Title: Executive Vice President</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[Signtaure Page – Amendment No. 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NAI-1534445386v5</w:t>
      </w:r>
    </w:p>
    <w:p>
      <w:pPr>
        <w:sectPr>
          <w:pgSz w:w="11900" w:h="16838" w:orient="portrait"/>
          <w:cols w:equalWidth="0" w:num="1">
            <w:col w:w="10119"/>
          </w:cols>
          <w:pgMar w:left="340" w:top="1440" w:right="1440" w:bottom="1440" w:gutter="0" w:footer="0" w:header="0"/>
        </w:sectPr>
      </w:pPr>
    </w:p>
    <w:bookmarkStart w:id="35" w:name="page36"/>
    <w:bookmarkEnd w:id="35"/>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u w:val="single" w:color="auto"/>
          <w:color w:val="auto"/>
        </w:rPr>
        <w:t>Annex I</w:t>
      </w: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Amended Term Loan Agreement</w:t>
      </w: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NAI-1534445386v5</w:t>
      </w:r>
    </w:p>
    <w:p>
      <w:pPr>
        <w:sectPr>
          <w:pgSz w:w="11900" w:h="16838" w:orient="portrait"/>
          <w:cols w:equalWidth="0" w:num="1">
            <w:col w:w="10119"/>
          </w:cols>
          <w:pgMar w:left="340" w:top="1440"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i w:val="1"/>
          <w:iCs w:val="1"/>
          <w:u w:val="single" w:color="auto"/>
          <w:color w:val="0000FF"/>
        </w:rPr>
        <w:t>AS AMENDED BY AMENDMENT NO. 3, DATED AS OF FEBRUARY 1, 2023</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FF0000"/>
          <w:strike w:val="1"/>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TERM LOAN AGREEMENT</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dated as of</w:t>
      </w:r>
    </w:p>
    <w:p>
      <w:pPr>
        <w:jc w:val="center"/>
        <w:spacing w:after="0"/>
        <w:rPr>
          <w:sz w:val="20"/>
          <w:szCs w:val="20"/>
          <w:color w:val="auto"/>
        </w:rPr>
      </w:pPr>
      <w:r>
        <w:rPr>
          <w:rFonts w:ascii="Arial" w:cs="Arial" w:eastAsia="Arial" w:hAnsi="Arial"/>
          <w:sz w:val="20"/>
          <w:szCs w:val="20"/>
          <w:color w:val="auto"/>
        </w:rPr>
        <w:t>December 17,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COOPER COMPANIES, INC.,</w:t>
      </w:r>
    </w:p>
    <w:p>
      <w:pPr>
        <w:jc w:val="center"/>
        <w:spacing w:after="0"/>
        <w:rPr>
          <w:sz w:val="20"/>
          <w:szCs w:val="20"/>
          <w:color w:val="auto"/>
        </w:rPr>
      </w:pPr>
      <w:r>
        <w:rPr>
          <w:rFonts w:ascii="Arial" w:cs="Arial" w:eastAsia="Arial" w:hAnsi="Arial"/>
          <w:sz w:val="20"/>
          <w:szCs w:val="20"/>
          <w:color w:val="auto"/>
        </w:rPr>
        <w:t>as Borrower,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NAMED HEREIN,</w:t>
      </w:r>
    </w:p>
    <w:p>
      <w:pPr>
        <w:jc w:val="center"/>
        <w:spacing w:after="0"/>
        <w:rPr>
          <w:sz w:val="20"/>
          <w:szCs w:val="20"/>
          <w:color w:val="auto"/>
        </w:rPr>
      </w:pPr>
      <w:r>
        <w:rPr>
          <w:rFonts w:ascii="Arial" w:cs="Arial" w:eastAsia="Arial" w:hAnsi="Arial"/>
          <w:sz w:val="20"/>
          <w:szCs w:val="20"/>
          <w:color w:val="auto"/>
        </w:rPr>
        <w:t>as Lenders,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PNC BANK, NATIONAL ASSOCIATION,</w:t>
      </w:r>
    </w:p>
    <w:p>
      <w:pPr>
        <w:jc w:val="cente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BANK OF AMERICA, N.A.,</w:t>
      </w:r>
    </w:p>
    <w:p>
      <w:pPr>
        <w:ind w:left="4880"/>
        <w:spacing w:after="0" w:line="211" w:lineRule="auto"/>
        <w:rPr>
          <w:sz w:val="20"/>
          <w:szCs w:val="20"/>
          <w:color w:val="auto"/>
        </w:rPr>
      </w:pPr>
      <w:r>
        <w:rPr>
          <w:rFonts w:ascii="Arial" w:cs="Arial" w:eastAsia="Arial" w:hAnsi="Arial"/>
          <w:sz w:val="20"/>
          <w:szCs w:val="20"/>
          <w:color w:val="auto"/>
        </w:rPr>
        <w:t>CITIBANK, N.A.,</w:t>
      </w:r>
    </w:p>
    <w:p>
      <w:pPr>
        <w:ind w:left="4620"/>
        <w:spacing w:after="0" w:line="197" w:lineRule="auto"/>
        <w:rPr>
          <w:sz w:val="20"/>
          <w:szCs w:val="20"/>
          <w:color w:val="auto"/>
        </w:rPr>
      </w:pPr>
      <w:r>
        <w:rPr>
          <w:rFonts w:ascii="Arial" w:cs="Arial" w:eastAsia="Arial" w:hAnsi="Arial"/>
          <w:sz w:val="20"/>
          <w:szCs w:val="20"/>
          <w:color w:val="auto"/>
        </w:rPr>
        <w:t>CITIZENS BANK, N.A.,</w:t>
      </w:r>
    </w:p>
    <w:p>
      <w:pPr>
        <w:ind w:left="3840"/>
        <w:spacing w:after="0" w:line="211" w:lineRule="auto"/>
        <w:rPr>
          <w:sz w:val="20"/>
          <w:szCs w:val="20"/>
          <w:color w:val="auto"/>
        </w:rPr>
      </w:pPr>
      <w:r>
        <w:rPr>
          <w:rFonts w:ascii="Arial" w:cs="Arial" w:eastAsia="Arial" w:hAnsi="Arial"/>
          <w:sz w:val="20"/>
          <w:szCs w:val="20"/>
          <w:color w:val="auto"/>
        </w:rPr>
        <w:t>DNB BANK ASA, NEW YORK BRANCH,</w:t>
      </w:r>
    </w:p>
    <w:p>
      <w:pPr>
        <w:ind w:left="4500"/>
        <w:spacing w:after="0" w:line="212" w:lineRule="auto"/>
        <w:rPr>
          <w:sz w:val="20"/>
          <w:szCs w:val="20"/>
          <w:color w:val="auto"/>
        </w:rPr>
      </w:pPr>
      <w:r>
        <w:rPr>
          <w:rFonts w:ascii="Arial" w:cs="Arial" w:eastAsia="Arial" w:hAnsi="Arial"/>
          <w:sz w:val="20"/>
          <w:szCs w:val="20"/>
          <w:color w:val="auto"/>
        </w:rPr>
        <w:t>MIZUHO BANK, LTD. and</w:t>
      </w:r>
    </w:p>
    <w:p>
      <w:pPr>
        <w:ind w:left="3380"/>
        <w:spacing w:after="0" w:line="197" w:lineRule="auto"/>
        <w:rPr>
          <w:sz w:val="20"/>
          <w:szCs w:val="20"/>
          <w:color w:val="auto"/>
        </w:rPr>
      </w:pPr>
      <w:r>
        <w:rPr>
          <w:rFonts w:ascii="Arial" w:cs="Arial" w:eastAsia="Arial" w:hAnsi="Arial"/>
          <w:sz w:val="20"/>
          <w:szCs w:val="20"/>
          <w:color w:val="auto"/>
        </w:rPr>
        <w:t>WELLS FARGO BANK, NATIONAL ASSOCIATION,</w:t>
      </w:r>
    </w:p>
    <w:p>
      <w:pPr>
        <w:jc w:val="center"/>
        <w:spacing w:after="0"/>
        <w:rPr>
          <w:sz w:val="20"/>
          <w:szCs w:val="20"/>
          <w:color w:val="auto"/>
        </w:rPr>
      </w:pPr>
      <w:r>
        <w:rPr>
          <w:rFonts w:ascii="Arial" w:cs="Arial" w:eastAsia="Arial" w:hAnsi="Arial"/>
          <w:sz w:val="20"/>
          <w:szCs w:val="20"/>
          <w:color w:val="auto"/>
        </w:rPr>
        <w:t>as Documentation Agents,</w:t>
      </w:r>
    </w:p>
    <w:p>
      <w:pPr>
        <w:spacing w:after="0" w:line="20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91"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PNC CAPITAL MARKETS LLC,</w:t>
      </w:r>
    </w:p>
    <w:p>
      <w:pPr>
        <w:ind w:left="3960"/>
        <w:spacing w:after="0" w:line="211" w:lineRule="auto"/>
        <w:rPr>
          <w:sz w:val="20"/>
          <w:szCs w:val="20"/>
          <w:color w:val="auto"/>
        </w:rPr>
      </w:pPr>
      <w:r>
        <w:rPr>
          <w:rFonts w:ascii="Arial" w:cs="Arial" w:eastAsia="Arial" w:hAnsi="Arial"/>
          <w:sz w:val="20"/>
          <w:szCs w:val="20"/>
          <w:color w:val="auto"/>
        </w:rPr>
        <w:t>KEYBANC CAPITAL MARKETS INC.,</w:t>
      </w:r>
    </w:p>
    <w:p>
      <w:pPr>
        <w:ind w:left="4380"/>
        <w:spacing w:after="0" w:line="197" w:lineRule="auto"/>
        <w:rPr>
          <w:sz w:val="20"/>
          <w:szCs w:val="20"/>
          <w:color w:val="auto"/>
        </w:rPr>
      </w:pPr>
      <w:r>
        <w:rPr>
          <w:rFonts w:ascii="Arial" w:cs="Arial" w:eastAsia="Arial" w:hAnsi="Arial"/>
          <w:sz w:val="20"/>
          <w:szCs w:val="20"/>
          <w:color w:val="auto"/>
        </w:rPr>
        <w:t>TD SECURITIES (USA) LLC,</w:t>
      </w:r>
    </w:p>
    <w:p>
      <w:pPr>
        <w:jc w:val="center"/>
        <w:spacing w:after="0" w:line="211" w:lineRule="auto"/>
        <w:rPr>
          <w:sz w:val="20"/>
          <w:szCs w:val="20"/>
          <w:color w:val="auto"/>
        </w:rPr>
      </w:pPr>
      <w:r>
        <w:rPr>
          <w:rFonts w:ascii="Arial" w:cs="Arial" w:eastAsia="Arial" w:hAnsi="Arial"/>
          <w:sz w:val="20"/>
          <w:szCs w:val="20"/>
          <w:color w:val="auto"/>
        </w:rPr>
        <w:t>THE BANK OF NOVA SCOTIA, and</w:t>
      </w:r>
    </w:p>
    <w:p>
      <w:pPr>
        <w:jc w:val="center"/>
        <w:spacing w:after="0" w:line="212" w:lineRule="auto"/>
        <w:rPr>
          <w:sz w:val="20"/>
          <w:szCs w:val="20"/>
          <w:color w:val="auto"/>
        </w:rPr>
      </w:pPr>
      <w:r>
        <w:rPr>
          <w:rFonts w:ascii="Arial" w:cs="Arial" w:eastAsia="Arial" w:hAnsi="Arial"/>
          <w:sz w:val="20"/>
          <w:szCs w:val="20"/>
          <w:color w:val="auto"/>
        </w:rPr>
        <w:t>U.S. BANK NATIONAL ASSOCIATION,</w:t>
      </w:r>
    </w:p>
    <w:p>
      <w:pPr>
        <w:jc w:val="center"/>
        <w:spacing w:after="0"/>
        <w:rPr>
          <w:sz w:val="20"/>
          <w:szCs w:val="20"/>
          <w:color w:val="auto"/>
        </w:rPr>
      </w:pPr>
      <w:r>
        <w:rPr>
          <w:rFonts w:ascii="Arial" w:cs="Arial" w:eastAsia="Arial" w:hAnsi="Arial"/>
          <w:sz w:val="20"/>
          <w:szCs w:val="20"/>
          <w:color w:val="auto"/>
        </w:rPr>
        <w:t>as Joint Bookrunners, Joint Lead Arrangers and Syndication Agents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$1,500,000,000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08" w:right="33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20" w:type="dxa"/>
            <w:vAlign w:val="bottom"/>
          </w:tcPr>
          <w:p>
            <w:pPr>
              <w:spacing w:after="0"/>
              <w:rPr>
                <w:sz w:val="20"/>
                <w:szCs w:val="20"/>
                <w:color w:val="auto"/>
              </w:rPr>
            </w:pPr>
            <w:r>
              <w:rPr>
                <w:rFonts w:ascii="Arial" w:cs="Arial" w:eastAsia="Arial" w:hAnsi="Arial"/>
                <w:sz w:val="20"/>
                <w:szCs w:val="20"/>
                <w:color w:val="auto"/>
              </w:rPr>
              <w:t>ARTICLE I</w:t>
            </w:r>
          </w:p>
        </w:tc>
        <w:tc>
          <w:tcPr>
            <w:tcW w:w="1380" w:type="dxa"/>
            <w:vAlign w:val="bottom"/>
            <w:gridSpan w:val="4"/>
          </w:tcPr>
          <w:p>
            <w:pPr>
              <w:ind w:left="20"/>
              <w:spacing w:after="0"/>
              <w:rPr>
                <w:sz w:val="20"/>
                <w:szCs w:val="20"/>
                <w:color w:val="auto"/>
              </w:rPr>
            </w:pPr>
            <w:r>
              <w:rPr>
                <w:rFonts w:ascii="Arial" w:cs="Arial" w:eastAsia="Arial" w:hAnsi="Arial"/>
                <w:sz w:val="20"/>
                <w:szCs w:val="20"/>
                <w:color w:val="auto"/>
              </w:rPr>
              <w:t>DEFINITIONS</w:t>
            </w:r>
          </w:p>
        </w:tc>
        <w:tc>
          <w:tcPr>
            <w:tcW w:w="6020" w:type="dxa"/>
            <w:vAlign w:val="bottom"/>
            <w:gridSpan w:val="86"/>
          </w:tcPr>
          <w:p>
            <w:pPr>
              <w:jc w:val="right"/>
              <w:ind w:right="574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9"/>
        </w:trPr>
        <w:tc>
          <w:tcPr>
            <w:tcW w:w="1840" w:type="dxa"/>
            <w:vAlign w:val="bottom"/>
            <w:gridSpan w:val="3"/>
          </w:tcPr>
          <w:p>
            <w:pPr>
              <w:ind w:left="660"/>
              <w:spacing w:after="0"/>
              <w:rPr>
                <w:sz w:val="20"/>
                <w:szCs w:val="20"/>
                <w:color w:val="auto"/>
              </w:rPr>
            </w:pPr>
            <w:r>
              <w:rPr>
                <w:rFonts w:ascii="Arial" w:cs="Arial" w:eastAsia="Arial" w:hAnsi="Arial"/>
                <w:sz w:val="20"/>
                <w:szCs w:val="20"/>
                <w:color w:val="auto"/>
                <w:w w:val="95"/>
              </w:rPr>
              <w:t>Section 1.01</w:t>
            </w:r>
          </w:p>
        </w:tc>
        <w:tc>
          <w:tcPr>
            <w:tcW w:w="1320" w:type="dxa"/>
            <w:vAlign w:val="bottom"/>
            <w:gridSpan w:val="14"/>
          </w:tcPr>
          <w:p>
            <w:pPr>
              <w:spacing w:after="0"/>
              <w:rPr>
                <w:sz w:val="20"/>
                <w:szCs w:val="20"/>
                <w:color w:val="auto"/>
              </w:rPr>
            </w:pPr>
            <w:r>
              <w:rPr>
                <w:rFonts w:ascii="Arial" w:cs="Arial" w:eastAsia="Arial" w:hAnsi="Arial"/>
                <w:sz w:val="20"/>
                <w:szCs w:val="20"/>
                <w:color w:val="auto"/>
                <w:w w:val="99"/>
              </w:rPr>
              <w:t>Defined Terms</w:t>
            </w:r>
          </w:p>
        </w:tc>
        <w:tc>
          <w:tcPr>
            <w:tcW w:w="5360" w:type="dxa"/>
            <w:vAlign w:val="bottom"/>
            <w:gridSpan w:val="74"/>
          </w:tcPr>
          <w:p>
            <w:pPr>
              <w:jc w:val="right"/>
              <w:ind w:right="510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3"/>
        </w:trPr>
        <w:tc>
          <w:tcPr>
            <w:tcW w:w="1740" w:type="dxa"/>
            <w:vAlign w:val="bottom"/>
            <w:gridSpan w:val="2"/>
          </w:tcPr>
          <w:p>
            <w:pPr>
              <w:ind w:left="660"/>
              <w:spacing w:after="0" w:line="203" w:lineRule="exact"/>
              <w:rPr>
                <w:sz w:val="20"/>
                <w:szCs w:val="20"/>
                <w:color w:val="auto"/>
              </w:rPr>
            </w:pPr>
            <w:r>
              <w:rPr>
                <w:rFonts w:ascii="Arial" w:cs="Arial" w:eastAsia="Arial" w:hAnsi="Arial"/>
                <w:sz w:val="20"/>
                <w:szCs w:val="20"/>
                <w:color w:val="auto"/>
                <w:w w:val="95"/>
              </w:rPr>
              <w:t>Section 1.02</w:t>
            </w:r>
          </w:p>
        </w:tc>
        <w:tc>
          <w:tcPr>
            <w:tcW w:w="100" w:type="dxa"/>
            <w:vAlign w:val="bottom"/>
          </w:tcPr>
          <w:p>
            <w:pPr>
              <w:spacing w:after="0"/>
              <w:rPr>
                <w:sz w:val="17"/>
                <w:szCs w:val="17"/>
                <w:color w:val="auto"/>
              </w:rPr>
            </w:pPr>
          </w:p>
        </w:tc>
        <w:tc>
          <w:tcPr>
            <w:tcW w:w="3180" w:type="dxa"/>
            <w:vAlign w:val="bottom"/>
            <w:gridSpan w:val="57"/>
          </w:tcPr>
          <w:p>
            <w:pPr>
              <w:spacing w:after="0" w:line="203" w:lineRule="exact"/>
              <w:rPr>
                <w:sz w:val="20"/>
                <w:szCs w:val="20"/>
                <w:color w:val="auto"/>
              </w:rPr>
            </w:pPr>
            <w:r>
              <w:rPr>
                <w:rFonts w:ascii="Arial" w:cs="Arial" w:eastAsia="Arial" w:hAnsi="Arial"/>
                <w:sz w:val="20"/>
                <w:szCs w:val="20"/>
                <w:color w:val="auto"/>
                <w:w w:val="91"/>
              </w:rPr>
              <w:t>Classification of Loans and Borrowings</w:t>
            </w:r>
          </w:p>
        </w:tc>
        <w:tc>
          <w:tcPr>
            <w:tcW w:w="400" w:type="dxa"/>
            <w:vAlign w:val="bottom"/>
            <w:gridSpan w:val="8"/>
          </w:tcPr>
          <w:p>
            <w:pPr>
              <w:jc w:val="right"/>
              <w:spacing w:after="0" w:line="203" w:lineRule="exact"/>
              <w:rPr>
                <w:sz w:val="20"/>
                <w:szCs w:val="20"/>
                <w:color w:val="auto"/>
              </w:rPr>
            </w:pPr>
            <w:r>
              <w:rPr>
                <w:rFonts w:ascii="Arial" w:cs="Arial" w:eastAsia="Arial" w:hAnsi="Arial"/>
                <w:sz w:val="20"/>
                <w:szCs w:val="20"/>
                <w:color w:val="auto"/>
              </w:rPr>
              <w:t>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gridSpan w:val="2"/>
          </w:tcPr>
          <w:p>
            <w:pPr>
              <w:ind w:left="660"/>
              <w:spacing w:after="0" w:line="192" w:lineRule="exact"/>
              <w:rPr>
                <w:sz w:val="20"/>
                <w:szCs w:val="20"/>
                <w:color w:val="auto"/>
              </w:rPr>
            </w:pPr>
            <w:r>
              <w:rPr>
                <w:rFonts w:ascii="Arial" w:cs="Arial" w:eastAsia="Arial" w:hAnsi="Arial"/>
                <w:sz w:val="20"/>
                <w:szCs w:val="20"/>
                <w:color w:val="auto"/>
                <w:w w:val="95"/>
              </w:rPr>
              <w:t>Section 1.03</w:t>
            </w:r>
          </w:p>
        </w:tc>
        <w:tc>
          <w:tcPr>
            <w:tcW w:w="1420" w:type="dxa"/>
            <w:vAlign w:val="bottom"/>
            <w:gridSpan w:val="15"/>
          </w:tcPr>
          <w:p>
            <w:pPr>
              <w:ind w:left="100"/>
              <w:spacing w:after="0" w:line="192" w:lineRule="exact"/>
              <w:rPr>
                <w:sz w:val="20"/>
                <w:szCs w:val="20"/>
                <w:color w:val="auto"/>
              </w:rPr>
            </w:pPr>
            <w:r>
              <w:rPr>
                <w:rFonts w:ascii="Arial" w:cs="Arial" w:eastAsia="Arial" w:hAnsi="Arial"/>
                <w:sz w:val="20"/>
                <w:szCs w:val="20"/>
                <w:color w:val="auto"/>
                <w:w w:val="87"/>
              </w:rPr>
              <w:t>Terms Generally</w:t>
            </w:r>
          </w:p>
        </w:tc>
        <w:tc>
          <w:tcPr>
            <w:tcW w:w="5360" w:type="dxa"/>
            <w:vAlign w:val="bottom"/>
            <w:gridSpan w:val="74"/>
          </w:tcPr>
          <w:p>
            <w:pPr>
              <w:jc w:val="right"/>
              <w:ind w:right="4861"/>
              <w:spacing w:after="0" w:line="192"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3"/>
        </w:trPr>
        <w:tc>
          <w:tcPr>
            <w:tcW w:w="1740" w:type="dxa"/>
            <w:vAlign w:val="bottom"/>
            <w:gridSpan w:val="2"/>
          </w:tcPr>
          <w:p>
            <w:pPr>
              <w:ind w:left="660"/>
              <w:spacing w:after="0" w:line="203" w:lineRule="exact"/>
              <w:rPr>
                <w:sz w:val="20"/>
                <w:szCs w:val="20"/>
                <w:color w:val="auto"/>
              </w:rPr>
            </w:pPr>
            <w:r>
              <w:rPr>
                <w:rFonts w:ascii="Arial" w:cs="Arial" w:eastAsia="Arial" w:hAnsi="Arial"/>
                <w:sz w:val="20"/>
                <w:szCs w:val="20"/>
                <w:color w:val="auto"/>
                <w:w w:val="95"/>
              </w:rPr>
              <w:t>Section 1.04</w:t>
            </w:r>
          </w:p>
        </w:tc>
        <w:tc>
          <w:tcPr>
            <w:tcW w:w="2380" w:type="dxa"/>
            <w:vAlign w:val="bottom"/>
            <w:gridSpan w:val="39"/>
          </w:tcPr>
          <w:p>
            <w:pPr>
              <w:ind w:left="100"/>
              <w:spacing w:after="0" w:line="203" w:lineRule="exact"/>
              <w:rPr>
                <w:sz w:val="20"/>
                <w:szCs w:val="20"/>
                <w:color w:val="auto"/>
              </w:rPr>
            </w:pPr>
            <w:r>
              <w:rPr>
                <w:rFonts w:ascii="Arial" w:cs="Arial" w:eastAsia="Arial" w:hAnsi="Arial"/>
                <w:sz w:val="20"/>
                <w:szCs w:val="20"/>
                <w:color w:val="auto"/>
                <w:w w:val="99"/>
              </w:rPr>
              <w:t>Accounting Terms; GAAP</w:t>
            </w:r>
          </w:p>
        </w:tc>
        <w:tc>
          <w:tcPr>
            <w:tcW w:w="200" w:type="dxa"/>
            <w:vAlign w:val="bottom"/>
            <w:gridSpan w:val="8"/>
          </w:tcPr>
          <w:p>
            <w:pPr>
              <w:jc w:val="right"/>
              <w:spacing w:after="0" w:line="203" w:lineRule="exact"/>
              <w:rPr>
                <w:sz w:val="20"/>
                <w:szCs w:val="20"/>
                <w:color w:val="auto"/>
              </w:rPr>
            </w:pPr>
            <w:r>
              <w:rPr>
                <w:rFonts w:ascii="Arial" w:cs="Arial" w:eastAsia="Arial" w:hAnsi="Arial"/>
                <w:sz w:val="20"/>
                <w:szCs w:val="20"/>
                <w:color w:val="FF0000"/>
                <w:strike w:val="1"/>
                <w:w w:val="80"/>
              </w:rPr>
              <w:t>22</w:t>
            </w:r>
          </w:p>
        </w:tc>
        <w:tc>
          <w:tcPr>
            <w:tcW w:w="200" w:type="dxa"/>
            <w:vAlign w:val="bottom"/>
            <w:gridSpan w:val="5"/>
          </w:tcPr>
          <w:p>
            <w:pPr>
              <w:spacing w:after="0" w:line="203" w:lineRule="exact"/>
              <w:rPr>
                <w:sz w:val="20"/>
                <w:szCs w:val="20"/>
                <w:color w:val="auto"/>
              </w:rPr>
            </w:pPr>
            <w:r>
              <w:rPr>
                <w:rFonts w:ascii="Arial" w:cs="Arial" w:eastAsia="Arial" w:hAnsi="Arial"/>
                <w:sz w:val="20"/>
                <w:szCs w:val="20"/>
                <w:color w:val="0000FF"/>
                <w:w w:val="80"/>
              </w:rPr>
              <w:t>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840" w:type="dxa"/>
            <w:vAlign w:val="bottom"/>
            <w:gridSpan w:val="3"/>
          </w:tcPr>
          <w:p>
            <w:pPr>
              <w:ind w:left="660"/>
              <w:spacing w:after="0" w:line="179" w:lineRule="exact"/>
              <w:rPr>
                <w:sz w:val="20"/>
                <w:szCs w:val="20"/>
                <w:color w:val="auto"/>
              </w:rPr>
            </w:pPr>
            <w:r>
              <w:rPr>
                <w:rFonts w:ascii="Arial" w:cs="Arial" w:eastAsia="Arial" w:hAnsi="Arial"/>
                <w:sz w:val="20"/>
                <w:szCs w:val="20"/>
                <w:color w:val="auto"/>
                <w:w w:val="95"/>
              </w:rPr>
              <w:t>Section 1.05</w:t>
            </w:r>
          </w:p>
        </w:tc>
        <w:tc>
          <w:tcPr>
            <w:tcW w:w="1840" w:type="dxa"/>
            <w:vAlign w:val="bottom"/>
            <w:gridSpan w:val="26"/>
          </w:tcPr>
          <w:p>
            <w:pPr>
              <w:spacing w:after="0" w:line="179" w:lineRule="exact"/>
              <w:rPr>
                <w:sz w:val="20"/>
                <w:szCs w:val="20"/>
                <w:color w:val="auto"/>
              </w:rPr>
            </w:pPr>
            <w:r>
              <w:rPr>
                <w:rFonts w:ascii="Arial" w:cs="Arial" w:eastAsia="Arial" w:hAnsi="Arial"/>
                <w:sz w:val="20"/>
                <w:szCs w:val="20"/>
                <w:color w:val="auto"/>
                <w:w w:val="94"/>
              </w:rPr>
              <w:t>Currency Equivalents</w:t>
            </w:r>
          </w:p>
        </w:tc>
        <w:tc>
          <w:tcPr>
            <w:tcW w:w="620" w:type="dxa"/>
            <w:vAlign w:val="bottom"/>
            <w:gridSpan w:val="19"/>
          </w:tcPr>
          <w:p>
            <w:pPr>
              <w:ind w:left="80"/>
              <w:spacing w:after="0" w:line="179" w:lineRule="exact"/>
              <w:rPr>
                <w:sz w:val="20"/>
                <w:szCs w:val="20"/>
                <w:color w:val="auto"/>
              </w:rPr>
            </w:pPr>
            <w:r>
              <w:rPr>
                <w:rFonts w:ascii="Arial" w:cs="Arial" w:eastAsia="Arial" w:hAnsi="Arial"/>
                <w:sz w:val="20"/>
                <w:szCs w:val="20"/>
                <w:color w:val="auto"/>
                <w:w w:val="98"/>
              </w:rPr>
              <w:t>23</w:t>
            </w:r>
          </w:p>
        </w:tc>
        <w:tc>
          <w:tcPr>
            <w:tcW w:w="220" w:type="dxa"/>
            <w:vAlign w:val="bottom"/>
            <w:tcBorders>
              <w:top w:val="single" w:sz="8" w:color="0000FF"/>
            </w:tcBorders>
            <w:gridSpan w:val="6"/>
          </w:tcPr>
          <w:p>
            <w:pPr>
              <w:spacing w:after="0"/>
              <w:rPr>
                <w:sz w:val="15"/>
                <w:szCs w:val="15"/>
                <w:color w:val="auto"/>
              </w:rPr>
            </w:pPr>
          </w:p>
        </w:tc>
        <w:tc>
          <w:tcPr>
            <w:tcW w:w="4000" w:type="dxa"/>
            <w:vAlign w:val="bottom"/>
            <w:gridSpan w:val="37"/>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40" w:type="dxa"/>
            <w:vAlign w:val="bottom"/>
            <w:gridSpan w:val="3"/>
          </w:tcPr>
          <w:p>
            <w:pPr>
              <w:ind w:left="660"/>
              <w:spacing w:after="0" w:line="192" w:lineRule="exact"/>
              <w:rPr>
                <w:sz w:val="20"/>
                <w:szCs w:val="20"/>
                <w:color w:val="auto"/>
              </w:rPr>
            </w:pPr>
            <w:r>
              <w:rPr>
                <w:rFonts w:ascii="Arial" w:cs="Arial" w:eastAsia="Arial" w:hAnsi="Arial"/>
                <w:sz w:val="20"/>
                <w:szCs w:val="20"/>
                <w:color w:val="auto"/>
                <w:w w:val="95"/>
              </w:rPr>
              <w:t>Section 1.06</w:t>
            </w:r>
          </w:p>
        </w:tc>
        <w:tc>
          <w:tcPr>
            <w:tcW w:w="940" w:type="dxa"/>
            <w:vAlign w:val="bottom"/>
            <w:gridSpan w:val="5"/>
          </w:tcPr>
          <w:p>
            <w:pPr>
              <w:spacing w:after="0" w:line="192" w:lineRule="exact"/>
              <w:rPr>
                <w:sz w:val="20"/>
                <w:szCs w:val="20"/>
                <w:color w:val="auto"/>
              </w:rPr>
            </w:pPr>
            <w:r>
              <w:rPr>
                <w:rFonts w:ascii="Arial" w:cs="Arial" w:eastAsia="Arial" w:hAnsi="Arial"/>
                <w:sz w:val="20"/>
                <w:szCs w:val="20"/>
                <w:color w:val="auto"/>
              </w:rPr>
              <w:t>Divisions</w:t>
            </w:r>
          </w:p>
        </w:tc>
        <w:tc>
          <w:tcPr>
            <w:tcW w:w="5740" w:type="dxa"/>
            <w:vAlign w:val="bottom"/>
            <w:gridSpan w:val="83"/>
          </w:tcPr>
          <w:p>
            <w:pPr>
              <w:jc w:val="right"/>
              <w:ind w:right="5421"/>
              <w:spacing w:after="0" w:line="192" w:lineRule="exact"/>
              <w:rPr>
                <w:sz w:val="20"/>
                <w:szCs w:val="20"/>
                <w:color w:val="auto"/>
              </w:rPr>
            </w:pPr>
            <w:r>
              <w:rPr>
                <w:rFonts w:ascii="Arial" w:cs="Arial" w:eastAsia="Arial" w:hAnsi="Arial"/>
                <w:sz w:val="20"/>
                <w:szCs w:val="20"/>
                <w:color w:val="auto"/>
                <w:w w:val="89"/>
              </w:rPr>
              <w:t>23</w:t>
            </w:r>
          </w:p>
        </w:tc>
        <w:tc>
          <w:tcPr>
            <w:tcW w:w="0" w:type="dxa"/>
            <w:vAlign w:val="bottom"/>
          </w:tcPr>
          <w:p>
            <w:pPr>
              <w:spacing w:after="0"/>
              <w:rPr>
                <w:sz w:val="1"/>
                <w:szCs w:val="1"/>
                <w:color w:val="auto"/>
              </w:rPr>
            </w:pPr>
          </w:p>
        </w:tc>
      </w:tr>
      <w:tr>
        <w:trPr>
          <w:trHeight w:val="203"/>
        </w:trPr>
        <w:tc>
          <w:tcPr>
            <w:tcW w:w="1740" w:type="dxa"/>
            <w:vAlign w:val="bottom"/>
            <w:gridSpan w:val="2"/>
          </w:tcPr>
          <w:p>
            <w:pPr>
              <w:ind w:left="660"/>
              <w:spacing w:after="0" w:line="203" w:lineRule="exact"/>
              <w:rPr>
                <w:sz w:val="20"/>
                <w:szCs w:val="20"/>
                <w:color w:val="auto"/>
              </w:rPr>
            </w:pPr>
            <w:r>
              <w:rPr>
                <w:rFonts w:ascii="Arial" w:cs="Arial" w:eastAsia="Arial" w:hAnsi="Arial"/>
                <w:sz w:val="20"/>
                <w:szCs w:val="20"/>
                <w:color w:val="auto"/>
                <w:w w:val="95"/>
              </w:rPr>
              <w:t>Section 1.07</w:t>
            </w:r>
          </w:p>
        </w:tc>
        <w:tc>
          <w:tcPr>
            <w:tcW w:w="100" w:type="dxa"/>
            <w:vAlign w:val="bottom"/>
          </w:tcPr>
          <w:p>
            <w:pPr>
              <w:spacing w:after="0"/>
              <w:rPr>
                <w:sz w:val="17"/>
                <w:szCs w:val="17"/>
                <w:color w:val="auto"/>
              </w:rPr>
            </w:pPr>
          </w:p>
        </w:tc>
        <w:tc>
          <w:tcPr>
            <w:tcW w:w="1920" w:type="dxa"/>
            <w:vAlign w:val="bottom"/>
            <w:gridSpan w:val="28"/>
          </w:tcPr>
          <w:p>
            <w:pPr>
              <w:spacing w:after="0" w:line="203" w:lineRule="exact"/>
              <w:rPr>
                <w:sz w:val="20"/>
                <w:szCs w:val="20"/>
                <w:color w:val="auto"/>
              </w:rPr>
            </w:pPr>
            <w:r>
              <w:rPr>
                <w:rFonts w:ascii="Arial" w:cs="Arial" w:eastAsia="Arial" w:hAnsi="Arial"/>
                <w:sz w:val="20"/>
                <w:szCs w:val="20"/>
                <w:color w:val="FF0000"/>
                <w:strike w:val="1"/>
                <w:w w:val="92"/>
              </w:rPr>
              <w:t>Benchmark Notification</w:t>
            </w:r>
          </w:p>
        </w:tc>
        <w:tc>
          <w:tcPr>
            <w:tcW w:w="440" w:type="dxa"/>
            <w:vAlign w:val="bottom"/>
            <w:tcBorders>
              <w:bottom w:val="single" w:sz="8" w:color="0000FF"/>
            </w:tcBorders>
            <w:gridSpan w:val="13"/>
          </w:tcPr>
          <w:p>
            <w:pPr>
              <w:spacing w:after="0" w:line="203" w:lineRule="exact"/>
              <w:rPr>
                <w:sz w:val="20"/>
                <w:szCs w:val="20"/>
                <w:color w:val="auto"/>
              </w:rPr>
            </w:pPr>
            <w:r>
              <w:rPr>
                <w:rFonts w:ascii="Arial" w:cs="Arial" w:eastAsia="Arial" w:hAnsi="Arial"/>
                <w:sz w:val="20"/>
                <w:szCs w:val="20"/>
                <w:color w:val="0000FF"/>
                <w:w w:val="80"/>
              </w:rPr>
              <w:t>Rates</w:t>
            </w:r>
          </w:p>
        </w:tc>
        <w:tc>
          <w:tcPr>
            <w:tcW w:w="400" w:type="dxa"/>
            <w:vAlign w:val="bottom"/>
            <w:gridSpan w:val="12"/>
          </w:tcPr>
          <w:p>
            <w:pPr>
              <w:jc w:val="right"/>
              <w:spacing w:after="0" w:line="203" w:lineRule="exact"/>
              <w:rPr>
                <w:sz w:val="20"/>
                <w:szCs w:val="20"/>
                <w:color w:val="auto"/>
              </w:rPr>
            </w:pPr>
            <w:r>
              <w:rPr>
                <w:rFonts w:ascii="Arial" w:cs="Arial" w:eastAsia="Arial" w:hAnsi="Arial"/>
                <w:sz w:val="20"/>
                <w:szCs w:val="20"/>
                <w:color w:val="auto"/>
              </w:rPr>
              <w:t>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20"/>
                <w:szCs w:val="20"/>
                <w:color w:val="auto"/>
              </w:rPr>
              <w:t>ARTICLE II</w:t>
            </w:r>
          </w:p>
        </w:tc>
        <w:tc>
          <w:tcPr>
            <w:tcW w:w="1480" w:type="dxa"/>
            <w:vAlign w:val="bottom"/>
            <w:gridSpan w:val="5"/>
          </w:tcPr>
          <w:p>
            <w:pPr>
              <w:ind w:left="80"/>
              <w:spacing w:after="0"/>
              <w:rPr>
                <w:sz w:val="20"/>
                <w:szCs w:val="20"/>
                <w:color w:val="auto"/>
              </w:rPr>
            </w:pPr>
            <w:r>
              <w:rPr>
                <w:rFonts w:ascii="Arial" w:cs="Arial" w:eastAsia="Arial" w:hAnsi="Arial"/>
                <w:sz w:val="20"/>
                <w:szCs w:val="20"/>
                <w:color w:val="auto"/>
                <w:w w:val="95"/>
              </w:rPr>
              <w:t>THE CREDITS</w:t>
            </w: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rPr>
              <w:t>23</w:t>
            </w:r>
          </w:p>
        </w:tc>
        <w:tc>
          <w:tcPr>
            <w:tcW w:w="220" w:type="dxa"/>
            <w:vAlign w:val="bottom"/>
            <w:tcBorders>
              <w:bottom w:val="single" w:sz="8" w:color="0000FF"/>
            </w:tcBorders>
            <w:gridSpan w:val="4"/>
          </w:tcPr>
          <w:p>
            <w:pPr>
              <w:ind w:left="20"/>
              <w:spacing w:after="0"/>
              <w:rPr>
                <w:sz w:val="20"/>
                <w:szCs w:val="20"/>
                <w:color w:val="auto"/>
              </w:rPr>
            </w:pPr>
            <w:r>
              <w:rPr>
                <w:rFonts w:ascii="Arial" w:cs="Arial" w:eastAsia="Arial" w:hAnsi="Arial"/>
                <w:sz w:val="20"/>
                <w:szCs w:val="20"/>
                <w:color w:val="0000FF"/>
                <w:w w:val="80"/>
              </w:rPr>
              <w:t>24</w:t>
            </w:r>
          </w:p>
        </w:tc>
        <w:tc>
          <w:tcPr>
            <w:tcW w:w="5460" w:type="dxa"/>
            <w:vAlign w:val="bottom"/>
            <w:gridSpan w:val="77"/>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40" w:type="dxa"/>
            <w:vAlign w:val="bottom"/>
            <w:gridSpan w:val="3"/>
          </w:tcPr>
          <w:p>
            <w:pPr>
              <w:ind w:left="660"/>
              <w:spacing w:after="0"/>
              <w:rPr>
                <w:sz w:val="20"/>
                <w:szCs w:val="20"/>
                <w:color w:val="auto"/>
              </w:rPr>
            </w:pPr>
            <w:r>
              <w:rPr>
                <w:rFonts w:ascii="Arial" w:cs="Arial" w:eastAsia="Arial" w:hAnsi="Arial"/>
                <w:sz w:val="20"/>
                <w:szCs w:val="20"/>
                <w:color w:val="auto"/>
                <w:w w:val="95"/>
              </w:rPr>
              <w:t>Section 2.01</w:t>
            </w:r>
          </w:p>
        </w:tc>
        <w:tc>
          <w:tcPr>
            <w:tcW w:w="1320" w:type="dxa"/>
            <w:vAlign w:val="bottom"/>
            <w:gridSpan w:val="14"/>
          </w:tcPr>
          <w:p>
            <w:pPr>
              <w:spacing w:after="0"/>
              <w:rPr>
                <w:sz w:val="20"/>
                <w:szCs w:val="20"/>
                <w:color w:val="auto"/>
              </w:rPr>
            </w:pPr>
            <w:r>
              <w:rPr>
                <w:rFonts w:ascii="Arial" w:cs="Arial" w:eastAsia="Arial" w:hAnsi="Arial"/>
                <w:sz w:val="20"/>
                <w:szCs w:val="20"/>
                <w:color w:val="auto"/>
              </w:rPr>
              <w:t>Commitments</w:t>
            </w:r>
          </w:p>
        </w:tc>
        <w:tc>
          <w:tcPr>
            <w:tcW w:w="200" w:type="dxa"/>
            <w:vAlign w:val="bottom"/>
            <w:gridSpan w:val="7"/>
          </w:tcPr>
          <w:p>
            <w:pPr>
              <w:spacing w:after="0"/>
              <w:rPr>
                <w:sz w:val="20"/>
                <w:szCs w:val="20"/>
                <w:color w:val="auto"/>
              </w:rPr>
            </w:pPr>
            <w:r>
              <w:rPr>
                <w:rFonts w:ascii="Arial" w:cs="Arial" w:eastAsia="Arial" w:hAnsi="Arial"/>
                <w:sz w:val="20"/>
                <w:szCs w:val="20"/>
                <w:color w:val="FF0000"/>
                <w:strike w:val="1"/>
                <w:w w:val="80"/>
              </w:rPr>
              <w:t>23</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24</w:t>
            </w:r>
          </w:p>
        </w:tc>
        <w:tc>
          <w:tcPr>
            <w:tcW w:w="4960" w:type="dxa"/>
            <w:vAlign w:val="bottom"/>
            <w:gridSpan w:val="63"/>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5"/>
              </w:rPr>
              <w:t>Section 2.02</w:t>
            </w:r>
          </w:p>
        </w:tc>
        <w:tc>
          <w:tcPr>
            <w:tcW w:w="100" w:type="dxa"/>
            <w:vAlign w:val="bottom"/>
          </w:tcPr>
          <w:p>
            <w:pPr>
              <w:spacing w:after="0"/>
              <w:rPr>
                <w:sz w:val="15"/>
                <w:szCs w:val="15"/>
                <w:color w:val="auto"/>
              </w:rPr>
            </w:pPr>
          </w:p>
        </w:tc>
        <w:tc>
          <w:tcPr>
            <w:tcW w:w="1720" w:type="dxa"/>
            <w:vAlign w:val="bottom"/>
            <w:gridSpan w:val="25"/>
          </w:tcPr>
          <w:p>
            <w:pPr>
              <w:spacing w:after="0" w:line="176" w:lineRule="exact"/>
              <w:rPr>
                <w:sz w:val="20"/>
                <w:szCs w:val="20"/>
                <w:color w:val="auto"/>
              </w:rPr>
            </w:pPr>
            <w:r>
              <w:rPr>
                <w:rFonts w:ascii="Arial" w:cs="Arial" w:eastAsia="Arial" w:hAnsi="Arial"/>
                <w:sz w:val="20"/>
                <w:szCs w:val="20"/>
                <w:color w:val="auto"/>
                <w:w w:val="85"/>
              </w:rPr>
              <w:t>Loans and Borrowings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5"/>
          </w:tcPr>
          <w:p>
            <w:pPr>
              <w:jc w:val="right"/>
              <w:spacing w:after="0" w:line="176" w:lineRule="exact"/>
              <w:rPr>
                <w:sz w:val="20"/>
                <w:szCs w:val="20"/>
                <w:color w:val="auto"/>
              </w:rPr>
            </w:pPr>
            <w:r>
              <w:rPr>
                <w:rFonts w:ascii="Arial" w:cs="Arial" w:eastAsia="Arial" w:hAnsi="Arial"/>
                <w:sz w:val="20"/>
                <w:szCs w:val="20"/>
                <w:color w:val="FF0000"/>
                <w:strike w:val="1"/>
                <w:w w:val="80"/>
              </w:rPr>
              <w:t>23</w:t>
            </w:r>
          </w:p>
        </w:tc>
        <w:tc>
          <w:tcPr>
            <w:tcW w:w="220" w:type="dxa"/>
            <w:vAlign w:val="bottom"/>
            <w:gridSpan w:val="8"/>
          </w:tcPr>
          <w:p>
            <w:pPr>
              <w:spacing w:after="0" w:line="176" w:lineRule="exact"/>
              <w:rPr>
                <w:sz w:val="20"/>
                <w:szCs w:val="20"/>
                <w:color w:val="auto"/>
              </w:rPr>
            </w:pPr>
            <w:r>
              <w:rPr>
                <w:rFonts w:ascii="Arial" w:cs="Arial" w:eastAsia="Arial" w:hAnsi="Arial"/>
                <w:sz w:val="20"/>
                <w:szCs w:val="20"/>
                <w:color w:val="0000FF"/>
                <w:w w:val="89"/>
              </w:rPr>
              <w:t>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2.03</w:t>
            </w:r>
          </w:p>
        </w:tc>
        <w:tc>
          <w:tcPr>
            <w:tcW w:w="100" w:type="dxa"/>
            <w:vAlign w:val="bottom"/>
          </w:tcPr>
          <w:p>
            <w:pPr>
              <w:spacing w:after="0"/>
              <w:rPr>
                <w:sz w:val="15"/>
                <w:szCs w:val="15"/>
                <w:color w:val="auto"/>
              </w:rPr>
            </w:pPr>
          </w:p>
        </w:tc>
        <w:tc>
          <w:tcPr>
            <w:tcW w:w="2000" w:type="dxa"/>
            <w:vAlign w:val="bottom"/>
            <w:gridSpan w:val="31"/>
          </w:tcPr>
          <w:p>
            <w:pPr>
              <w:spacing w:after="0" w:line="169" w:lineRule="exact"/>
              <w:rPr>
                <w:sz w:val="20"/>
                <w:szCs w:val="20"/>
                <w:color w:val="auto"/>
              </w:rPr>
            </w:pPr>
            <w:r>
              <w:rPr>
                <w:rFonts w:ascii="Arial" w:cs="Arial" w:eastAsia="Arial" w:hAnsi="Arial"/>
                <w:sz w:val="19"/>
                <w:szCs w:val="19"/>
                <w:color w:val="auto"/>
                <w:w w:val="95"/>
              </w:rPr>
              <w:t>Requests for Borrowings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9"/>
                <w:szCs w:val="19"/>
                <w:color w:val="FF0000"/>
                <w:strike w:val="1"/>
                <w:w w:val="75"/>
              </w:rPr>
              <w:t>24</w:t>
            </w:r>
          </w:p>
        </w:tc>
        <w:tc>
          <w:tcPr>
            <w:tcW w:w="20" w:type="dxa"/>
            <w:vAlign w:val="bottom"/>
            <w:tcBorders>
              <w:top w:val="single" w:sz="8" w:color="0000FF"/>
            </w:tcBorders>
          </w:tcPr>
          <w:p>
            <w:pPr>
              <w:spacing w:after="0"/>
              <w:rPr>
                <w:sz w:val="15"/>
                <w:szCs w:val="15"/>
                <w:color w:val="auto"/>
              </w:rPr>
            </w:pPr>
          </w:p>
        </w:tc>
        <w:tc>
          <w:tcPr>
            <w:tcW w:w="200" w:type="dxa"/>
            <w:vAlign w:val="bottom"/>
            <w:gridSpan w:val="6"/>
          </w:tcPr>
          <w:p>
            <w:pPr>
              <w:spacing w:after="0" w:line="169" w:lineRule="exact"/>
              <w:rPr>
                <w:sz w:val="20"/>
                <w:szCs w:val="20"/>
                <w:color w:val="auto"/>
              </w:rPr>
            </w:pPr>
            <w:r>
              <w:rPr>
                <w:rFonts w:ascii="Arial" w:cs="Arial" w:eastAsia="Arial" w:hAnsi="Arial"/>
                <w:sz w:val="19"/>
                <w:szCs w:val="19"/>
                <w:color w:val="0000FF"/>
                <w:w w:val="84"/>
              </w:rPr>
              <w:t>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gridSpan w:val="32"/>
          </w:tcPr>
          <w:p>
            <w:pPr>
              <w:ind w:left="660"/>
              <w:spacing w:after="0" w:line="176" w:lineRule="exact"/>
              <w:rPr>
                <w:sz w:val="20"/>
                <w:szCs w:val="20"/>
                <w:color w:val="auto"/>
              </w:rPr>
            </w:pPr>
            <w:r>
              <w:rPr>
                <w:rFonts w:ascii="Arial" w:cs="Arial" w:eastAsia="Arial" w:hAnsi="Arial"/>
                <w:sz w:val="20"/>
                <w:szCs w:val="20"/>
                <w:color w:val="auto"/>
                <w:w w:val="98"/>
              </w:rPr>
              <w:t>Section 2.04  Incremental Facilities.</w:t>
            </w:r>
          </w:p>
        </w:tc>
        <w:tc>
          <w:tcPr>
            <w:tcW w:w="200" w:type="dxa"/>
            <w:vAlign w:val="bottom"/>
            <w:gridSpan w:val="5"/>
          </w:tcPr>
          <w:p>
            <w:pPr>
              <w:jc w:val="right"/>
              <w:spacing w:after="0" w:line="176" w:lineRule="exact"/>
              <w:rPr>
                <w:sz w:val="20"/>
                <w:szCs w:val="20"/>
                <w:color w:val="auto"/>
              </w:rPr>
            </w:pPr>
            <w:r>
              <w:rPr>
                <w:rFonts w:ascii="Arial" w:cs="Arial" w:eastAsia="Arial" w:hAnsi="Arial"/>
                <w:sz w:val="20"/>
                <w:szCs w:val="20"/>
                <w:color w:val="FF0000"/>
                <w:strike w:val="1"/>
                <w:w w:val="80"/>
              </w:rPr>
              <w:t>24</w:t>
            </w:r>
          </w:p>
        </w:tc>
        <w:tc>
          <w:tcPr>
            <w:tcW w:w="200" w:type="dxa"/>
            <w:vAlign w:val="bottom"/>
            <w:tcBorders>
              <w:bottom w:val="single" w:sz="8" w:color="0000FF"/>
            </w:tcBorders>
            <w:gridSpan w:val="7"/>
          </w:tcPr>
          <w:p>
            <w:pPr>
              <w:jc w:val="right"/>
              <w:spacing w:after="0" w:line="176" w:lineRule="exact"/>
              <w:rPr>
                <w:sz w:val="20"/>
                <w:szCs w:val="20"/>
                <w:color w:val="auto"/>
              </w:rPr>
            </w:pPr>
            <w:r>
              <w:rPr>
                <w:rFonts w:ascii="Arial" w:cs="Arial" w:eastAsia="Arial" w:hAnsi="Arial"/>
                <w:sz w:val="20"/>
                <w:szCs w:val="20"/>
                <w:color w:val="0000FF"/>
                <w:w w:val="80"/>
              </w:rPr>
              <w:t>25</w:t>
            </w:r>
          </w:p>
        </w:tc>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gridSpan w:val="3"/>
          </w:tcPr>
          <w:p>
            <w:pPr>
              <w:ind w:left="660"/>
              <w:spacing w:after="0" w:line="183" w:lineRule="exact"/>
              <w:rPr>
                <w:sz w:val="20"/>
                <w:szCs w:val="20"/>
                <w:color w:val="auto"/>
              </w:rPr>
            </w:pPr>
            <w:r>
              <w:rPr>
                <w:rFonts w:ascii="Arial" w:cs="Arial" w:eastAsia="Arial" w:hAnsi="Arial"/>
                <w:sz w:val="20"/>
                <w:szCs w:val="20"/>
                <w:color w:val="auto"/>
                <w:w w:val="95"/>
              </w:rPr>
              <w:t>Section 2.05</w:t>
            </w:r>
          </w:p>
        </w:tc>
        <w:tc>
          <w:tcPr>
            <w:tcW w:w="1000" w:type="dxa"/>
            <w:vAlign w:val="bottom"/>
            <w:gridSpan w:val="7"/>
          </w:tcPr>
          <w:p>
            <w:pPr>
              <w:spacing w:after="0" w:line="183" w:lineRule="exact"/>
              <w:rPr>
                <w:sz w:val="20"/>
                <w:szCs w:val="20"/>
                <w:color w:val="auto"/>
              </w:rPr>
            </w:pPr>
            <w:r>
              <w:rPr>
                <w:rFonts w:ascii="Arial" w:cs="Arial" w:eastAsia="Arial" w:hAnsi="Arial"/>
                <w:sz w:val="20"/>
                <w:szCs w:val="20"/>
                <w:color w:val="auto"/>
                <w:w w:val="95"/>
              </w:rPr>
              <w:t>[Reserved]</w:t>
            </w:r>
          </w:p>
        </w:tc>
        <w:tc>
          <w:tcPr>
            <w:tcW w:w="260" w:type="dxa"/>
            <w:vAlign w:val="bottom"/>
            <w:gridSpan w:val="6"/>
          </w:tcPr>
          <w:p>
            <w:pPr>
              <w:jc w:val="right"/>
              <w:spacing w:after="0" w:line="183" w:lineRule="exact"/>
              <w:rPr>
                <w:sz w:val="20"/>
                <w:szCs w:val="20"/>
                <w:color w:val="auto"/>
              </w:rPr>
            </w:pPr>
            <w:r>
              <w:rPr>
                <w:rFonts w:ascii="Arial" w:cs="Arial" w:eastAsia="Arial" w:hAnsi="Arial"/>
                <w:sz w:val="20"/>
                <w:szCs w:val="20"/>
                <w:color w:val="FF0000"/>
                <w:strike w:val="1"/>
              </w:rPr>
              <w:t>26</w:t>
            </w:r>
          </w:p>
        </w:tc>
        <w:tc>
          <w:tcPr>
            <w:tcW w:w="5420" w:type="dxa"/>
            <w:vAlign w:val="bottom"/>
            <w:gridSpan w:val="75"/>
          </w:tcPr>
          <w:p>
            <w:pPr>
              <w:jc w:val="right"/>
              <w:ind w:right="5121"/>
              <w:spacing w:after="0" w:line="183" w:lineRule="exact"/>
              <w:rPr>
                <w:sz w:val="20"/>
                <w:szCs w:val="20"/>
                <w:color w:val="auto"/>
              </w:rPr>
            </w:pPr>
            <w:r>
              <w:rPr>
                <w:rFonts w:ascii="Arial" w:cs="Arial" w:eastAsia="Arial" w:hAnsi="Arial"/>
                <w:sz w:val="20"/>
                <w:szCs w:val="20"/>
                <w:color w:val="0000FF"/>
                <w:w w:val="80"/>
              </w:rPr>
              <w:t>27</w:t>
            </w:r>
          </w:p>
        </w:tc>
        <w:tc>
          <w:tcPr>
            <w:tcW w:w="0" w:type="dxa"/>
            <w:vAlign w:val="bottom"/>
          </w:tcPr>
          <w:p>
            <w:pPr>
              <w:spacing w:after="0"/>
              <w:rPr>
                <w:sz w:val="1"/>
                <w:szCs w:val="1"/>
                <w:color w:val="auto"/>
              </w:rPr>
            </w:pPr>
          </w:p>
        </w:tc>
      </w:tr>
      <w:tr>
        <w:trPr>
          <w:trHeight w:val="176"/>
        </w:trPr>
        <w:tc>
          <w:tcPr>
            <w:tcW w:w="1840" w:type="dxa"/>
            <w:vAlign w:val="bottom"/>
            <w:gridSpan w:val="3"/>
          </w:tcPr>
          <w:p>
            <w:pPr>
              <w:ind w:left="660"/>
              <w:spacing w:after="0" w:line="169" w:lineRule="exact"/>
              <w:rPr>
                <w:sz w:val="20"/>
                <w:szCs w:val="20"/>
                <w:color w:val="auto"/>
              </w:rPr>
            </w:pPr>
            <w:r>
              <w:rPr>
                <w:rFonts w:ascii="Arial" w:cs="Arial" w:eastAsia="Arial" w:hAnsi="Arial"/>
                <w:sz w:val="19"/>
                <w:szCs w:val="19"/>
                <w:color w:val="auto"/>
              </w:rPr>
              <w:t>Section 2.06</w:t>
            </w:r>
          </w:p>
        </w:tc>
        <w:tc>
          <w:tcPr>
            <w:tcW w:w="1000" w:type="dxa"/>
            <w:vAlign w:val="bottom"/>
            <w:gridSpan w:val="7"/>
          </w:tcPr>
          <w:p>
            <w:pPr>
              <w:spacing w:after="0" w:line="169" w:lineRule="exact"/>
              <w:rPr>
                <w:sz w:val="20"/>
                <w:szCs w:val="20"/>
                <w:color w:val="auto"/>
              </w:rPr>
            </w:pPr>
            <w:r>
              <w:rPr>
                <w:rFonts w:ascii="Arial" w:cs="Arial" w:eastAsia="Arial" w:hAnsi="Arial"/>
                <w:sz w:val="19"/>
                <w:szCs w:val="19"/>
                <w:color w:val="auto"/>
              </w:rPr>
              <w:t>[Reserved]</w:t>
            </w:r>
          </w:p>
        </w:tc>
        <w:tc>
          <w:tcPr>
            <w:tcW w:w="260" w:type="dxa"/>
            <w:vAlign w:val="bottom"/>
            <w:gridSpan w:val="6"/>
          </w:tcPr>
          <w:p>
            <w:pPr>
              <w:jc w:val="right"/>
              <w:spacing w:after="0" w:line="169" w:lineRule="exact"/>
              <w:rPr>
                <w:sz w:val="20"/>
                <w:szCs w:val="20"/>
                <w:color w:val="auto"/>
              </w:rPr>
            </w:pPr>
            <w:r>
              <w:rPr>
                <w:rFonts w:ascii="Arial" w:cs="Arial" w:eastAsia="Arial" w:hAnsi="Arial"/>
                <w:sz w:val="19"/>
                <w:szCs w:val="19"/>
                <w:color w:val="FF0000"/>
                <w:strike w:val="1"/>
              </w:rPr>
              <w:t>26</w:t>
            </w:r>
          </w:p>
        </w:tc>
        <w:tc>
          <w:tcPr>
            <w:tcW w:w="220" w:type="dxa"/>
            <w:vAlign w:val="bottom"/>
            <w:tcBorders>
              <w:top w:val="single" w:sz="8" w:color="0000FF"/>
              <w:bottom w:val="single" w:sz="8" w:color="0000FF"/>
            </w:tcBorders>
            <w:gridSpan w:val="7"/>
          </w:tcPr>
          <w:p>
            <w:pPr>
              <w:jc w:val="right"/>
              <w:ind w:right="20"/>
              <w:spacing w:after="0" w:line="169" w:lineRule="exact"/>
              <w:rPr>
                <w:sz w:val="20"/>
                <w:szCs w:val="20"/>
                <w:color w:val="auto"/>
              </w:rPr>
            </w:pPr>
            <w:r>
              <w:rPr>
                <w:rFonts w:ascii="Arial" w:cs="Arial" w:eastAsia="Arial" w:hAnsi="Arial"/>
                <w:sz w:val="19"/>
                <w:szCs w:val="19"/>
                <w:color w:val="0000FF"/>
                <w:w w:val="84"/>
              </w:rPr>
              <w:t>27</w:t>
            </w:r>
          </w:p>
        </w:tc>
        <w:tc>
          <w:tcPr>
            <w:tcW w:w="5200" w:type="dxa"/>
            <w:vAlign w:val="bottom"/>
            <w:gridSpan w:val="6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5"/>
              </w:rPr>
              <w:t>Section 2.07</w:t>
            </w:r>
          </w:p>
        </w:tc>
        <w:tc>
          <w:tcPr>
            <w:tcW w:w="100" w:type="dxa"/>
            <w:vAlign w:val="bottom"/>
          </w:tcPr>
          <w:p>
            <w:pPr>
              <w:spacing w:after="0"/>
              <w:rPr>
                <w:sz w:val="15"/>
                <w:szCs w:val="15"/>
                <w:color w:val="auto"/>
              </w:rPr>
            </w:pPr>
          </w:p>
        </w:tc>
        <w:tc>
          <w:tcPr>
            <w:tcW w:w="2000" w:type="dxa"/>
            <w:vAlign w:val="bottom"/>
            <w:gridSpan w:val="31"/>
          </w:tcPr>
          <w:p>
            <w:pPr>
              <w:spacing w:after="0" w:line="176" w:lineRule="exact"/>
              <w:rPr>
                <w:sz w:val="20"/>
                <w:szCs w:val="20"/>
                <w:color w:val="auto"/>
              </w:rPr>
            </w:pPr>
            <w:r>
              <w:rPr>
                <w:rFonts w:ascii="Arial" w:cs="Arial" w:eastAsia="Arial" w:hAnsi="Arial"/>
                <w:sz w:val="20"/>
                <w:szCs w:val="20"/>
                <w:color w:val="auto"/>
                <w:w w:val="98"/>
              </w:rPr>
              <w:t>Funding of Borrowings</w:t>
            </w:r>
          </w:p>
        </w:tc>
        <w:tc>
          <w:tcPr>
            <w:tcW w:w="260" w:type="dxa"/>
            <w:vAlign w:val="bottom"/>
            <w:gridSpan w:val="6"/>
          </w:tcPr>
          <w:p>
            <w:pPr>
              <w:jc w:val="right"/>
              <w:spacing w:after="0" w:line="176" w:lineRule="exact"/>
              <w:rPr>
                <w:sz w:val="20"/>
                <w:szCs w:val="20"/>
                <w:color w:val="auto"/>
              </w:rPr>
            </w:pPr>
            <w:r>
              <w:rPr>
                <w:rFonts w:ascii="Arial" w:cs="Arial" w:eastAsia="Arial" w:hAnsi="Arial"/>
                <w:sz w:val="20"/>
                <w:szCs w:val="20"/>
                <w:color w:val="FF0000"/>
                <w:strike w:val="1"/>
              </w:rPr>
              <w:t>26</w:t>
            </w:r>
          </w:p>
        </w:tc>
        <w:tc>
          <w:tcPr>
            <w:tcW w:w="200" w:type="dxa"/>
            <w:vAlign w:val="bottom"/>
            <w:tcBorders>
              <w:bottom w:val="single" w:sz="8" w:color="0000FF"/>
            </w:tcBorders>
            <w:gridSpan w:val="8"/>
          </w:tcPr>
          <w:p>
            <w:pPr>
              <w:jc w:val="right"/>
              <w:spacing w:after="0" w:line="176" w:lineRule="exact"/>
              <w:rPr>
                <w:sz w:val="20"/>
                <w:szCs w:val="20"/>
                <w:color w:val="auto"/>
              </w:rPr>
            </w:pPr>
            <w:r>
              <w:rPr>
                <w:rFonts w:ascii="Arial" w:cs="Arial" w:eastAsia="Arial" w:hAnsi="Arial"/>
                <w:sz w:val="20"/>
                <w:szCs w:val="20"/>
                <w:color w:val="0000FF"/>
                <w:w w:val="80"/>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gridSpan w:val="3"/>
          </w:tcPr>
          <w:p>
            <w:pPr>
              <w:ind w:left="660"/>
              <w:spacing w:after="0" w:line="183" w:lineRule="exact"/>
              <w:rPr>
                <w:sz w:val="20"/>
                <w:szCs w:val="20"/>
                <w:color w:val="auto"/>
              </w:rPr>
            </w:pPr>
            <w:r>
              <w:rPr>
                <w:rFonts w:ascii="Arial" w:cs="Arial" w:eastAsia="Arial" w:hAnsi="Arial"/>
                <w:sz w:val="20"/>
                <w:szCs w:val="20"/>
                <w:color w:val="auto"/>
                <w:w w:val="95"/>
              </w:rPr>
              <w:t>Section 2.08</w:t>
            </w:r>
          </w:p>
        </w:tc>
        <w:tc>
          <w:tcPr>
            <w:tcW w:w="1580" w:type="dxa"/>
            <w:vAlign w:val="bottom"/>
            <w:gridSpan w:val="23"/>
          </w:tcPr>
          <w:p>
            <w:pPr>
              <w:spacing w:after="0" w:line="183" w:lineRule="exact"/>
              <w:rPr>
                <w:sz w:val="20"/>
                <w:szCs w:val="20"/>
                <w:color w:val="auto"/>
              </w:rPr>
            </w:pPr>
            <w:r>
              <w:rPr>
                <w:rFonts w:ascii="Arial" w:cs="Arial" w:eastAsia="Arial" w:hAnsi="Arial"/>
                <w:sz w:val="20"/>
                <w:szCs w:val="20"/>
                <w:color w:val="auto"/>
              </w:rPr>
              <w:t>Interest Elections</w:t>
            </w:r>
          </w:p>
        </w:tc>
        <w:tc>
          <w:tcPr>
            <w:tcW w:w="260" w:type="dxa"/>
            <w:vAlign w:val="bottom"/>
            <w:gridSpan w:val="3"/>
          </w:tcPr>
          <w:p>
            <w:pPr>
              <w:jc w:val="right"/>
              <w:ind w:right="60"/>
              <w:spacing w:after="0" w:line="183" w:lineRule="exact"/>
              <w:rPr>
                <w:sz w:val="20"/>
                <w:szCs w:val="20"/>
                <w:color w:val="auto"/>
              </w:rPr>
            </w:pPr>
            <w:r>
              <w:rPr>
                <w:rFonts w:ascii="Arial" w:cs="Arial" w:eastAsia="Arial" w:hAnsi="Arial"/>
                <w:sz w:val="20"/>
                <w:szCs w:val="20"/>
                <w:color w:val="FF0000"/>
                <w:strike w:val="1"/>
                <w:w w:val="80"/>
              </w:rPr>
              <w:t>26</w:t>
            </w:r>
          </w:p>
        </w:tc>
        <w:tc>
          <w:tcPr>
            <w:tcW w:w="140" w:type="dxa"/>
            <w:vAlign w:val="bottom"/>
            <w:tcBorders>
              <w:bottom w:val="single" w:sz="8" w:color="0000FF"/>
            </w:tcBorders>
            <w:gridSpan w:val="4"/>
          </w:tcPr>
          <w:p>
            <w:pPr>
              <w:jc w:val="right"/>
              <w:spacing w:after="0"/>
              <w:rPr>
                <w:sz w:val="20"/>
                <w:szCs w:val="20"/>
                <w:color w:val="auto"/>
              </w:rPr>
            </w:pPr>
            <w:r>
              <w:rPr>
                <w:rFonts w:ascii="Arial" w:cs="Arial" w:eastAsia="Arial" w:hAnsi="Arial"/>
                <w:sz w:val="15"/>
                <w:szCs w:val="15"/>
                <w:color w:val="0000FF"/>
                <w:w w:val="71"/>
              </w:rPr>
              <w:t>27</w:t>
            </w:r>
          </w:p>
        </w:tc>
        <w:tc>
          <w:tcPr>
            <w:tcW w:w="4700" w:type="dxa"/>
            <w:vAlign w:val="bottom"/>
            <w:gridSpan w:val="5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2.09</w:t>
            </w:r>
          </w:p>
        </w:tc>
        <w:tc>
          <w:tcPr>
            <w:tcW w:w="2080" w:type="dxa"/>
            <w:vAlign w:val="bottom"/>
            <w:gridSpan w:val="31"/>
          </w:tcPr>
          <w:p>
            <w:pPr>
              <w:ind w:left="100"/>
              <w:spacing w:after="0" w:line="169" w:lineRule="exact"/>
              <w:rPr>
                <w:sz w:val="20"/>
                <w:szCs w:val="20"/>
                <w:color w:val="auto"/>
              </w:rPr>
            </w:pPr>
            <w:r>
              <w:rPr>
                <w:rFonts w:ascii="Arial" w:cs="Arial" w:eastAsia="Arial" w:hAnsi="Arial"/>
                <w:sz w:val="19"/>
                <w:szCs w:val="19"/>
                <w:color w:val="auto"/>
                <w:w w:val="85"/>
              </w:rPr>
              <w:t>Termination and Reduction</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3"/>
          </w:tcPr>
          <w:p>
            <w:pPr>
              <w:jc w:val="right"/>
              <w:ind w:right="200"/>
              <w:spacing w:after="0" w:line="169" w:lineRule="exact"/>
              <w:rPr>
                <w:sz w:val="20"/>
                <w:szCs w:val="20"/>
                <w:color w:val="auto"/>
              </w:rPr>
            </w:pPr>
            <w:r>
              <w:rPr>
                <w:rFonts w:ascii="Arial" w:cs="Arial" w:eastAsia="Arial" w:hAnsi="Arial"/>
                <w:sz w:val="19"/>
                <w:szCs w:val="19"/>
                <w:color w:val="auto"/>
                <w:w w:val="95"/>
              </w:rPr>
              <w:t>of Commitments</w:t>
            </w:r>
          </w:p>
        </w:tc>
        <w:tc>
          <w:tcPr>
            <w:tcW w:w="200" w:type="dxa"/>
            <w:vAlign w:val="bottom"/>
            <w:gridSpan w:val="2"/>
          </w:tcPr>
          <w:p>
            <w:pPr>
              <w:jc w:val="right"/>
              <w:spacing w:after="0" w:line="169" w:lineRule="exact"/>
              <w:rPr>
                <w:sz w:val="20"/>
                <w:szCs w:val="20"/>
                <w:color w:val="auto"/>
              </w:rPr>
            </w:pPr>
            <w:r>
              <w:rPr>
                <w:rFonts w:ascii="Arial" w:cs="Arial" w:eastAsia="Arial" w:hAnsi="Arial"/>
                <w:sz w:val="19"/>
                <w:szCs w:val="19"/>
                <w:color w:val="FF0000"/>
                <w:strike w:val="1"/>
                <w:w w:val="84"/>
              </w:rPr>
              <w:t>27</w:t>
            </w:r>
          </w:p>
        </w:tc>
        <w:tc>
          <w:tcPr>
            <w:tcW w:w="200" w:type="dxa"/>
            <w:vAlign w:val="bottom"/>
            <w:tcBorders>
              <w:bottom w:val="single" w:sz="8" w:color="0000FF"/>
            </w:tcBorders>
            <w:gridSpan w:val="2"/>
          </w:tcPr>
          <w:p>
            <w:pPr>
              <w:jc w:val="right"/>
              <w:spacing w:after="0" w:line="169" w:lineRule="exact"/>
              <w:rPr>
                <w:sz w:val="20"/>
                <w:szCs w:val="20"/>
                <w:color w:val="auto"/>
              </w:rPr>
            </w:pPr>
            <w:r>
              <w:rPr>
                <w:rFonts w:ascii="Arial" w:cs="Arial" w:eastAsia="Arial" w:hAnsi="Arial"/>
                <w:sz w:val="19"/>
                <w:szCs w:val="19"/>
                <w:color w:val="0000FF"/>
                <w:w w:val="84"/>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5"/>
              </w:rPr>
              <w:t>Section 2.10</w:t>
            </w:r>
          </w:p>
        </w:tc>
        <w:tc>
          <w:tcPr>
            <w:tcW w:w="100" w:type="dxa"/>
            <w:vAlign w:val="bottom"/>
          </w:tcPr>
          <w:p>
            <w:pPr>
              <w:spacing w:after="0"/>
              <w:rPr>
                <w:sz w:val="15"/>
                <w:szCs w:val="15"/>
                <w:color w:val="auto"/>
              </w:rPr>
            </w:pPr>
          </w:p>
        </w:tc>
        <w:tc>
          <w:tcPr>
            <w:tcW w:w="3180" w:type="dxa"/>
            <w:vAlign w:val="bottom"/>
            <w:gridSpan w:val="57"/>
          </w:tcPr>
          <w:p>
            <w:pPr>
              <w:spacing w:after="0" w:line="176" w:lineRule="exact"/>
              <w:rPr>
                <w:sz w:val="20"/>
                <w:szCs w:val="20"/>
                <w:color w:val="auto"/>
              </w:rPr>
            </w:pPr>
            <w:r>
              <w:rPr>
                <w:rFonts w:ascii="Arial" w:cs="Arial" w:eastAsia="Arial" w:hAnsi="Arial"/>
                <w:sz w:val="20"/>
                <w:szCs w:val="20"/>
                <w:color w:val="auto"/>
                <w:w w:val="90"/>
              </w:rPr>
              <w:t>Repayment of Loans; Evidence of Debt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5"/>
          </w:tcPr>
          <w:p>
            <w:pPr>
              <w:jc w:val="right"/>
              <w:spacing w:after="0" w:line="176" w:lineRule="exact"/>
              <w:rPr>
                <w:sz w:val="20"/>
                <w:szCs w:val="20"/>
                <w:color w:val="auto"/>
              </w:rPr>
            </w:pPr>
            <w:r>
              <w:rPr>
                <w:rFonts w:ascii="Arial" w:cs="Arial" w:eastAsia="Arial" w:hAnsi="Arial"/>
                <w:sz w:val="20"/>
                <w:szCs w:val="20"/>
                <w:color w:val="FF0000"/>
                <w:strike w:val="1"/>
              </w:rPr>
              <w:t>27</w:t>
            </w:r>
          </w:p>
        </w:tc>
        <w:tc>
          <w:tcPr>
            <w:tcW w:w="200" w:type="dxa"/>
            <w:vAlign w:val="bottom"/>
            <w:tcBorders>
              <w:bottom w:val="single" w:sz="8" w:color="0000FF"/>
            </w:tcBorders>
            <w:gridSpan w:val="5"/>
          </w:tcPr>
          <w:p>
            <w:pPr>
              <w:spacing w:after="0" w:line="176" w:lineRule="exact"/>
              <w:rPr>
                <w:sz w:val="20"/>
                <w:szCs w:val="20"/>
                <w:color w:val="auto"/>
              </w:rPr>
            </w:pPr>
            <w:r>
              <w:rPr>
                <w:rFonts w:ascii="Arial" w:cs="Arial" w:eastAsia="Arial" w:hAnsi="Arial"/>
                <w:sz w:val="20"/>
                <w:szCs w:val="20"/>
                <w:color w:val="0000FF"/>
                <w:w w:val="80"/>
              </w:rPr>
              <w:t>28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5"/>
              </w:rPr>
              <w:t>Section 2.11</w:t>
            </w:r>
          </w:p>
        </w:tc>
        <w:tc>
          <w:tcPr>
            <w:tcW w:w="1940" w:type="dxa"/>
            <w:vAlign w:val="bottom"/>
            <w:gridSpan w:val="27"/>
          </w:tcPr>
          <w:p>
            <w:pPr>
              <w:ind w:left="100"/>
              <w:spacing w:after="0" w:line="183" w:lineRule="exact"/>
              <w:rPr>
                <w:sz w:val="20"/>
                <w:szCs w:val="20"/>
                <w:color w:val="auto"/>
              </w:rPr>
            </w:pPr>
            <w:r>
              <w:rPr>
                <w:rFonts w:ascii="Arial" w:cs="Arial" w:eastAsia="Arial" w:hAnsi="Arial"/>
                <w:sz w:val="20"/>
                <w:szCs w:val="20"/>
                <w:color w:val="auto"/>
                <w:w w:val="94"/>
              </w:rPr>
              <w:t>Prepayment of Loans</w:t>
            </w:r>
          </w:p>
        </w:tc>
        <w:tc>
          <w:tcPr>
            <w:tcW w:w="40" w:type="dxa"/>
            <w:vAlign w:val="bottom"/>
          </w:tcPr>
          <w:p>
            <w:pPr>
              <w:spacing w:after="0"/>
              <w:rPr>
                <w:sz w:val="15"/>
                <w:szCs w:val="15"/>
                <w:color w:val="auto"/>
              </w:rPr>
            </w:pPr>
          </w:p>
        </w:tc>
        <w:tc>
          <w:tcPr>
            <w:tcW w:w="200" w:type="dxa"/>
            <w:vAlign w:val="bottom"/>
            <w:gridSpan w:val="5"/>
          </w:tcPr>
          <w:p>
            <w:pPr>
              <w:jc w:val="right"/>
              <w:spacing w:after="0" w:line="183" w:lineRule="exact"/>
              <w:rPr>
                <w:sz w:val="20"/>
                <w:szCs w:val="20"/>
                <w:color w:val="auto"/>
              </w:rPr>
            </w:pPr>
            <w:r>
              <w:rPr>
                <w:rFonts w:ascii="Arial" w:cs="Arial" w:eastAsia="Arial" w:hAnsi="Arial"/>
                <w:sz w:val="20"/>
                <w:szCs w:val="20"/>
                <w:color w:val="FF0000"/>
                <w:strike w:val="1"/>
                <w:w w:val="80"/>
              </w:rPr>
              <w:t>28</w:t>
            </w:r>
          </w:p>
        </w:tc>
        <w:tc>
          <w:tcPr>
            <w:tcW w:w="200" w:type="dxa"/>
            <w:vAlign w:val="bottom"/>
            <w:tcBorders>
              <w:bottom w:val="single" w:sz="8" w:color="0000FF"/>
            </w:tcBorders>
            <w:gridSpan w:val="6"/>
          </w:tcPr>
          <w:p>
            <w:pPr>
              <w:jc w:val="center"/>
              <w:spacing w:after="0" w:line="183" w:lineRule="exact"/>
              <w:rPr>
                <w:sz w:val="20"/>
                <w:szCs w:val="20"/>
                <w:color w:val="auto"/>
              </w:rPr>
            </w:pPr>
            <w:r>
              <w:rPr>
                <w:rFonts w:ascii="Arial" w:cs="Arial" w:eastAsia="Arial" w:hAnsi="Arial"/>
                <w:sz w:val="20"/>
                <w:szCs w:val="20"/>
                <w:color w:val="0000FF"/>
                <w:w w:val="89"/>
              </w:rPr>
              <w:t>29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3"/>
          </w:tcPr>
          <w:p>
            <w:pPr>
              <w:ind w:left="660"/>
              <w:spacing w:after="0" w:line="169" w:lineRule="exact"/>
              <w:rPr>
                <w:sz w:val="20"/>
                <w:szCs w:val="20"/>
                <w:color w:val="auto"/>
              </w:rPr>
            </w:pPr>
            <w:r>
              <w:rPr>
                <w:rFonts w:ascii="Arial" w:cs="Arial" w:eastAsia="Arial" w:hAnsi="Arial"/>
                <w:sz w:val="19"/>
                <w:szCs w:val="19"/>
                <w:color w:val="auto"/>
              </w:rPr>
              <w:t>Section 2.12</w:t>
            </w:r>
          </w:p>
        </w:tc>
        <w:tc>
          <w:tcPr>
            <w:tcW w:w="560" w:type="dxa"/>
            <w:vAlign w:val="bottom"/>
          </w:tcPr>
          <w:p>
            <w:pPr>
              <w:spacing w:after="0" w:line="169" w:lineRule="exact"/>
              <w:rPr>
                <w:sz w:val="20"/>
                <w:szCs w:val="20"/>
                <w:color w:val="auto"/>
              </w:rPr>
            </w:pPr>
            <w:r>
              <w:rPr>
                <w:rFonts w:ascii="Arial" w:cs="Arial" w:eastAsia="Arial" w:hAnsi="Arial"/>
                <w:sz w:val="19"/>
                <w:szCs w:val="19"/>
                <w:color w:val="auto"/>
              </w:rPr>
              <w:t>Fees</w:t>
            </w:r>
          </w:p>
        </w:tc>
        <w:tc>
          <w:tcPr>
            <w:tcW w:w="200" w:type="dxa"/>
            <w:vAlign w:val="bottom"/>
            <w:gridSpan w:val="2"/>
          </w:tcPr>
          <w:p>
            <w:pPr>
              <w:jc w:val="right"/>
              <w:spacing w:after="0" w:line="169" w:lineRule="exact"/>
              <w:rPr>
                <w:sz w:val="20"/>
                <w:szCs w:val="20"/>
                <w:color w:val="auto"/>
              </w:rPr>
            </w:pPr>
            <w:r>
              <w:rPr>
                <w:rFonts w:ascii="Arial" w:cs="Arial" w:eastAsia="Arial" w:hAnsi="Arial"/>
                <w:sz w:val="19"/>
                <w:szCs w:val="19"/>
                <w:color w:val="FF0000"/>
                <w:strike w:val="1"/>
                <w:w w:val="84"/>
              </w:rPr>
              <w:t>28</w:t>
            </w:r>
          </w:p>
        </w:tc>
        <w:tc>
          <w:tcPr>
            <w:tcW w:w="200" w:type="dxa"/>
            <w:vAlign w:val="bottom"/>
            <w:tcBorders>
              <w:bottom w:val="single" w:sz="8" w:color="0000FF"/>
            </w:tcBorders>
            <w:gridSpan w:val="3"/>
          </w:tcPr>
          <w:p>
            <w:pPr>
              <w:jc w:val="right"/>
              <w:spacing w:after="0" w:line="169" w:lineRule="exact"/>
              <w:rPr>
                <w:sz w:val="20"/>
                <w:szCs w:val="20"/>
                <w:color w:val="auto"/>
              </w:rPr>
            </w:pPr>
            <w:r>
              <w:rPr>
                <w:rFonts w:ascii="Arial" w:cs="Arial" w:eastAsia="Arial" w:hAnsi="Arial"/>
                <w:sz w:val="19"/>
                <w:szCs w:val="19"/>
                <w:color w:val="0000FF"/>
                <w:w w:val="84"/>
              </w:rPr>
              <w:t>29</w:t>
            </w:r>
          </w:p>
        </w:tc>
        <w:tc>
          <w:tcPr>
            <w:tcW w:w="5720" w:type="dxa"/>
            <w:vAlign w:val="bottom"/>
            <w:gridSpan w:val="8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3"/>
          </w:tcPr>
          <w:p>
            <w:pPr>
              <w:ind w:left="660"/>
              <w:spacing w:after="0" w:line="176" w:lineRule="exact"/>
              <w:rPr>
                <w:sz w:val="20"/>
                <w:szCs w:val="20"/>
                <w:color w:val="auto"/>
              </w:rPr>
            </w:pPr>
            <w:r>
              <w:rPr>
                <w:rFonts w:ascii="Arial" w:cs="Arial" w:eastAsia="Arial" w:hAnsi="Arial"/>
                <w:sz w:val="20"/>
                <w:szCs w:val="20"/>
                <w:color w:val="auto"/>
                <w:w w:val="95"/>
              </w:rPr>
              <w:t>Section 2.13</w:t>
            </w:r>
          </w:p>
        </w:tc>
        <w:tc>
          <w:tcPr>
            <w:tcW w:w="760" w:type="dxa"/>
            <w:vAlign w:val="bottom"/>
            <w:gridSpan w:val="3"/>
          </w:tcPr>
          <w:p>
            <w:pPr>
              <w:spacing w:after="0" w:line="176" w:lineRule="exact"/>
              <w:rPr>
                <w:sz w:val="20"/>
                <w:szCs w:val="20"/>
                <w:color w:val="auto"/>
              </w:rPr>
            </w:pPr>
            <w:r>
              <w:rPr>
                <w:rFonts w:ascii="Arial" w:cs="Arial" w:eastAsia="Arial" w:hAnsi="Arial"/>
                <w:sz w:val="20"/>
                <w:szCs w:val="20"/>
                <w:color w:val="auto"/>
                <w:w w:val="95"/>
              </w:rPr>
              <w:t>Interest</w:t>
            </w:r>
          </w:p>
        </w:tc>
        <w:tc>
          <w:tcPr>
            <w:tcW w:w="240" w:type="dxa"/>
            <w:vAlign w:val="bottom"/>
            <w:gridSpan w:val="4"/>
          </w:tcPr>
          <w:p>
            <w:pPr>
              <w:jc w:val="right"/>
              <w:spacing w:after="0" w:line="176" w:lineRule="exact"/>
              <w:rPr>
                <w:sz w:val="20"/>
                <w:szCs w:val="20"/>
                <w:color w:val="auto"/>
              </w:rPr>
            </w:pPr>
            <w:r>
              <w:rPr>
                <w:rFonts w:ascii="Arial" w:cs="Arial" w:eastAsia="Arial" w:hAnsi="Arial"/>
                <w:sz w:val="20"/>
                <w:szCs w:val="20"/>
                <w:color w:val="FF0000"/>
                <w:strike w:val="1"/>
                <w:w w:val="80"/>
              </w:rPr>
              <w:t>28</w:t>
            </w:r>
          </w:p>
        </w:tc>
        <w:tc>
          <w:tcPr>
            <w:tcW w:w="5680" w:type="dxa"/>
            <w:vAlign w:val="bottom"/>
            <w:gridSpan w:val="81"/>
          </w:tcPr>
          <w:p>
            <w:pPr>
              <w:spacing w:after="0" w:line="176" w:lineRule="exact"/>
              <w:rPr>
                <w:sz w:val="20"/>
                <w:szCs w:val="20"/>
                <w:color w:val="auto"/>
              </w:rPr>
            </w:pPr>
            <w:r>
              <w:rPr>
                <w:rFonts w:ascii="Arial" w:cs="Arial" w:eastAsia="Arial" w:hAnsi="Arial"/>
                <w:sz w:val="20"/>
                <w:szCs w:val="20"/>
                <w:color w:val="0000FF"/>
                <w:w w:val="80"/>
              </w:rPr>
              <w:t>29</w:t>
            </w: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ind w:left="660"/>
              <w:spacing w:after="0" w:line="203" w:lineRule="exact"/>
              <w:rPr>
                <w:sz w:val="20"/>
                <w:szCs w:val="20"/>
                <w:color w:val="auto"/>
              </w:rPr>
            </w:pPr>
            <w:r>
              <w:rPr>
                <w:rFonts w:ascii="Arial" w:cs="Arial" w:eastAsia="Arial" w:hAnsi="Arial"/>
                <w:sz w:val="20"/>
                <w:szCs w:val="20"/>
                <w:color w:val="auto"/>
                <w:w w:val="95"/>
              </w:rPr>
              <w:t>Section 2.14</w:t>
            </w:r>
          </w:p>
        </w:tc>
        <w:tc>
          <w:tcPr>
            <w:tcW w:w="100" w:type="dxa"/>
            <w:vAlign w:val="bottom"/>
          </w:tcPr>
          <w:p>
            <w:pPr>
              <w:spacing w:after="0" w:line="20" w:lineRule="exact"/>
              <w:rPr>
                <w:sz w:val="1"/>
                <w:szCs w:val="1"/>
                <w:color w:val="auto"/>
              </w:rPr>
            </w:pPr>
          </w:p>
        </w:tc>
        <w:tc>
          <w:tcPr>
            <w:tcW w:w="1000" w:type="dxa"/>
            <w:vAlign w:val="bottom"/>
            <w:gridSpan w:val="7"/>
            <w:vMerge w:val="restart"/>
          </w:tcPr>
          <w:p>
            <w:pPr>
              <w:spacing w:after="0" w:line="203" w:lineRule="exact"/>
              <w:rPr>
                <w:sz w:val="20"/>
                <w:szCs w:val="20"/>
                <w:color w:val="auto"/>
              </w:rPr>
            </w:pPr>
            <w:r>
              <w:rPr>
                <w:rFonts w:ascii="Arial" w:cs="Arial" w:eastAsia="Arial" w:hAnsi="Arial"/>
                <w:sz w:val="20"/>
                <w:szCs w:val="20"/>
                <w:color w:val="0000FF"/>
                <w:w w:val="99"/>
              </w:rPr>
              <w:t>Temporary</w:t>
            </w: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500" w:type="dxa"/>
            <w:vAlign w:val="bottom"/>
            <w:gridSpan w:val="7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7"/>
            <w:vMerge w:val="continue"/>
          </w:tcPr>
          <w:p>
            <w:pPr>
              <w:spacing w:after="0"/>
              <w:rPr>
                <w:sz w:val="15"/>
                <w:szCs w:val="15"/>
                <w:color w:val="auto"/>
              </w:rPr>
            </w:pPr>
          </w:p>
        </w:tc>
        <w:tc>
          <w:tcPr>
            <w:tcW w:w="5300" w:type="dxa"/>
            <w:vAlign w:val="bottom"/>
            <w:gridSpan w:val="78"/>
          </w:tcPr>
          <w:p>
            <w:pPr>
              <w:spacing w:after="0" w:line="183" w:lineRule="exact"/>
              <w:rPr>
                <w:sz w:val="20"/>
                <w:szCs w:val="20"/>
                <w:color w:val="auto"/>
              </w:rPr>
            </w:pPr>
            <w:r>
              <w:rPr>
                <w:rFonts w:ascii="Arial" w:cs="Arial" w:eastAsia="Arial" w:hAnsi="Arial"/>
                <w:sz w:val="20"/>
                <w:szCs w:val="20"/>
                <w:color w:val="0000FF"/>
                <w:w w:val="93"/>
              </w:rPr>
              <w:t xml:space="preserve">Inability to Determine Rates; </w:t>
            </w:r>
            <w:r>
              <w:rPr>
                <w:rFonts w:ascii="Arial" w:cs="Arial" w:eastAsia="Arial" w:hAnsi="Arial"/>
                <w:sz w:val="20"/>
                <w:szCs w:val="20"/>
                <w:color w:val="000000"/>
                <w:w w:val="93"/>
              </w:rPr>
              <w:t>Alternate Rate of Interest</w:t>
            </w:r>
            <w:r>
              <w:rPr>
                <w:rFonts w:ascii="Arial" w:cs="Arial" w:eastAsia="Arial" w:hAnsi="Arial"/>
                <w:sz w:val="20"/>
                <w:szCs w:val="20"/>
                <w:color w:val="0000FF"/>
                <w:w w:val="93"/>
              </w:rPr>
              <w:t>; Illegality</w:t>
            </w:r>
          </w:p>
        </w:tc>
        <w:tc>
          <w:tcPr>
            <w:tcW w:w="180" w:type="dxa"/>
            <w:vAlign w:val="bottom"/>
            <w:gridSpan w:val="2"/>
          </w:tcPr>
          <w:p>
            <w:pPr>
              <w:jc w:val="right"/>
              <w:spacing w:after="0" w:line="183" w:lineRule="exact"/>
              <w:rPr>
                <w:sz w:val="20"/>
                <w:szCs w:val="20"/>
                <w:color w:val="auto"/>
              </w:rPr>
            </w:pPr>
            <w:r>
              <w:rPr>
                <w:rFonts w:ascii="Arial" w:cs="Arial" w:eastAsia="Arial" w:hAnsi="Arial"/>
                <w:sz w:val="20"/>
                <w:szCs w:val="20"/>
                <w:color w:val="FF0000"/>
                <w:strike w:val="1"/>
                <w:w w:val="71"/>
              </w:rPr>
              <w:t>29</w:t>
            </w:r>
          </w:p>
        </w:tc>
        <w:tc>
          <w:tcPr>
            <w:tcW w:w="200" w:type="dxa"/>
            <w:vAlign w:val="bottom"/>
          </w:tcPr>
          <w:p>
            <w:pPr>
              <w:jc w:val="right"/>
              <w:spacing w:after="0" w:line="183" w:lineRule="exact"/>
              <w:rPr>
                <w:sz w:val="20"/>
                <w:szCs w:val="20"/>
                <w:color w:val="auto"/>
              </w:rPr>
            </w:pPr>
            <w:r>
              <w:rPr>
                <w:rFonts w:ascii="Arial" w:cs="Arial" w:eastAsia="Arial" w:hAnsi="Arial"/>
                <w:sz w:val="20"/>
                <w:szCs w:val="20"/>
                <w:color w:val="0000FF"/>
                <w:w w:val="80"/>
              </w:rPr>
              <w:t>30</w:t>
            </w:r>
          </w:p>
        </w:tc>
        <w:tc>
          <w:tcPr>
            <w:tcW w:w="0" w:type="dxa"/>
            <w:vAlign w:val="bottom"/>
          </w:tcPr>
          <w:p>
            <w:pPr>
              <w:spacing w:after="0"/>
              <w:rPr>
                <w:sz w:val="1"/>
                <w:szCs w:val="1"/>
                <w:color w:val="auto"/>
              </w:rPr>
            </w:pPr>
          </w:p>
        </w:tc>
      </w:tr>
      <w:tr>
        <w:trPr>
          <w:trHeight w:val="169"/>
        </w:trPr>
        <w:tc>
          <w:tcPr>
            <w:tcW w:w="1840" w:type="dxa"/>
            <w:vAlign w:val="bottom"/>
            <w:gridSpan w:val="3"/>
          </w:tcPr>
          <w:p>
            <w:pPr>
              <w:ind w:left="660"/>
              <w:spacing w:after="0" w:line="169" w:lineRule="exact"/>
              <w:rPr>
                <w:sz w:val="20"/>
                <w:szCs w:val="20"/>
                <w:color w:val="auto"/>
              </w:rPr>
            </w:pPr>
            <w:r>
              <w:rPr>
                <w:rFonts w:ascii="Arial" w:cs="Arial" w:eastAsia="Arial" w:hAnsi="Arial"/>
                <w:sz w:val="19"/>
                <w:szCs w:val="19"/>
                <w:color w:val="auto"/>
              </w:rPr>
              <w:t>Section 2.15</w:t>
            </w:r>
          </w:p>
        </w:tc>
        <w:tc>
          <w:tcPr>
            <w:tcW w:w="144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9"/>
                <w:szCs w:val="19"/>
                <w:color w:val="auto"/>
                <w:w w:val="94"/>
              </w:rPr>
              <w:t>Increased Costs</w:t>
            </w:r>
          </w:p>
        </w:tc>
        <w:tc>
          <w:tcPr>
            <w:tcW w:w="200" w:type="dxa"/>
            <w:vAlign w:val="bottom"/>
            <w:tcBorders>
              <w:top w:val="single" w:sz="8" w:color="0000FF"/>
            </w:tcBorders>
            <w:gridSpan w:val="6"/>
          </w:tcPr>
          <w:p>
            <w:pPr>
              <w:jc w:val="right"/>
              <w:spacing w:after="0" w:line="169" w:lineRule="exact"/>
              <w:rPr>
                <w:sz w:val="20"/>
                <w:szCs w:val="20"/>
                <w:color w:val="auto"/>
              </w:rPr>
            </w:pPr>
            <w:r>
              <w:rPr>
                <w:rFonts w:ascii="Arial" w:cs="Arial" w:eastAsia="Arial" w:hAnsi="Arial"/>
                <w:sz w:val="19"/>
                <w:szCs w:val="19"/>
                <w:color w:val="FF0000"/>
                <w:strike w:val="1"/>
                <w:w w:val="84"/>
              </w:rPr>
              <w:t>29</w:t>
            </w:r>
          </w:p>
        </w:tc>
        <w:tc>
          <w:tcPr>
            <w:tcW w:w="1620" w:type="dxa"/>
            <w:vAlign w:val="bottom"/>
            <w:tcBorders>
              <w:top w:val="single" w:sz="8" w:color="0000FF"/>
            </w:tcBorders>
            <w:gridSpan w:val="35"/>
          </w:tcPr>
          <w:p>
            <w:pPr>
              <w:jc w:val="right"/>
              <w:ind w:right="1321"/>
              <w:spacing w:after="0" w:line="169" w:lineRule="exact"/>
              <w:rPr>
                <w:sz w:val="20"/>
                <w:szCs w:val="20"/>
                <w:color w:val="auto"/>
              </w:rPr>
            </w:pPr>
            <w:r>
              <w:rPr>
                <w:rFonts w:ascii="Arial" w:cs="Arial" w:eastAsia="Arial" w:hAnsi="Arial"/>
                <w:sz w:val="19"/>
                <w:szCs w:val="19"/>
                <w:color w:val="0000FF"/>
                <w:w w:val="84"/>
              </w:rPr>
              <w:t>31</w:t>
            </w:r>
          </w:p>
        </w:tc>
        <w:tc>
          <w:tcPr>
            <w:tcW w:w="2020" w:type="dxa"/>
            <w:vAlign w:val="bottom"/>
            <w:gridSpan w:val="21"/>
          </w:tcPr>
          <w:p>
            <w:pPr>
              <w:spacing w:after="0"/>
              <w:rPr>
                <w:sz w:val="14"/>
                <w:szCs w:val="14"/>
                <w:color w:val="auto"/>
              </w:rPr>
            </w:pPr>
          </w:p>
        </w:tc>
        <w:tc>
          <w:tcPr>
            <w:tcW w:w="820" w:type="dxa"/>
            <w:vAlign w:val="bottom"/>
            <w:tcBorders>
              <w:top w:val="single" w:sz="8" w:color="0000FF"/>
            </w:tcBorders>
            <w:gridSpan w:val="3"/>
          </w:tcPr>
          <w:p>
            <w:pPr>
              <w:spacing w:after="0"/>
              <w:rPr>
                <w:sz w:val="14"/>
                <w:szCs w:val="14"/>
                <w:color w:val="auto"/>
              </w:rPr>
            </w:pPr>
          </w:p>
        </w:tc>
        <w:tc>
          <w:tcPr>
            <w:tcW w:w="380" w:type="dxa"/>
            <w:vAlign w:val="bottom"/>
            <w:gridSpan w:val="4"/>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40" w:type="dxa"/>
            <w:vAlign w:val="bottom"/>
            <w:gridSpan w:val="2"/>
            <w:vMerge w:val="restart"/>
          </w:tcPr>
          <w:p>
            <w:pPr>
              <w:ind w:left="660"/>
              <w:spacing w:after="0" w:line="203" w:lineRule="exact"/>
              <w:rPr>
                <w:sz w:val="20"/>
                <w:szCs w:val="20"/>
                <w:color w:val="auto"/>
              </w:rPr>
            </w:pPr>
            <w:r>
              <w:rPr>
                <w:rFonts w:ascii="Arial" w:cs="Arial" w:eastAsia="Arial" w:hAnsi="Arial"/>
                <w:sz w:val="20"/>
                <w:szCs w:val="20"/>
                <w:color w:val="auto"/>
                <w:w w:val="95"/>
              </w:rPr>
              <w:t>Section 2.16</w:t>
            </w:r>
          </w:p>
        </w:tc>
        <w:tc>
          <w:tcPr>
            <w:tcW w:w="1940" w:type="dxa"/>
            <w:vAlign w:val="bottom"/>
            <w:tcBorders>
              <w:right w:val="single" w:sz="8" w:color="0000FF"/>
            </w:tcBorders>
            <w:gridSpan w:val="27"/>
          </w:tcPr>
          <w:p>
            <w:pPr>
              <w:spacing w:after="0"/>
              <w:rPr>
                <w:sz w:val="2"/>
                <w:szCs w:val="2"/>
                <w:color w:val="auto"/>
              </w:rPr>
            </w:pPr>
          </w:p>
        </w:tc>
        <w:tc>
          <w:tcPr>
            <w:tcW w:w="160" w:type="dxa"/>
            <w:vAlign w:val="bottom"/>
            <w:gridSpan w:val="5"/>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gridSpan w:val="8"/>
            <w:vMerge w:val="restart"/>
          </w:tcPr>
          <w:p>
            <w:pPr>
              <w:spacing w:after="0" w:line="203" w:lineRule="exact"/>
              <w:rPr>
                <w:sz w:val="20"/>
                <w:szCs w:val="20"/>
                <w:color w:val="auto"/>
              </w:rPr>
            </w:pPr>
            <w:r>
              <w:rPr>
                <w:rFonts w:ascii="Arial" w:cs="Arial" w:eastAsia="Arial" w:hAnsi="Arial"/>
                <w:sz w:val="20"/>
                <w:szCs w:val="20"/>
                <w:color w:val="FF0000"/>
                <w:strike w:val="1"/>
                <w:w w:val="89"/>
              </w:rPr>
              <w:t>30</w:t>
            </w:r>
          </w:p>
        </w:tc>
        <w:tc>
          <w:tcPr>
            <w:tcW w:w="180" w:type="dxa"/>
            <w:vAlign w:val="bottom"/>
            <w:gridSpan w:val="5"/>
            <w:vMerge w:val="restart"/>
          </w:tcPr>
          <w:p>
            <w:pPr>
              <w:spacing w:after="0" w:line="203" w:lineRule="exact"/>
              <w:rPr>
                <w:sz w:val="20"/>
                <w:szCs w:val="20"/>
                <w:color w:val="auto"/>
              </w:rPr>
            </w:pPr>
            <w:r>
              <w:rPr>
                <w:rFonts w:ascii="Arial" w:cs="Arial" w:eastAsia="Arial" w:hAnsi="Arial"/>
                <w:sz w:val="20"/>
                <w:szCs w:val="20"/>
                <w:color w:val="0000FF"/>
                <w:w w:val="71"/>
              </w:rPr>
              <w:t>32</w:t>
            </w: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00" w:type="dxa"/>
            <w:vAlign w:val="bottom"/>
            <w:gridSpan w:val="3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6"/>
          </w:tcPr>
          <w:p>
            <w:pPr>
              <w:spacing w:after="0" w:line="176" w:lineRule="exact"/>
              <w:rPr>
                <w:sz w:val="20"/>
                <w:szCs w:val="20"/>
                <w:color w:val="auto"/>
              </w:rPr>
            </w:pPr>
            <w:r>
              <w:rPr>
                <w:rFonts w:ascii="Arial" w:cs="Arial" w:eastAsia="Arial" w:hAnsi="Arial"/>
                <w:sz w:val="20"/>
                <w:szCs w:val="20"/>
                <w:color w:val="auto"/>
                <w:w w:val="80"/>
              </w:rPr>
              <w:t>Break Funding Payments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gridSpan w:val="8"/>
            <w:vMerge w:val="continue"/>
          </w:tcPr>
          <w:p>
            <w:pPr>
              <w:spacing w:after="0"/>
              <w:rPr>
                <w:sz w:val="15"/>
                <w:szCs w:val="15"/>
                <w:color w:val="auto"/>
              </w:rPr>
            </w:pPr>
          </w:p>
        </w:tc>
        <w:tc>
          <w:tcPr>
            <w:tcW w:w="180" w:type="dxa"/>
            <w:vAlign w:val="bottom"/>
            <w:tcBorders>
              <w:bottom w:val="single" w:sz="8" w:color="0000FF"/>
            </w:tcBorders>
            <w:gridSpan w:val="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5"/>
              </w:rPr>
              <w:t>Section 2.17</w:t>
            </w:r>
          </w:p>
        </w:tc>
        <w:tc>
          <w:tcPr>
            <w:tcW w:w="100" w:type="dxa"/>
            <w:vAlign w:val="bottom"/>
          </w:tcPr>
          <w:p>
            <w:pPr>
              <w:spacing w:after="0"/>
              <w:rPr>
                <w:sz w:val="15"/>
                <w:szCs w:val="15"/>
                <w:color w:val="auto"/>
              </w:rPr>
            </w:pPr>
          </w:p>
        </w:tc>
        <w:tc>
          <w:tcPr>
            <w:tcW w:w="2000" w:type="dxa"/>
            <w:vAlign w:val="bottom"/>
            <w:gridSpan w:val="31"/>
          </w:tcPr>
          <w:p>
            <w:pPr>
              <w:spacing w:after="0" w:line="183" w:lineRule="exact"/>
              <w:rPr>
                <w:sz w:val="20"/>
                <w:szCs w:val="20"/>
                <w:color w:val="auto"/>
              </w:rPr>
            </w:pPr>
            <w:r>
              <w:rPr>
                <w:rFonts w:ascii="Arial" w:cs="Arial" w:eastAsia="Arial" w:hAnsi="Arial"/>
                <w:sz w:val="20"/>
                <w:szCs w:val="20"/>
                <w:color w:val="auto"/>
                <w:w w:val="90"/>
              </w:rPr>
              <w:t>Payments Free of Taxes</w:t>
            </w:r>
          </w:p>
        </w:tc>
        <w:tc>
          <w:tcPr>
            <w:tcW w:w="80" w:type="dxa"/>
            <w:vAlign w:val="bottom"/>
          </w:tcPr>
          <w:p>
            <w:pPr>
              <w:spacing w:after="0"/>
              <w:rPr>
                <w:sz w:val="15"/>
                <w:szCs w:val="15"/>
                <w:color w:val="auto"/>
              </w:rPr>
            </w:pPr>
          </w:p>
        </w:tc>
        <w:tc>
          <w:tcPr>
            <w:tcW w:w="220" w:type="dxa"/>
            <w:vAlign w:val="bottom"/>
            <w:gridSpan w:val="7"/>
          </w:tcPr>
          <w:p>
            <w:pPr>
              <w:jc w:val="center"/>
              <w:spacing w:after="0" w:line="183" w:lineRule="exact"/>
              <w:rPr>
                <w:sz w:val="20"/>
                <w:szCs w:val="20"/>
                <w:color w:val="auto"/>
              </w:rPr>
            </w:pPr>
            <w:r>
              <w:rPr>
                <w:rFonts w:ascii="Arial" w:cs="Arial" w:eastAsia="Arial" w:hAnsi="Arial"/>
                <w:sz w:val="20"/>
                <w:szCs w:val="20"/>
                <w:color w:val="FF0000"/>
                <w:strike w:val="1"/>
                <w:w w:val="89"/>
              </w:rPr>
              <w:t>31</w:t>
            </w:r>
          </w:p>
        </w:tc>
        <w:tc>
          <w:tcPr>
            <w:tcW w:w="180" w:type="dxa"/>
            <w:vAlign w:val="bottom"/>
            <w:tcBorders>
              <w:bottom w:val="single" w:sz="8" w:color="0000FF"/>
            </w:tcBorders>
            <w:gridSpan w:val="7"/>
          </w:tcPr>
          <w:p>
            <w:pPr>
              <w:jc w:val="right"/>
              <w:spacing w:after="0" w:line="183" w:lineRule="exact"/>
              <w:rPr>
                <w:sz w:val="20"/>
                <w:szCs w:val="20"/>
                <w:color w:val="auto"/>
              </w:rPr>
            </w:pPr>
            <w:r>
              <w:rPr>
                <w:rFonts w:ascii="Arial" w:cs="Arial" w:eastAsia="Arial" w:hAnsi="Arial"/>
                <w:sz w:val="20"/>
                <w:szCs w:val="20"/>
                <w:color w:val="0000FF"/>
                <w:w w:val="71"/>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2.18</w:t>
            </w:r>
          </w:p>
        </w:tc>
        <w:tc>
          <w:tcPr>
            <w:tcW w:w="100" w:type="dxa"/>
            <w:vAlign w:val="bottom"/>
          </w:tcPr>
          <w:p>
            <w:pPr>
              <w:spacing w:after="0"/>
              <w:rPr>
                <w:sz w:val="15"/>
                <w:szCs w:val="15"/>
                <w:color w:val="auto"/>
              </w:rPr>
            </w:pPr>
          </w:p>
        </w:tc>
        <w:tc>
          <w:tcPr>
            <w:tcW w:w="2480" w:type="dxa"/>
            <w:vAlign w:val="bottom"/>
            <w:gridSpan w:val="46"/>
          </w:tcPr>
          <w:p>
            <w:pPr>
              <w:spacing w:after="0" w:line="169" w:lineRule="exact"/>
              <w:rPr>
                <w:sz w:val="20"/>
                <w:szCs w:val="20"/>
                <w:color w:val="auto"/>
              </w:rPr>
            </w:pPr>
            <w:r>
              <w:rPr>
                <w:rFonts w:ascii="Arial" w:cs="Arial" w:eastAsia="Arial" w:hAnsi="Arial"/>
                <w:sz w:val="19"/>
                <w:szCs w:val="19"/>
                <w:color w:val="auto"/>
                <w:w w:val="95"/>
              </w:rPr>
              <w:t>Payments Generally; Pro Rata</w:t>
            </w:r>
          </w:p>
        </w:tc>
        <w:tc>
          <w:tcPr>
            <w:tcW w:w="2580" w:type="dxa"/>
            <w:vAlign w:val="bottom"/>
            <w:gridSpan w:val="32"/>
          </w:tcPr>
          <w:p>
            <w:pPr>
              <w:spacing w:after="0" w:line="169" w:lineRule="exact"/>
              <w:rPr>
                <w:sz w:val="20"/>
                <w:szCs w:val="20"/>
                <w:color w:val="auto"/>
              </w:rPr>
            </w:pPr>
            <w:r>
              <w:rPr>
                <w:rFonts w:ascii="Arial" w:cs="Arial" w:eastAsia="Arial" w:hAnsi="Arial"/>
                <w:sz w:val="19"/>
                <w:szCs w:val="19"/>
                <w:color w:val="auto"/>
              </w:rPr>
              <w:t>Treatment; Sharing of Set-offs</w:t>
            </w:r>
          </w:p>
        </w:tc>
        <w:tc>
          <w:tcPr>
            <w:tcW w:w="200" w:type="dxa"/>
            <w:vAlign w:val="bottom"/>
          </w:tcPr>
          <w:p>
            <w:pPr>
              <w:jc w:val="right"/>
              <w:spacing w:after="0" w:line="169" w:lineRule="exact"/>
              <w:rPr>
                <w:sz w:val="20"/>
                <w:szCs w:val="20"/>
                <w:color w:val="auto"/>
              </w:rPr>
            </w:pPr>
            <w:r>
              <w:rPr>
                <w:rFonts w:ascii="Arial" w:cs="Arial" w:eastAsia="Arial" w:hAnsi="Arial"/>
                <w:sz w:val="19"/>
                <w:szCs w:val="19"/>
                <w:color w:val="FF0000"/>
                <w:strike w:val="1"/>
                <w:w w:val="84"/>
              </w:rPr>
              <w:t>34</w:t>
            </w:r>
          </w:p>
        </w:tc>
        <w:tc>
          <w:tcPr>
            <w:tcW w:w="680" w:type="dxa"/>
            <w:vAlign w:val="bottom"/>
            <w:gridSpan w:val="3"/>
          </w:tcPr>
          <w:p>
            <w:pPr>
              <w:jc w:val="right"/>
              <w:ind w:right="500"/>
              <w:spacing w:after="0" w:line="169" w:lineRule="exact"/>
              <w:rPr>
                <w:sz w:val="20"/>
                <w:szCs w:val="20"/>
                <w:color w:val="auto"/>
              </w:rPr>
            </w:pPr>
            <w:r>
              <w:rPr>
                <w:rFonts w:ascii="Arial" w:cs="Arial" w:eastAsia="Arial" w:hAnsi="Arial"/>
                <w:sz w:val="19"/>
                <w:szCs w:val="19"/>
                <w:color w:val="0000FF"/>
                <w:w w:val="75"/>
              </w:rPr>
              <w:t>36</w:t>
            </w:r>
          </w:p>
        </w:tc>
        <w:tc>
          <w:tcPr>
            <w:tcW w:w="18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5"/>
              </w:rPr>
              <w:t>Section 2.19</w:t>
            </w:r>
          </w:p>
        </w:tc>
        <w:tc>
          <w:tcPr>
            <w:tcW w:w="100" w:type="dxa"/>
            <w:vAlign w:val="bottom"/>
          </w:tcPr>
          <w:p>
            <w:pPr>
              <w:spacing w:after="0"/>
              <w:rPr>
                <w:sz w:val="15"/>
                <w:szCs w:val="15"/>
                <w:color w:val="auto"/>
              </w:rPr>
            </w:pPr>
          </w:p>
        </w:tc>
        <w:tc>
          <w:tcPr>
            <w:tcW w:w="4030" w:type="dxa"/>
            <w:vAlign w:val="bottom"/>
            <w:gridSpan w:val="72"/>
          </w:tcPr>
          <w:p>
            <w:pPr>
              <w:spacing w:after="0" w:line="176" w:lineRule="exact"/>
              <w:rPr>
                <w:sz w:val="20"/>
                <w:szCs w:val="20"/>
                <w:color w:val="auto"/>
              </w:rPr>
            </w:pPr>
            <w:r>
              <w:rPr>
                <w:rFonts w:ascii="Arial" w:cs="Arial" w:eastAsia="Arial" w:hAnsi="Arial"/>
                <w:sz w:val="20"/>
                <w:szCs w:val="20"/>
                <w:color w:val="auto"/>
                <w:w w:val="95"/>
              </w:rPr>
              <w:t>Mitigation Obligations; Replacement of Lenders</w:t>
            </w:r>
          </w:p>
        </w:tc>
        <w:tc>
          <w:tcPr>
            <w:tcW w:w="210" w:type="dxa"/>
            <w:vAlign w:val="bottom"/>
            <w:gridSpan w:val="2"/>
          </w:tcPr>
          <w:p>
            <w:pPr>
              <w:jc w:val="right"/>
              <w:spacing w:after="0" w:line="176" w:lineRule="exact"/>
              <w:rPr>
                <w:sz w:val="20"/>
                <w:szCs w:val="20"/>
                <w:color w:val="auto"/>
              </w:rPr>
            </w:pPr>
            <w:r>
              <w:rPr>
                <w:rFonts w:ascii="Arial" w:cs="Arial" w:eastAsia="Arial" w:hAnsi="Arial"/>
                <w:sz w:val="20"/>
                <w:szCs w:val="20"/>
                <w:color w:val="FF0000"/>
                <w:strike w:val="1"/>
                <w:w w:val="80"/>
              </w:rPr>
              <w:t>35</w:t>
            </w:r>
          </w:p>
        </w:tc>
        <w:tc>
          <w:tcPr>
            <w:tcW w:w="360" w:type="dxa"/>
            <w:vAlign w:val="bottom"/>
            <w:gridSpan w:val="3"/>
          </w:tcPr>
          <w:p>
            <w:pPr>
              <w:jc w:val="right"/>
              <w:ind w:right="160"/>
              <w:spacing w:after="0" w:line="176" w:lineRule="exact"/>
              <w:rPr>
                <w:sz w:val="20"/>
                <w:szCs w:val="20"/>
                <w:color w:val="auto"/>
              </w:rPr>
            </w:pPr>
            <w:r>
              <w:rPr>
                <w:rFonts w:ascii="Arial" w:cs="Arial" w:eastAsia="Arial" w:hAnsi="Arial"/>
                <w:sz w:val="20"/>
                <w:szCs w:val="20"/>
                <w:color w:val="0000FF"/>
                <w:w w:val="80"/>
              </w:rPr>
              <w:t>37</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gridSpan w:val="3"/>
          </w:tcPr>
          <w:p>
            <w:pPr>
              <w:ind w:left="660"/>
              <w:spacing w:after="0" w:line="183" w:lineRule="exact"/>
              <w:rPr>
                <w:sz w:val="20"/>
                <w:szCs w:val="20"/>
                <w:color w:val="auto"/>
              </w:rPr>
            </w:pPr>
            <w:r>
              <w:rPr>
                <w:rFonts w:ascii="Arial" w:cs="Arial" w:eastAsia="Arial" w:hAnsi="Arial"/>
                <w:sz w:val="20"/>
                <w:szCs w:val="20"/>
                <w:color w:val="auto"/>
                <w:w w:val="95"/>
              </w:rPr>
              <w:t>Section 2.20</w:t>
            </w:r>
          </w:p>
        </w:tc>
        <w:tc>
          <w:tcPr>
            <w:tcW w:w="1840" w:type="dxa"/>
            <w:vAlign w:val="bottom"/>
            <w:gridSpan w:val="26"/>
          </w:tcPr>
          <w:p>
            <w:pPr>
              <w:spacing w:after="0" w:line="183" w:lineRule="exact"/>
              <w:rPr>
                <w:sz w:val="20"/>
                <w:szCs w:val="20"/>
                <w:color w:val="auto"/>
              </w:rPr>
            </w:pPr>
            <w:r>
              <w:rPr>
                <w:rFonts w:ascii="Arial" w:cs="Arial" w:eastAsia="Arial" w:hAnsi="Arial"/>
                <w:sz w:val="20"/>
                <w:szCs w:val="20"/>
                <w:color w:val="auto"/>
              </w:rPr>
              <w:t>Defaulting Lenders</w:t>
            </w:r>
            <w:r>
              <w:rPr>
                <w:rFonts w:ascii="Arial" w:cs="Arial" w:eastAsia="Arial" w:hAnsi="Arial"/>
                <w:sz w:val="20"/>
                <w:szCs w:val="20"/>
                <w:color w:val="FF0000"/>
                <w:strike w:val="1"/>
              </w:rPr>
              <w:t>.</w:t>
            </w:r>
          </w:p>
        </w:tc>
        <w:tc>
          <w:tcPr>
            <w:tcW w:w="140" w:type="dxa"/>
            <w:vAlign w:val="bottom"/>
            <w:gridSpan w:val="4"/>
          </w:tcPr>
          <w:p>
            <w:pPr>
              <w:jc w:val="right"/>
              <w:spacing w:after="0"/>
              <w:rPr>
                <w:sz w:val="20"/>
                <w:szCs w:val="20"/>
                <w:color w:val="auto"/>
              </w:rPr>
            </w:pPr>
            <w:r>
              <w:rPr>
                <w:rFonts w:ascii="Arial" w:cs="Arial" w:eastAsia="Arial" w:hAnsi="Arial"/>
                <w:sz w:val="15"/>
                <w:szCs w:val="15"/>
                <w:color w:val="FF0000"/>
                <w:strike w:val="1"/>
                <w:w w:val="71"/>
              </w:rPr>
              <w:t>36</w:t>
            </w:r>
          </w:p>
        </w:tc>
        <w:tc>
          <w:tcPr>
            <w:tcW w:w="200" w:type="dxa"/>
            <w:vAlign w:val="bottom"/>
            <w:tcBorders>
              <w:bottom w:val="single" w:sz="8" w:color="0000FF"/>
            </w:tcBorders>
            <w:gridSpan w:val="5"/>
          </w:tcPr>
          <w:p>
            <w:pPr>
              <w:jc w:val="right"/>
              <w:spacing w:after="0" w:line="183" w:lineRule="exact"/>
              <w:rPr>
                <w:sz w:val="20"/>
                <w:szCs w:val="20"/>
                <w:color w:val="auto"/>
              </w:rPr>
            </w:pPr>
            <w:r>
              <w:rPr>
                <w:rFonts w:ascii="Arial" w:cs="Arial" w:eastAsia="Arial" w:hAnsi="Arial"/>
                <w:sz w:val="20"/>
                <w:szCs w:val="20"/>
                <w:color w:val="0000FF"/>
                <w:w w:val="80"/>
              </w:rPr>
              <w:t>38</w:t>
            </w:r>
          </w:p>
        </w:tc>
        <w:tc>
          <w:tcPr>
            <w:tcW w:w="2060" w:type="dxa"/>
            <w:vAlign w:val="bottom"/>
            <w:gridSpan w:val="39"/>
          </w:tcPr>
          <w:p>
            <w:pPr>
              <w:spacing w:after="0"/>
              <w:rPr>
                <w:sz w:val="15"/>
                <w:szCs w:val="15"/>
                <w:color w:val="auto"/>
              </w:rPr>
            </w:pPr>
          </w:p>
        </w:tc>
        <w:tc>
          <w:tcPr>
            <w:tcW w:w="200" w:type="dxa"/>
            <w:vAlign w:val="bottom"/>
            <w:tcBorders>
              <w:top w:val="single" w:sz="8" w:color="0000FF"/>
            </w:tcBorders>
            <w:gridSpan w:val="2"/>
          </w:tcPr>
          <w:p>
            <w:pPr>
              <w:spacing w:after="0"/>
              <w:rPr>
                <w:sz w:val="15"/>
                <w:szCs w:val="15"/>
                <w:color w:val="auto"/>
              </w:rPr>
            </w:pPr>
          </w:p>
        </w:tc>
        <w:tc>
          <w:tcPr>
            <w:tcW w:w="22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3"/>
          </w:tcPr>
          <w:p>
            <w:pPr>
              <w:ind w:left="660"/>
              <w:spacing w:after="0" w:line="169" w:lineRule="exact"/>
              <w:rPr>
                <w:sz w:val="20"/>
                <w:szCs w:val="20"/>
                <w:color w:val="auto"/>
              </w:rPr>
            </w:pPr>
            <w:r>
              <w:rPr>
                <w:rFonts w:ascii="Arial" w:cs="Arial" w:eastAsia="Arial" w:hAnsi="Arial"/>
                <w:sz w:val="19"/>
                <w:szCs w:val="19"/>
                <w:color w:val="auto"/>
              </w:rPr>
              <w:t>Section 2.21</w:t>
            </w:r>
          </w:p>
        </w:tc>
        <w:tc>
          <w:tcPr>
            <w:tcW w:w="1000" w:type="dxa"/>
            <w:vAlign w:val="bottom"/>
            <w:gridSpan w:val="7"/>
          </w:tcPr>
          <w:p>
            <w:pPr>
              <w:spacing w:after="0" w:line="169" w:lineRule="exact"/>
              <w:rPr>
                <w:sz w:val="20"/>
                <w:szCs w:val="20"/>
                <w:color w:val="auto"/>
              </w:rPr>
            </w:pPr>
            <w:r>
              <w:rPr>
                <w:rFonts w:ascii="Arial" w:cs="Arial" w:eastAsia="Arial" w:hAnsi="Arial"/>
                <w:sz w:val="19"/>
                <w:szCs w:val="19"/>
                <w:color w:val="auto"/>
              </w:rPr>
              <w:t>[Reserved</w:t>
            </w:r>
            <w:r>
              <w:rPr>
                <w:rFonts w:ascii="Arial" w:cs="Arial" w:eastAsia="Arial" w:hAnsi="Arial"/>
                <w:sz w:val="19"/>
                <w:szCs w:val="19"/>
                <w:u w:val="single" w:color="auto"/>
                <w:color w:val="0000FF"/>
              </w:rPr>
              <w:t>]</w:t>
            </w:r>
          </w:p>
        </w:tc>
        <w:tc>
          <w:tcPr>
            <w:tcW w:w="260" w:type="dxa"/>
            <w:vAlign w:val="bottom"/>
            <w:gridSpan w:val="6"/>
          </w:tcPr>
          <w:p>
            <w:pPr>
              <w:jc w:val="right"/>
              <w:spacing w:after="0" w:line="169" w:lineRule="exact"/>
              <w:rPr>
                <w:sz w:val="20"/>
                <w:szCs w:val="20"/>
                <w:color w:val="auto"/>
              </w:rPr>
            </w:pPr>
            <w:r>
              <w:rPr>
                <w:rFonts w:ascii="Arial" w:cs="Arial" w:eastAsia="Arial" w:hAnsi="Arial"/>
                <w:sz w:val="19"/>
                <w:szCs w:val="19"/>
                <w:color w:val="FF0000"/>
                <w:strike w:val="1"/>
              </w:rPr>
              <w:t>37</w:t>
            </w:r>
          </w:p>
        </w:tc>
        <w:tc>
          <w:tcPr>
            <w:tcW w:w="200" w:type="dxa"/>
            <w:vAlign w:val="bottom"/>
            <w:tcBorders>
              <w:bottom w:val="single" w:sz="8" w:color="0000FF"/>
            </w:tcBorders>
            <w:gridSpan w:val="6"/>
          </w:tcPr>
          <w:p>
            <w:pPr>
              <w:jc w:val="right"/>
              <w:spacing w:after="0" w:line="169" w:lineRule="exact"/>
              <w:rPr>
                <w:sz w:val="20"/>
                <w:szCs w:val="20"/>
                <w:color w:val="auto"/>
              </w:rPr>
            </w:pPr>
            <w:r>
              <w:rPr>
                <w:rFonts w:ascii="Arial" w:cs="Arial" w:eastAsia="Arial" w:hAnsi="Arial"/>
                <w:sz w:val="19"/>
                <w:szCs w:val="19"/>
                <w:color w:val="0000FF"/>
                <w:w w:val="84"/>
              </w:rPr>
              <w:t>39</w:t>
            </w:r>
          </w:p>
        </w:tc>
        <w:tc>
          <w:tcPr>
            <w:tcW w:w="5220" w:type="dxa"/>
            <w:vAlign w:val="bottom"/>
            <w:gridSpan w:val="6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5"/>
              </w:rPr>
              <w:t>Section 2.22</w:t>
            </w:r>
          </w:p>
        </w:tc>
        <w:tc>
          <w:tcPr>
            <w:tcW w:w="100" w:type="dxa"/>
            <w:vAlign w:val="bottom"/>
          </w:tcPr>
          <w:p>
            <w:pPr>
              <w:spacing w:after="0"/>
              <w:rPr>
                <w:sz w:val="15"/>
                <w:szCs w:val="15"/>
                <w:color w:val="auto"/>
              </w:rPr>
            </w:pPr>
          </w:p>
        </w:tc>
        <w:tc>
          <w:tcPr>
            <w:tcW w:w="2360" w:type="dxa"/>
            <w:vAlign w:val="bottom"/>
            <w:gridSpan w:val="41"/>
          </w:tcPr>
          <w:p>
            <w:pPr>
              <w:spacing w:after="0" w:line="176" w:lineRule="exact"/>
              <w:rPr>
                <w:sz w:val="20"/>
                <w:szCs w:val="20"/>
                <w:color w:val="auto"/>
              </w:rPr>
            </w:pPr>
            <w:r>
              <w:rPr>
                <w:rFonts w:ascii="Arial" w:cs="Arial" w:eastAsia="Arial" w:hAnsi="Arial"/>
                <w:sz w:val="20"/>
                <w:szCs w:val="20"/>
                <w:color w:val="auto"/>
                <w:w w:val="99"/>
              </w:rPr>
              <w:t>Extension of Maturity Date</w:t>
            </w:r>
          </w:p>
        </w:tc>
        <w:tc>
          <w:tcPr>
            <w:tcW w:w="200" w:type="dxa"/>
            <w:vAlign w:val="bottom"/>
            <w:gridSpan w:val="6"/>
          </w:tcPr>
          <w:p>
            <w:pPr>
              <w:jc w:val="right"/>
              <w:spacing w:after="0" w:line="176" w:lineRule="exact"/>
              <w:rPr>
                <w:sz w:val="20"/>
                <w:szCs w:val="20"/>
                <w:color w:val="auto"/>
              </w:rPr>
            </w:pPr>
            <w:r>
              <w:rPr>
                <w:rFonts w:ascii="Arial" w:cs="Arial" w:eastAsia="Arial" w:hAnsi="Arial"/>
                <w:sz w:val="20"/>
                <w:szCs w:val="20"/>
                <w:color w:val="FF0000"/>
                <w:strike w:val="1"/>
                <w:w w:val="80"/>
              </w:rPr>
              <w:t>37</w:t>
            </w:r>
          </w:p>
        </w:tc>
        <w:tc>
          <w:tcPr>
            <w:tcW w:w="200" w:type="dxa"/>
            <w:vAlign w:val="bottom"/>
            <w:tcBorders>
              <w:bottom w:val="single" w:sz="8" w:color="0000FF"/>
            </w:tcBorders>
            <w:gridSpan w:val="6"/>
          </w:tcPr>
          <w:p>
            <w:pPr>
              <w:jc w:val="right"/>
              <w:spacing w:after="0" w:line="176" w:lineRule="exact"/>
              <w:rPr>
                <w:sz w:val="20"/>
                <w:szCs w:val="20"/>
                <w:color w:val="auto"/>
              </w:rPr>
            </w:pPr>
            <w:r>
              <w:rPr>
                <w:rFonts w:ascii="Arial" w:cs="Arial" w:eastAsia="Arial" w:hAnsi="Arial"/>
                <w:sz w:val="20"/>
                <w:szCs w:val="20"/>
                <w:color w:val="0000FF"/>
                <w:w w:val="80"/>
              </w:rPr>
              <w:t>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5"/>
              </w:rPr>
              <w:t>Section 2.23</w:t>
            </w:r>
          </w:p>
        </w:tc>
        <w:tc>
          <w:tcPr>
            <w:tcW w:w="100" w:type="dxa"/>
            <w:vAlign w:val="bottom"/>
          </w:tcPr>
          <w:p>
            <w:pPr>
              <w:spacing w:after="0"/>
              <w:rPr>
                <w:sz w:val="15"/>
                <w:szCs w:val="15"/>
                <w:color w:val="auto"/>
              </w:rPr>
            </w:pPr>
          </w:p>
        </w:tc>
        <w:tc>
          <w:tcPr>
            <w:tcW w:w="2560" w:type="dxa"/>
            <w:vAlign w:val="bottom"/>
            <w:gridSpan w:val="47"/>
          </w:tcPr>
          <w:p>
            <w:pPr>
              <w:spacing w:after="0" w:line="183" w:lineRule="exact"/>
              <w:rPr>
                <w:sz w:val="20"/>
                <w:szCs w:val="20"/>
                <w:color w:val="auto"/>
              </w:rPr>
            </w:pPr>
            <w:r>
              <w:rPr>
                <w:rFonts w:ascii="Arial" w:cs="Arial" w:eastAsia="Arial" w:hAnsi="Arial"/>
                <w:sz w:val="20"/>
                <w:szCs w:val="20"/>
                <w:color w:val="auto"/>
                <w:w w:val="86"/>
              </w:rPr>
              <w:t>Benchmark Replacement Setting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jc w:val="right"/>
              <w:spacing w:after="0" w:line="183" w:lineRule="exact"/>
              <w:rPr>
                <w:sz w:val="20"/>
                <w:szCs w:val="20"/>
                <w:color w:val="auto"/>
              </w:rPr>
            </w:pPr>
            <w:r>
              <w:rPr>
                <w:rFonts w:ascii="Arial" w:cs="Arial" w:eastAsia="Arial" w:hAnsi="Arial"/>
                <w:sz w:val="20"/>
                <w:szCs w:val="20"/>
                <w:color w:val="FF0000"/>
                <w:strike w:val="1"/>
                <w:w w:val="98"/>
              </w:rPr>
              <w:t>38</w:t>
            </w:r>
          </w:p>
        </w:tc>
        <w:tc>
          <w:tcPr>
            <w:tcW w:w="2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0"/>
                <w:szCs w:val="20"/>
                <w:color w:val="0000FF"/>
                <w:w w:val="80"/>
              </w:rPr>
              <w:t>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50" w:type="dxa"/>
            <w:vAlign w:val="bottom"/>
            <w:gridSpan w:val="2"/>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020" w:type="dxa"/>
            <w:vAlign w:val="bottom"/>
            <w:gridSpan w:val="60"/>
          </w:tcPr>
          <w:p>
            <w:pPr>
              <w:spacing w:after="0"/>
              <w:rPr>
                <w:sz w:val="20"/>
                <w:szCs w:val="20"/>
                <w:color w:val="auto"/>
              </w:rPr>
            </w:pPr>
            <w:r>
              <w:rPr>
                <w:rFonts w:ascii="Arial" w:cs="Arial" w:eastAsia="Arial" w:hAnsi="Arial"/>
                <w:sz w:val="20"/>
                <w:szCs w:val="20"/>
                <w:color w:val="auto"/>
                <w:w w:val="99"/>
              </w:rPr>
              <w:t>ARTICLE III  REPRESENTATIONS AND WARRANTIES</w:t>
            </w:r>
          </w:p>
        </w:tc>
        <w:tc>
          <w:tcPr>
            <w:tcW w:w="2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43</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5"/>
              </w:rPr>
              <w:t>Section 3.01</w:t>
            </w:r>
          </w:p>
        </w:tc>
        <w:tc>
          <w:tcPr>
            <w:tcW w:w="100" w:type="dxa"/>
            <w:vAlign w:val="bottom"/>
          </w:tcPr>
          <w:p>
            <w:pPr>
              <w:spacing w:after="0"/>
              <w:rPr>
                <w:sz w:val="24"/>
                <w:szCs w:val="24"/>
                <w:color w:val="auto"/>
              </w:rPr>
            </w:pPr>
          </w:p>
        </w:tc>
        <w:tc>
          <w:tcPr>
            <w:tcW w:w="1840" w:type="dxa"/>
            <w:vAlign w:val="bottom"/>
            <w:gridSpan w:val="26"/>
          </w:tcPr>
          <w:p>
            <w:pPr>
              <w:spacing w:after="0"/>
              <w:rPr>
                <w:sz w:val="20"/>
                <w:szCs w:val="20"/>
                <w:color w:val="auto"/>
              </w:rPr>
            </w:pPr>
            <w:r>
              <w:rPr>
                <w:rFonts w:ascii="Arial" w:cs="Arial" w:eastAsia="Arial" w:hAnsi="Arial"/>
                <w:sz w:val="20"/>
                <w:szCs w:val="20"/>
                <w:color w:val="auto"/>
                <w:w w:val="94"/>
              </w:rPr>
              <w:t>Organization; Powers</w:t>
            </w:r>
          </w:p>
        </w:tc>
        <w:tc>
          <w:tcPr>
            <w:tcW w:w="40" w:type="dxa"/>
            <w:vAlign w:val="bottom"/>
          </w:tcPr>
          <w:p>
            <w:pPr>
              <w:spacing w:after="0"/>
              <w:rPr>
                <w:sz w:val="24"/>
                <w:szCs w:val="24"/>
                <w:color w:val="auto"/>
              </w:rPr>
            </w:pPr>
          </w:p>
        </w:tc>
        <w:tc>
          <w:tcPr>
            <w:tcW w:w="240" w:type="dxa"/>
            <w:vAlign w:val="bottom"/>
            <w:gridSpan w:val="6"/>
          </w:tcPr>
          <w:p>
            <w:pPr>
              <w:ind w:left="40"/>
              <w:spacing w:after="0"/>
              <w:rPr>
                <w:sz w:val="20"/>
                <w:szCs w:val="20"/>
                <w:color w:val="auto"/>
              </w:rPr>
            </w:pPr>
            <w:r>
              <w:rPr>
                <w:rFonts w:ascii="Arial" w:cs="Arial" w:eastAsia="Arial" w:hAnsi="Arial"/>
                <w:sz w:val="20"/>
                <w:szCs w:val="20"/>
                <w:color w:val="FF0000"/>
                <w:strike w:val="1"/>
                <w:w w:val="80"/>
              </w:rPr>
              <w:t>43</w:t>
            </w:r>
          </w:p>
        </w:tc>
        <w:tc>
          <w:tcPr>
            <w:tcW w:w="240" w:type="dxa"/>
            <w:vAlign w:val="bottom"/>
            <w:gridSpan w:val="8"/>
          </w:tcPr>
          <w:p>
            <w:pPr>
              <w:jc w:val="center"/>
              <w:ind w:right="40"/>
              <w:spacing w:after="0"/>
              <w:rPr>
                <w:sz w:val="20"/>
                <w:szCs w:val="20"/>
                <w:color w:val="auto"/>
              </w:rPr>
            </w:pPr>
            <w:r>
              <w:rPr>
                <w:rFonts w:ascii="Arial" w:cs="Arial" w:eastAsia="Arial" w:hAnsi="Arial"/>
                <w:sz w:val="20"/>
                <w:szCs w:val="20"/>
                <w:color w:val="0000FF"/>
                <w:w w:val="89"/>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4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5"/>
              </w:rPr>
              <w:t>Section 3.02</w:t>
            </w:r>
          </w:p>
        </w:tc>
        <w:tc>
          <w:tcPr>
            <w:tcW w:w="2220" w:type="dxa"/>
            <w:vAlign w:val="bottom"/>
            <w:gridSpan w:val="34"/>
          </w:tcPr>
          <w:p>
            <w:pPr>
              <w:ind w:left="100"/>
              <w:spacing w:after="0" w:line="183" w:lineRule="exact"/>
              <w:rPr>
                <w:sz w:val="20"/>
                <w:szCs w:val="20"/>
                <w:color w:val="auto"/>
              </w:rPr>
            </w:pPr>
            <w:r>
              <w:rPr>
                <w:rFonts w:ascii="Arial" w:cs="Arial" w:eastAsia="Arial" w:hAnsi="Arial"/>
                <w:sz w:val="20"/>
                <w:szCs w:val="20"/>
                <w:color w:val="auto"/>
                <w:w w:val="84"/>
              </w:rPr>
              <w:t>Authorization; Enforceability</w:t>
            </w: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gridSpan w:val="6"/>
          </w:tcPr>
          <w:p>
            <w:pPr>
              <w:jc w:val="right"/>
              <w:spacing w:after="0" w:line="183" w:lineRule="exact"/>
              <w:rPr>
                <w:sz w:val="20"/>
                <w:szCs w:val="20"/>
                <w:color w:val="auto"/>
              </w:rPr>
            </w:pPr>
            <w:r>
              <w:rPr>
                <w:rFonts w:ascii="Arial" w:cs="Arial" w:eastAsia="Arial" w:hAnsi="Arial"/>
                <w:sz w:val="20"/>
                <w:szCs w:val="20"/>
                <w:color w:val="FF0000"/>
                <w:strike w:val="1"/>
                <w:w w:val="98"/>
              </w:rPr>
              <w:t>43</w:t>
            </w:r>
          </w:p>
        </w:tc>
        <w:tc>
          <w:tcPr>
            <w:tcW w:w="200" w:type="dxa"/>
            <w:vAlign w:val="bottom"/>
            <w:tcBorders>
              <w:bottom w:val="single" w:sz="8" w:color="0000FF"/>
            </w:tcBorders>
            <w:gridSpan w:val="3"/>
          </w:tcPr>
          <w:p>
            <w:pPr>
              <w:jc w:val="right"/>
              <w:spacing w:after="0" w:line="183" w:lineRule="exact"/>
              <w:rPr>
                <w:sz w:val="20"/>
                <w:szCs w:val="20"/>
                <w:color w:val="auto"/>
              </w:rPr>
            </w:pPr>
            <w:r>
              <w:rPr>
                <w:rFonts w:ascii="Arial" w:cs="Arial" w:eastAsia="Arial" w:hAnsi="Arial"/>
                <w:sz w:val="20"/>
                <w:szCs w:val="20"/>
                <w:color w:val="0000FF"/>
                <w:w w:val="80"/>
              </w:rPr>
              <w:t>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3.03</w:t>
            </w:r>
          </w:p>
        </w:tc>
        <w:tc>
          <w:tcPr>
            <w:tcW w:w="100" w:type="dxa"/>
            <w:vAlign w:val="bottom"/>
          </w:tcPr>
          <w:p>
            <w:pPr>
              <w:spacing w:after="0"/>
              <w:rPr>
                <w:sz w:val="15"/>
                <w:szCs w:val="15"/>
                <w:color w:val="auto"/>
              </w:rPr>
            </w:pPr>
          </w:p>
        </w:tc>
        <w:tc>
          <w:tcPr>
            <w:tcW w:w="3180" w:type="dxa"/>
            <w:vAlign w:val="bottom"/>
            <w:gridSpan w:val="57"/>
          </w:tcPr>
          <w:p>
            <w:pPr>
              <w:spacing w:after="0" w:line="169" w:lineRule="exact"/>
              <w:rPr>
                <w:sz w:val="20"/>
                <w:szCs w:val="20"/>
                <w:color w:val="auto"/>
              </w:rPr>
            </w:pPr>
            <w:r>
              <w:rPr>
                <w:rFonts w:ascii="Arial" w:cs="Arial" w:eastAsia="Arial" w:hAnsi="Arial"/>
                <w:sz w:val="19"/>
                <w:szCs w:val="19"/>
                <w:color w:val="auto"/>
                <w:w w:val="98"/>
              </w:rPr>
              <w:t>Governmental Approvals; No Conflicts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4"/>
          </w:tcPr>
          <w:p>
            <w:pPr>
              <w:jc w:val="right"/>
              <w:spacing w:after="0" w:line="169" w:lineRule="exact"/>
              <w:rPr>
                <w:sz w:val="20"/>
                <w:szCs w:val="20"/>
                <w:color w:val="auto"/>
              </w:rPr>
            </w:pPr>
            <w:r>
              <w:rPr>
                <w:rFonts w:ascii="Arial" w:cs="Arial" w:eastAsia="Arial" w:hAnsi="Arial"/>
                <w:sz w:val="19"/>
                <w:szCs w:val="19"/>
                <w:color w:val="FF0000"/>
                <w:strike w:val="1"/>
              </w:rPr>
              <w:t>43</w:t>
            </w:r>
          </w:p>
        </w:tc>
        <w:tc>
          <w:tcPr>
            <w:tcW w:w="200" w:type="dxa"/>
            <w:vAlign w:val="bottom"/>
            <w:tcBorders>
              <w:bottom w:val="single" w:sz="8" w:color="0000FF"/>
            </w:tcBorders>
            <w:gridSpan w:val="5"/>
          </w:tcPr>
          <w:p>
            <w:pPr>
              <w:spacing w:after="0" w:line="169" w:lineRule="exact"/>
              <w:rPr>
                <w:sz w:val="20"/>
                <w:szCs w:val="20"/>
                <w:color w:val="auto"/>
              </w:rPr>
            </w:pPr>
            <w:r>
              <w:rPr>
                <w:rFonts w:ascii="Arial" w:cs="Arial" w:eastAsia="Arial" w:hAnsi="Arial"/>
                <w:sz w:val="19"/>
                <w:szCs w:val="19"/>
                <w:color w:val="0000FF"/>
                <w:w w:val="84"/>
              </w:rPr>
              <w:t>45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5"/>
              </w:rPr>
              <w:t>Section 3.04</w:t>
            </w:r>
          </w:p>
        </w:tc>
        <w:tc>
          <w:tcPr>
            <w:tcW w:w="100" w:type="dxa"/>
            <w:vAlign w:val="bottom"/>
          </w:tcPr>
          <w:p>
            <w:pPr>
              <w:spacing w:after="0"/>
              <w:rPr>
                <w:sz w:val="15"/>
                <w:szCs w:val="15"/>
                <w:color w:val="auto"/>
              </w:rPr>
            </w:pPr>
          </w:p>
        </w:tc>
        <w:tc>
          <w:tcPr>
            <w:tcW w:w="3520" w:type="dxa"/>
            <w:vAlign w:val="bottom"/>
            <w:gridSpan w:val="63"/>
          </w:tcPr>
          <w:p>
            <w:pPr>
              <w:spacing w:after="0" w:line="176" w:lineRule="exact"/>
              <w:rPr>
                <w:sz w:val="20"/>
                <w:szCs w:val="20"/>
                <w:color w:val="auto"/>
              </w:rPr>
            </w:pPr>
            <w:r>
              <w:rPr>
                <w:rFonts w:ascii="Arial" w:cs="Arial" w:eastAsia="Arial" w:hAnsi="Arial"/>
                <w:sz w:val="20"/>
                <w:szCs w:val="20"/>
                <w:color w:val="auto"/>
                <w:w w:val="96"/>
              </w:rPr>
              <w:t>Financial Condition; No Material Adverse</w:t>
            </w:r>
          </w:p>
        </w:tc>
        <w:tc>
          <w:tcPr>
            <w:tcW w:w="510" w:type="dxa"/>
            <w:vAlign w:val="bottom"/>
            <w:gridSpan w:val="9"/>
          </w:tcPr>
          <w:p>
            <w:pPr>
              <w:spacing w:after="0" w:line="176" w:lineRule="exact"/>
              <w:rPr>
                <w:sz w:val="20"/>
                <w:szCs w:val="20"/>
                <w:color w:val="auto"/>
              </w:rPr>
            </w:pPr>
            <w:r>
              <w:rPr>
                <w:rFonts w:ascii="Arial" w:cs="Arial" w:eastAsia="Arial" w:hAnsi="Arial"/>
                <w:sz w:val="20"/>
                <w:szCs w:val="20"/>
                <w:color w:val="auto"/>
                <w:w w:val="71"/>
              </w:rPr>
              <w:t>Change</w:t>
            </w:r>
          </w:p>
        </w:tc>
        <w:tc>
          <w:tcPr>
            <w:tcW w:w="110" w:type="dxa"/>
            <w:vAlign w:val="bottom"/>
          </w:tcPr>
          <w:p>
            <w:pPr>
              <w:spacing w:after="0"/>
              <w:rPr>
                <w:sz w:val="15"/>
                <w:szCs w:val="15"/>
                <w:color w:val="auto"/>
              </w:rPr>
            </w:pPr>
          </w:p>
        </w:tc>
        <w:tc>
          <w:tcPr>
            <w:tcW w:w="260" w:type="dxa"/>
            <w:vAlign w:val="bottom"/>
            <w:gridSpan w:val="2"/>
          </w:tcPr>
          <w:p>
            <w:pPr>
              <w:jc w:val="right"/>
              <w:spacing w:after="0" w:line="176" w:lineRule="exact"/>
              <w:rPr>
                <w:sz w:val="20"/>
                <w:szCs w:val="20"/>
                <w:color w:val="auto"/>
              </w:rPr>
            </w:pPr>
            <w:r>
              <w:rPr>
                <w:rFonts w:ascii="Arial" w:cs="Arial" w:eastAsia="Arial" w:hAnsi="Arial"/>
                <w:sz w:val="20"/>
                <w:szCs w:val="20"/>
                <w:color w:val="FF0000"/>
                <w:strike w:val="1"/>
              </w:rPr>
              <w:t>44</w:t>
            </w:r>
          </w:p>
        </w:tc>
        <w:tc>
          <w:tcPr>
            <w:tcW w:w="20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20"/>
                <w:szCs w:val="20"/>
                <w:color w:val="0000FF"/>
                <w:w w:val="80"/>
              </w:rPr>
              <w:t>45</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gridSpan w:val="3"/>
          </w:tcPr>
          <w:p>
            <w:pPr>
              <w:ind w:left="660"/>
              <w:spacing w:after="0" w:line="183" w:lineRule="exact"/>
              <w:rPr>
                <w:sz w:val="20"/>
                <w:szCs w:val="20"/>
                <w:color w:val="auto"/>
              </w:rPr>
            </w:pPr>
            <w:r>
              <w:rPr>
                <w:rFonts w:ascii="Arial" w:cs="Arial" w:eastAsia="Arial" w:hAnsi="Arial"/>
                <w:sz w:val="20"/>
                <w:szCs w:val="20"/>
                <w:color w:val="auto"/>
                <w:w w:val="95"/>
              </w:rPr>
              <w:t>Section 3.05</w:t>
            </w:r>
          </w:p>
        </w:tc>
        <w:tc>
          <w:tcPr>
            <w:tcW w:w="1000" w:type="dxa"/>
            <w:vAlign w:val="bottom"/>
            <w:gridSpan w:val="7"/>
          </w:tcPr>
          <w:p>
            <w:pPr>
              <w:spacing w:after="0" w:line="183" w:lineRule="exact"/>
              <w:rPr>
                <w:sz w:val="20"/>
                <w:szCs w:val="20"/>
                <w:color w:val="auto"/>
              </w:rPr>
            </w:pPr>
            <w:r>
              <w:rPr>
                <w:rFonts w:ascii="Arial" w:cs="Arial" w:eastAsia="Arial" w:hAnsi="Arial"/>
                <w:sz w:val="20"/>
                <w:szCs w:val="20"/>
                <w:color w:val="auto"/>
              </w:rPr>
              <w:t>Properties</w:t>
            </w:r>
          </w:p>
        </w:tc>
        <w:tc>
          <w:tcPr>
            <w:tcW w:w="200" w:type="dxa"/>
            <w:vAlign w:val="bottom"/>
            <w:gridSpan w:val="3"/>
          </w:tcPr>
          <w:p>
            <w:pPr>
              <w:spacing w:after="0" w:line="183" w:lineRule="exact"/>
              <w:rPr>
                <w:sz w:val="20"/>
                <w:szCs w:val="20"/>
                <w:color w:val="auto"/>
              </w:rPr>
            </w:pPr>
            <w:r>
              <w:rPr>
                <w:rFonts w:ascii="Arial" w:cs="Arial" w:eastAsia="Arial" w:hAnsi="Arial"/>
                <w:sz w:val="20"/>
                <w:szCs w:val="20"/>
                <w:color w:val="FF0000"/>
                <w:strike w:val="1"/>
                <w:w w:val="80"/>
              </w:rPr>
              <w:t>44</w:t>
            </w:r>
          </w:p>
        </w:tc>
        <w:tc>
          <w:tcPr>
            <w:tcW w:w="5480" w:type="dxa"/>
            <w:vAlign w:val="bottom"/>
            <w:gridSpan w:val="78"/>
          </w:tcPr>
          <w:p>
            <w:pPr>
              <w:jc w:val="right"/>
              <w:ind w:right="5181"/>
              <w:spacing w:after="0" w:line="183" w:lineRule="exact"/>
              <w:rPr>
                <w:sz w:val="20"/>
                <w:szCs w:val="20"/>
                <w:color w:val="auto"/>
              </w:rPr>
            </w:pPr>
            <w:r>
              <w:rPr>
                <w:rFonts w:ascii="Arial" w:cs="Arial" w:eastAsia="Arial" w:hAnsi="Arial"/>
                <w:sz w:val="20"/>
                <w:szCs w:val="20"/>
                <w:color w:val="0000FF"/>
                <w:w w:val="80"/>
              </w:rPr>
              <w:t>45</w:t>
            </w: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3.06</w:t>
            </w:r>
          </w:p>
        </w:tc>
        <w:tc>
          <w:tcPr>
            <w:tcW w:w="100" w:type="dxa"/>
            <w:vAlign w:val="bottom"/>
          </w:tcPr>
          <w:p>
            <w:pPr>
              <w:spacing w:after="0"/>
              <w:rPr>
                <w:sz w:val="15"/>
                <w:szCs w:val="15"/>
                <w:color w:val="auto"/>
              </w:rPr>
            </w:pPr>
          </w:p>
        </w:tc>
        <w:tc>
          <w:tcPr>
            <w:tcW w:w="1200" w:type="dxa"/>
            <w:vAlign w:val="bottom"/>
            <w:gridSpan w:val="10"/>
          </w:tcPr>
          <w:p>
            <w:pPr>
              <w:spacing w:after="0" w:line="169" w:lineRule="exact"/>
              <w:rPr>
                <w:sz w:val="20"/>
                <w:szCs w:val="20"/>
                <w:color w:val="auto"/>
              </w:rPr>
            </w:pPr>
            <w:r>
              <w:rPr>
                <w:rFonts w:ascii="Arial" w:cs="Arial" w:eastAsia="Arial" w:hAnsi="Arial"/>
                <w:sz w:val="19"/>
                <w:szCs w:val="19"/>
                <w:color w:val="auto"/>
              </w:rPr>
              <w:t>Litigation and</w:t>
            </w: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780" w:type="dxa"/>
            <w:vAlign w:val="bottom"/>
            <w:gridSpan w:val="40"/>
          </w:tcPr>
          <w:p>
            <w:pPr>
              <w:jc w:val="center"/>
              <w:ind w:right="81"/>
              <w:spacing w:after="0" w:line="169" w:lineRule="exact"/>
              <w:rPr>
                <w:sz w:val="20"/>
                <w:szCs w:val="20"/>
                <w:color w:val="auto"/>
              </w:rPr>
            </w:pPr>
            <w:r>
              <w:rPr>
                <w:rFonts w:ascii="Arial" w:cs="Arial" w:eastAsia="Arial" w:hAnsi="Arial"/>
                <w:sz w:val="19"/>
                <w:szCs w:val="19"/>
                <w:color w:val="auto"/>
                <w:w w:val="84"/>
              </w:rPr>
              <w:t>Environmental Matters</w:t>
            </w:r>
          </w:p>
        </w:tc>
        <w:tc>
          <w:tcPr>
            <w:tcW w:w="220" w:type="dxa"/>
            <w:vAlign w:val="bottom"/>
            <w:gridSpan w:val="3"/>
          </w:tcPr>
          <w:p>
            <w:pPr>
              <w:ind w:left="20"/>
              <w:spacing w:after="0" w:line="169" w:lineRule="exact"/>
              <w:rPr>
                <w:sz w:val="20"/>
                <w:szCs w:val="20"/>
                <w:color w:val="auto"/>
              </w:rPr>
            </w:pPr>
            <w:r>
              <w:rPr>
                <w:rFonts w:ascii="Arial" w:cs="Arial" w:eastAsia="Arial" w:hAnsi="Arial"/>
                <w:sz w:val="19"/>
                <w:szCs w:val="19"/>
                <w:color w:val="FF0000"/>
                <w:strike w:val="1"/>
                <w:w w:val="84"/>
              </w:rPr>
              <w:t>44</w:t>
            </w:r>
          </w:p>
        </w:tc>
        <w:tc>
          <w:tcPr>
            <w:tcW w:w="20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9"/>
                <w:szCs w:val="19"/>
                <w:color w:val="0000FF"/>
                <w:w w:val="84"/>
              </w:rPr>
              <w:t>46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5"/>
              </w:rPr>
              <w:t>Section 3.07</w:t>
            </w:r>
          </w:p>
        </w:tc>
        <w:tc>
          <w:tcPr>
            <w:tcW w:w="100" w:type="dxa"/>
            <w:vAlign w:val="bottom"/>
          </w:tcPr>
          <w:p>
            <w:pPr>
              <w:spacing w:after="0"/>
              <w:rPr>
                <w:sz w:val="15"/>
                <w:szCs w:val="15"/>
                <w:color w:val="auto"/>
              </w:rPr>
            </w:pPr>
          </w:p>
        </w:tc>
        <w:tc>
          <w:tcPr>
            <w:tcW w:w="3180" w:type="dxa"/>
            <w:vAlign w:val="bottom"/>
            <w:gridSpan w:val="57"/>
          </w:tcPr>
          <w:p>
            <w:pPr>
              <w:spacing w:after="0" w:line="176" w:lineRule="exact"/>
              <w:rPr>
                <w:sz w:val="20"/>
                <w:szCs w:val="20"/>
                <w:color w:val="auto"/>
              </w:rPr>
            </w:pPr>
            <w:r>
              <w:rPr>
                <w:rFonts w:ascii="Arial" w:cs="Arial" w:eastAsia="Arial" w:hAnsi="Arial"/>
                <w:sz w:val="20"/>
                <w:szCs w:val="20"/>
                <w:color w:val="auto"/>
                <w:w w:val="89"/>
              </w:rPr>
              <w:t>Compliance with Laws and Agreements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gridSpan w:val="5"/>
          </w:tcPr>
          <w:p>
            <w:pPr>
              <w:spacing w:after="0" w:line="176" w:lineRule="exact"/>
              <w:rPr>
                <w:sz w:val="20"/>
                <w:szCs w:val="20"/>
                <w:color w:val="auto"/>
              </w:rPr>
            </w:pPr>
            <w:r>
              <w:rPr>
                <w:rFonts w:ascii="Arial" w:cs="Arial" w:eastAsia="Arial" w:hAnsi="Arial"/>
                <w:sz w:val="20"/>
                <w:szCs w:val="20"/>
                <w:color w:val="FF0000"/>
                <w:strike w:val="1"/>
                <w:w w:val="71"/>
              </w:rPr>
              <w:t>44</w:t>
            </w:r>
          </w:p>
        </w:tc>
        <w:tc>
          <w:tcPr>
            <w:tcW w:w="20" w:type="dxa"/>
            <w:vAlign w:val="bottom"/>
          </w:tcPr>
          <w:p>
            <w:pPr>
              <w:spacing w:after="0"/>
              <w:rPr>
                <w:sz w:val="15"/>
                <w:szCs w:val="15"/>
                <w:color w:val="auto"/>
              </w:rPr>
            </w:pPr>
          </w:p>
        </w:tc>
        <w:tc>
          <w:tcPr>
            <w:tcW w:w="340" w:type="dxa"/>
            <w:vAlign w:val="bottom"/>
            <w:gridSpan w:val="5"/>
          </w:tcPr>
          <w:p>
            <w:pPr>
              <w:jc w:val="right"/>
              <w:ind w:right="160"/>
              <w:spacing w:after="0" w:line="176" w:lineRule="exact"/>
              <w:rPr>
                <w:sz w:val="20"/>
                <w:szCs w:val="20"/>
                <w:color w:val="auto"/>
              </w:rPr>
            </w:pPr>
            <w:r>
              <w:rPr>
                <w:rFonts w:ascii="Arial" w:cs="Arial" w:eastAsia="Arial" w:hAnsi="Arial"/>
                <w:sz w:val="20"/>
                <w:szCs w:val="20"/>
                <w:color w:val="0000FF"/>
                <w:w w:val="71"/>
              </w:rPr>
              <w:t>46</w:t>
            </w: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5"/>
              </w:rPr>
              <w:t>Section 3.08</w:t>
            </w:r>
          </w:p>
        </w:tc>
        <w:tc>
          <w:tcPr>
            <w:tcW w:w="100" w:type="dxa"/>
            <w:vAlign w:val="bottom"/>
          </w:tcPr>
          <w:p>
            <w:pPr>
              <w:spacing w:after="0"/>
              <w:rPr>
                <w:sz w:val="15"/>
                <w:szCs w:val="15"/>
                <w:color w:val="auto"/>
              </w:rPr>
            </w:pPr>
          </w:p>
        </w:tc>
        <w:tc>
          <w:tcPr>
            <w:tcW w:w="2360" w:type="dxa"/>
            <w:vAlign w:val="bottom"/>
            <w:gridSpan w:val="41"/>
          </w:tcPr>
          <w:p>
            <w:pPr>
              <w:spacing w:after="0" w:line="183" w:lineRule="exact"/>
              <w:rPr>
                <w:sz w:val="20"/>
                <w:szCs w:val="20"/>
                <w:color w:val="auto"/>
              </w:rPr>
            </w:pPr>
            <w:r>
              <w:rPr>
                <w:rFonts w:ascii="Arial" w:cs="Arial" w:eastAsia="Arial" w:hAnsi="Arial"/>
                <w:sz w:val="20"/>
                <w:szCs w:val="20"/>
                <w:color w:val="auto"/>
                <w:w w:val="93"/>
              </w:rPr>
              <w:t>Investment Company Status</w:t>
            </w:r>
          </w:p>
        </w:tc>
        <w:tc>
          <w:tcPr>
            <w:tcW w:w="60" w:type="dxa"/>
            <w:vAlign w:val="bottom"/>
            <w:gridSpan w:val="3"/>
          </w:tcPr>
          <w:p>
            <w:pPr>
              <w:spacing w:after="0"/>
              <w:rPr>
                <w:sz w:val="15"/>
                <w:szCs w:val="15"/>
                <w:color w:val="auto"/>
              </w:rPr>
            </w:pPr>
          </w:p>
        </w:tc>
        <w:tc>
          <w:tcPr>
            <w:tcW w:w="200" w:type="dxa"/>
            <w:vAlign w:val="bottom"/>
            <w:gridSpan w:val="6"/>
          </w:tcPr>
          <w:p>
            <w:pPr>
              <w:jc w:val="right"/>
              <w:spacing w:after="0" w:line="183" w:lineRule="exact"/>
              <w:rPr>
                <w:sz w:val="20"/>
                <w:szCs w:val="20"/>
                <w:color w:val="auto"/>
              </w:rPr>
            </w:pPr>
            <w:r>
              <w:rPr>
                <w:rFonts w:ascii="Arial" w:cs="Arial" w:eastAsia="Arial" w:hAnsi="Arial"/>
                <w:sz w:val="20"/>
                <w:szCs w:val="20"/>
                <w:color w:val="FF0000"/>
                <w:strike w:val="1"/>
                <w:w w:val="80"/>
              </w:rPr>
              <w:t>44</w:t>
            </w:r>
          </w:p>
        </w:tc>
        <w:tc>
          <w:tcPr>
            <w:tcW w:w="200" w:type="dxa"/>
            <w:vAlign w:val="bottom"/>
            <w:tcBorders>
              <w:bottom w:val="single" w:sz="8" w:color="0000FF"/>
            </w:tcBorders>
            <w:gridSpan w:val="4"/>
          </w:tcPr>
          <w:p>
            <w:pPr>
              <w:jc w:val="right"/>
              <w:spacing w:after="0" w:line="183" w:lineRule="exact"/>
              <w:rPr>
                <w:sz w:val="20"/>
                <w:szCs w:val="20"/>
                <w:color w:val="auto"/>
              </w:rPr>
            </w:pPr>
            <w:r>
              <w:rPr>
                <w:rFonts w:ascii="Arial" w:cs="Arial" w:eastAsia="Arial" w:hAnsi="Arial"/>
                <w:sz w:val="20"/>
                <w:szCs w:val="20"/>
                <w:color w:val="0000FF"/>
                <w:w w:val="80"/>
              </w:rPr>
              <w:t>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3.09</w:t>
            </w:r>
          </w:p>
        </w:tc>
        <w:tc>
          <w:tcPr>
            <w:tcW w:w="760" w:type="dxa"/>
            <w:vAlign w:val="bottom"/>
            <w:gridSpan w:val="3"/>
          </w:tcPr>
          <w:p>
            <w:pPr>
              <w:ind w:left="100"/>
              <w:spacing w:after="0" w:line="169" w:lineRule="exact"/>
              <w:rPr>
                <w:sz w:val="20"/>
                <w:szCs w:val="20"/>
                <w:color w:val="auto"/>
              </w:rPr>
            </w:pPr>
            <w:r>
              <w:rPr>
                <w:rFonts w:ascii="Arial" w:cs="Arial" w:eastAsia="Arial" w:hAnsi="Arial"/>
                <w:sz w:val="19"/>
                <w:szCs w:val="19"/>
                <w:color w:val="auto"/>
              </w:rPr>
              <w:t>Taxes</w:t>
            </w:r>
          </w:p>
        </w:tc>
        <w:tc>
          <w:tcPr>
            <w:tcW w:w="200" w:type="dxa"/>
            <w:vAlign w:val="bottom"/>
            <w:gridSpan w:val="2"/>
          </w:tcPr>
          <w:p>
            <w:pPr>
              <w:jc w:val="right"/>
              <w:spacing w:after="0" w:line="169" w:lineRule="exact"/>
              <w:rPr>
                <w:sz w:val="20"/>
                <w:szCs w:val="20"/>
                <w:color w:val="auto"/>
              </w:rPr>
            </w:pPr>
            <w:r>
              <w:rPr>
                <w:rFonts w:ascii="Arial" w:cs="Arial" w:eastAsia="Arial" w:hAnsi="Arial"/>
                <w:sz w:val="19"/>
                <w:szCs w:val="19"/>
                <w:color w:val="FF0000"/>
                <w:strike w:val="1"/>
                <w:w w:val="84"/>
              </w:rPr>
              <w:t>45</w:t>
            </w:r>
          </w:p>
        </w:tc>
        <w:tc>
          <w:tcPr>
            <w:tcW w:w="140" w:type="dxa"/>
            <w:vAlign w:val="bottom"/>
            <w:tcBorders>
              <w:bottom w:val="single" w:sz="8" w:color="0000FF"/>
            </w:tcBorders>
            <w:gridSpan w:val="3"/>
          </w:tcPr>
          <w:p>
            <w:pPr>
              <w:spacing w:after="0"/>
              <w:rPr>
                <w:sz w:val="20"/>
                <w:szCs w:val="20"/>
                <w:color w:val="auto"/>
              </w:rPr>
            </w:pPr>
            <w:r>
              <w:rPr>
                <w:rFonts w:ascii="Arial" w:cs="Arial" w:eastAsia="Arial" w:hAnsi="Arial"/>
                <w:sz w:val="12"/>
                <w:szCs w:val="12"/>
                <w:color w:val="0000FF"/>
                <w:w w:val="74"/>
              </w:rPr>
              <w:t>46</w:t>
            </w:r>
          </w:p>
        </w:tc>
        <w:tc>
          <w:tcPr>
            <w:tcW w:w="5680" w:type="dxa"/>
            <w:vAlign w:val="bottom"/>
            <w:gridSpan w:val="8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gridSpan w:val="3"/>
          </w:tcPr>
          <w:p>
            <w:pPr>
              <w:ind w:left="660"/>
              <w:spacing w:after="0" w:line="176" w:lineRule="exact"/>
              <w:rPr>
                <w:sz w:val="20"/>
                <w:szCs w:val="20"/>
                <w:color w:val="auto"/>
              </w:rPr>
            </w:pPr>
            <w:r>
              <w:rPr>
                <w:rFonts w:ascii="Arial" w:cs="Arial" w:eastAsia="Arial" w:hAnsi="Arial"/>
                <w:sz w:val="20"/>
                <w:szCs w:val="20"/>
                <w:color w:val="auto"/>
                <w:w w:val="95"/>
              </w:rPr>
              <w:t>Section 3.10</w:t>
            </w:r>
          </w:p>
        </w:tc>
        <w:tc>
          <w:tcPr>
            <w:tcW w:w="760" w:type="dxa"/>
            <w:vAlign w:val="bottom"/>
            <w:gridSpan w:val="3"/>
          </w:tcPr>
          <w:p>
            <w:pPr>
              <w:spacing w:after="0" w:line="176" w:lineRule="exact"/>
              <w:rPr>
                <w:sz w:val="20"/>
                <w:szCs w:val="20"/>
                <w:color w:val="auto"/>
              </w:rPr>
            </w:pPr>
            <w:r>
              <w:rPr>
                <w:rFonts w:ascii="Arial" w:cs="Arial" w:eastAsia="Arial" w:hAnsi="Arial"/>
                <w:sz w:val="20"/>
                <w:szCs w:val="20"/>
                <w:color w:val="auto"/>
              </w:rPr>
              <w:t>ERISA</w:t>
            </w:r>
          </w:p>
        </w:tc>
        <w:tc>
          <w:tcPr>
            <w:tcW w:w="200" w:type="dxa"/>
            <w:vAlign w:val="bottom"/>
            <w:gridSpan w:val="3"/>
          </w:tcPr>
          <w:p>
            <w:pPr>
              <w:jc w:val="right"/>
              <w:spacing w:after="0" w:line="176" w:lineRule="exact"/>
              <w:rPr>
                <w:sz w:val="20"/>
                <w:szCs w:val="20"/>
                <w:color w:val="auto"/>
              </w:rPr>
            </w:pPr>
            <w:r>
              <w:rPr>
                <w:rFonts w:ascii="Arial" w:cs="Arial" w:eastAsia="Arial" w:hAnsi="Arial"/>
                <w:sz w:val="20"/>
                <w:szCs w:val="20"/>
                <w:color w:val="FF0000"/>
                <w:strike w:val="1"/>
                <w:w w:val="80"/>
              </w:rPr>
              <w:t>45</w:t>
            </w:r>
          </w:p>
        </w:tc>
        <w:tc>
          <w:tcPr>
            <w:tcW w:w="220" w:type="dxa"/>
            <w:vAlign w:val="bottom"/>
            <w:tcBorders>
              <w:bottom w:val="single" w:sz="8" w:color="0000FF"/>
            </w:tcBorders>
            <w:gridSpan w:val="3"/>
          </w:tcPr>
          <w:p>
            <w:pPr>
              <w:jc w:val="right"/>
              <w:spacing w:after="0" w:line="176" w:lineRule="exact"/>
              <w:rPr>
                <w:sz w:val="20"/>
                <w:szCs w:val="20"/>
                <w:color w:val="auto"/>
              </w:rPr>
            </w:pPr>
            <w:r>
              <w:rPr>
                <w:rFonts w:ascii="Arial" w:cs="Arial" w:eastAsia="Arial" w:hAnsi="Arial"/>
                <w:sz w:val="20"/>
                <w:szCs w:val="20"/>
                <w:color w:val="0000FF"/>
                <w:w w:val="80"/>
              </w:rPr>
              <w:t>46</w:t>
            </w:r>
          </w:p>
        </w:tc>
        <w:tc>
          <w:tcPr>
            <w:tcW w:w="5500" w:type="dxa"/>
            <w:vAlign w:val="bottom"/>
            <w:gridSpan w:val="7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3.11</w:t>
            </w:r>
          </w:p>
        </w:tc>
        <w:tc>
          <w:tcPr>
            <w:tcW w:w="1100" w:type="dxa"/>
            <w:vAlign w:val="bottom"/>
            <w:gridSpan w:val="8"/>
          </w:tcPr>
          <w:p>
            <w:pPr>
              <w:ind w:left="100"/>
              <w:spacing w:after="0" w:line="169" w:lineRule="exact"/>
              <w:rPr>
                <w:sz w:val="20"/>
                <w:szCs w:val="20"/>
                <w:color w:val="auto"/>
              </w:rPr>
            </w:pPr>
            <w:r>
              <w:rPr>
                <w:rFonts w:ascii="Arial" w:cs="Arial" w:eastAsia="Arial" w:hAnsi="Arial"/>
                <w:sz w:val="19"/>
                <w:szCs w:val="19"/>
                <w:color w:val="auto"/>
              </w:rPr>
              <w:t>Disclosure</w:t>
            </w:r>
          </w:p>
        </w:tc>
        <w:tc>
          <w:tcPr>
            <w:tcW w:w="240" w:type="dxa"/>
            <w:vAlign w:val="bottom"/>
            <w:gridSpan w:val="5"/>
          </w:tcPr>
          <w:p>
            <w:pPr>
              <w:jc w:val="right"/>
              <w:spacing w:after="0" w:line="169" w:lineRule="exact"/>
              <w:rPr>
                <w:sz w:val="20"/>
                <w:szCs w:val="20"/>
                <w:color w:val="auto"/>
              </w:rPr>
            </w:pPr>
            <w:r>
              <w:rPr>
                <w:rFonts w:ascii="Arial" w:cs="Arial" w:eastAsia="Arial" w:hAnsi="Arial"/>
                <w:sz w:val="19"/>
                <w:szCs w:val="19"/>
                <w:color w:val="FF0000"/>
                <w:strike w:val="1"/>
              </w:rPr>
              <w:t>45</w:t>
            </w:r>
          </w:p>
        </w:tc>
        <w:tc>
          <w:tcPr>
            <w:tcW w:w="200" w:type="dxa"/>
            <w:vAlign w:val="bottom"/>
            <w:tcBorders>
              <w:bottom w:val="single" w:sz="8" w:color="0000FF"/>
            </w:tcBorders>
            <w:gridSpan w:val="6"/>
          </w:tcPr>
          <w:p>
            <w:pPr>
              <w:jc w:val="right"/>
              <w:spacing w:after="0" w:line="169" w:lineRule="exact"/>
              <w:rPr>
                <w:sz w:val="20"/>
                <w:szCs w:val="20"/>
                <w:color w:val="auto"/>
              </w:rPr>
            </w:pPr>
            <w:r>
              <w:rPr>
                <w:rFonts w:ascii="Arial" w:cs="Arial" w:eastAsia="Arial" w:hAnsi="Arial"/>
                <w:sz w:val="19"/>
                <w:szCs w:val="19"/>
                <w:color w:val="0000FF"/>
                <w:w w:val="84"/>
              </w:rPr>
              <w:t>46</w:t>
            </w:r>
          </w:p>
        </w:tc>
        <w:tc>
          <w:tcPr>
            <w:tcW w:w="5240" w:type="dxa"/>
            <w:vAlign w:val="bottom"/>
            <w:gridSpan w:val="7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15"/>
          </w:tcPr>
          <w:p>
            <w:pPr>
              <w:ind w:left="660"/>
              <w:spacing w:after="0" w:line="176" w:lineRule="exact"/>
              <w:rPr>
                <w:sz w:val="20"/>
                <w:szCs w:val="20"/>
                <w:color w:val="auto"/>
              </w:rPr>
            </w:pPr>
            <w:r>
              <w:rPr>
                <w:rFonts w:ascii="Arial" w:cs="Arial" w:eastAsia="Arial" w:hAnsi="Arial"/>
                <w:sz w:val="20"/>
                <w:szCs w:val="20"/>
                <w:color w:val="auto"/>
                <w:w w:val="91"/>
              </w:rPr>
              <w:t>Section 3.12  Sanctions Laws</w:t>
            </w:r>
          </w:p>
        </w:tc>
        <w:tc>
          <w:tcPr>
            <w:tcW w:w="4700" w:type="dxa"/>
            <w:vAlign w:val="bottom"/>
            <w:gridSpan w:val="70"/>
          </w:tcPr>
          <w:p>
            <w:pPr>
              <w:ind w:left="60"/>
              <w:spacing w:after="0" w:line="176" w:lineRule="exact"/>
              <w:rPr>
                <w:sz w:val="20"/>
                <w:szCs w:val="20"/>
                <w:color w:val="auto"/>
              </w:rPr>
            </w:pPr>
            <w:r>
              <w:rPr>
                <w:rFonts w:ascii="Arial" w:cs="Arial" w:eastAsia="Arial" w:hAnsi="Arial"/>
                <w:sz w:val="20"/>
                <w:szCs w:val="20"/>
                <w:color w:val="auto"/>
                <w:w w:val="96"/>
              </w:rPr>
              <w:t>and Regulations; Anti-Corruption Laws; PATRIOT Act</w:t>
            </w:r>
            <w:r>
              <w:rPr>
                <w:rFonts w:ascii="Arial" w:cs="Arial" w:eastAsia="Arial" w:hAnsi="Arial"/>
                <w:sz w:val="20"/>
                <w:szCs w:val="20"/>
                <w:color w:val="FF0000"/>
                <w:strike w:val="1"/>
                <w:w w:val="96"/>
              </w:rPr>
              <w:t>.</w:t>
            </w:r>
          </w:p>
        </w:tc>
        <w:tc>
          <w:tcPr>
            <w:tcW w:w="180" w:type="dxa"/>
            <w:vAlign w:val="bottom"/>
            <w:gridSpan w:val="2"/>
          </w:tcPr>
          <w:p>
            <w:pPr>
              <w:jc w:val="right"/>
              <w:spacing w:after="0" w:line="176" w:lineRule="exact"/>
              <w:rPr>
                <w:sz w:val="20"/>
                <w:szCs w:val="20"/>
                <w:color w:val="auto"/>
              </w:rPr>
            </w:pPr>
            <w:r>
              <w:rPr>
                <w:rFonts w:ascii="Arial" w:cs="Arial" w:eastAsia="Arial" w:hAnsi="Arial"/>
                <w:sz w:val="20"/>
                <w:szCs w:val="20"/>
                <w:color w:val="FF0000"/>
                <w:strike w:val="1"/>
                <w:w w:val="71"/>
              </w:rPr>
              <w:t>45</w:t>
            </w:r>
          </w:p>
        </w:tc>
        <w:tc>
          <w:tcPr>
            <w:tcW w:w="20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20"/>
                <w:szCs w:val="20"/>
                <w:color w:val="0000FF"/>
                <w:w w:val="80"/>
              </w:rPr>
              <w:t>47</w:t>
            </w:r>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5"/>
              </w:rPr>
              <w:t>Section 3.13</w:t>
            </w:r>
          </w:p>
        </w:tc>
        <w:tc>
          <w:tcPr>
            <w:tcW w:w="100" w:type="dxa"/>
            <w:vAlign w:val="bottom"/>
          </w:tcPr>
          <w:p>
            <w:pPr>
              <w:spacing w:after="0"/>
              <w:rPr>
                <w:sz w:val="15"/>
                <w:szCs w:val="15"/>
                <w:color w:val="auto"/>
              </w:rPr>
            </w:pPr>
          </w:p>
        </w:tc>
        <w:tc>
          <w:tcPr>
            <w:tcW w:w="3000" w:type="dxa"/>
            <w:vAlign w:val="bottom"/>
            <w:gridSpan w:val="56"/>
          </w:tcPr>
          <w:p>
            <w:pPr>
              <w:spacing w:after="0" w:line="183" w:lineRule="exact"/>
              <w:rPr>
                <w:sz w:val="20"/>
                <w:szCs w:val="20"/>
                <w:color w:val="auto"/>
              </w:rPr>
            </w:pPr>
            <w:r>
              <w:rPr>
                <w:rFonts w:ascii="Arial" w:cs="Arial" w:eastAsia="Arial" w:hAnsi="Arial"/>
                <w:sz w:val="20"/>
                <w:szCs w:val="20"/>
                <w:color w:val="auto"/>
                <w:w w:val="93"/>
              </w:rPr>
              <w:t>Federal Reserve Board Regulations</w:t>
            </w:r>
          </w:p>
        </w:tc>
        <w:tc>
          <w:tcPr>
            <w:tcW w:w="200" w:type="dxa"/>
            <w:vAlign w:val="bottom"/>
            <w:gridSpan w:val="2"/>
          </w:tcPr>
          <w:p>
            <w:pPr>
              <w:jc w:val="right"/>
              <w:spacing w:after="0" w:line="183" w:lineRule="exact"/>
              <w:rPr>
                <w:sz w:val="20"/>
                <w:szCs w:val="20"/>
                <w:color w:val="auto"/>
              </w:rPr>
            </w:pPr>
            <w:r>
              <w:rPr>
                <w:rFonts w:ascii="Arial" w:cs="Arial" w:eastAsia="Arial" w:hAnsi="Arial"/>
                <w:sz w:val="20"/>
                <w:szCs w:val="20"/>
                <w:color w:val="FF0000"/>
                <w:strike w:val="1"/>
                <w:w w:val="80"/>
              </w:rPr>
              <w:t>46</w:t>
            </w:r>
          </w:p>
        </w:tc>
        <w:tc>
          <w:tcPr>
            <w:tcW w:w="830" w:type="dxa"/>
            <w:vAlign w:val="bottom"/>
            <w:gridSpan w:val="14"/>
          </w:tcPr>
          <w:p>
            <w:pPr>
              <w:spacing w:after="0" w:line="183" w:lineRule="exact"/>
              <w:rPr>
                <w:sz w:val="20"/>
                <w:szCs w:val="20"/>
                <w:color w:val="auto"/>
              </w:rPr>
            </w:pPr>
            <w:r>
              <w:rPr>
                <w:rFonts w:ascii="Arial" w:cs="Arial" w:eastAsia="Arial" w:hAnsi="Arial"/>
                <w:sz w:val="20"/>
                <w:szCs w:val="20"/>
                <w:color w:val="0000FF"/>
              </w:rPr>
              <w:t>47</w:t>
            </w:r>
          </w:p>
        </w:tc>
        <w:tc>
          <w:tcPr>
            <w:tcW w:w="1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3"/>
          </w:tcPr>
          <w:p>
            <w:pPr>
              <w:ind w:left="660"/>
              <w:spacing w:after="0" w:line="169" w:lineRule="exact"/>
              <w:rPr>
                <w:sz w:val="20"/>
                <w:szCs w:val="20"/>
                <w:color w:val="auto"/>
              </w:rPr>
            </w:pPr>
            <w:r>
              <w:rPr>
                <w:rFonts w:ascii="Arial" w:cs="Arial" w:eastAsia="Arial" w:hAnsi="Arial"/>
                <w:sz w:val="19"/>
                <w:szCs w:val="19"/>
                <w:color w:val="auto"/>
              </w:rPr>
              <w:t>Section 3.14</w:t>
            </w:r>
          </w:p>
        </w:tc>
        <w:tc>
          <w:tcPr>
            <w:tcW w:w="1180" w:type="dxa"/>
            <w:vAlign w:val="bottom"/>
            <w:gridSpan w:val="9"/>
          </w:tcPr>
          <w:p>
            <w:pPr>
              <w:spacing w:after="0" w:line="169" w:lineRule="exact"/>
              <w:rPr>
                <w:sz w:val="20"/>
                <w:szCs w:val="20"/>
                <w:color w:val="auto"/>
              </w:rPr>
            </w:pPr>
            <w:r>
              <w:rPr>
                <w:rFonts w:ascii="Arial" w:cs="Arial" w:eastAsia="Arial" w:hAnsi="Arial"/>
                <w:sz w:val="19"/>
                <w:szCs w:val="19"/>
                <w:color w:val="auto"/>
              </w:rPr>
              <w:t>Subsidiaries</w:t>
            </w:r>
          </w:p>
        </w:tc>
        <w:tc>
          <w:tcPr>
            <w:tcW w:w="180" w:type="dxa"/>
            <w:vAlign w:val="bottom"/>
            <w:gridSpan w:val="7"/>
          </w:tcPr>
          <w:p>
            <w:pPr>
              <w:jc w:val="right"/>
              <w:spacing w:after="0" w:line="169" w:lineRule="exact"/>
              <w:rPr>
                <w:sz w:val="20"/>
                <w:szCs w:val="20"/>
                <w:color w:val="auto"/>
              </w:rPr>
            </w:pPr>
            <w:r>
              <w:rPr>
                <w:rFonts w:ascii="Arial" w:cs="Arial" w:eastAsia="Arial" w:hAnsi="Arial"/>
                <w:sz w:val="19"/>
                <w:szCs w:val="19"/>
                <w:color w:val="FF0000"/>
                <w:strike w:val="1"/>
                <w:w w:val="75"/>
              </w:rPr>
              <w:t>46</w:t>
            </w:r>
          </w:p>
        </w:tc>
        <w:tc>
          <w:tcPr>
            <w:tcW w:w="1840" w:type="dxa"/>
            <w:vAlign w:val="bottom"/>
            <w:gridSpan w:val="42"/>
          </w:tcPr>
          <w:p>
            <w:pPr>
              <w:jc w:val="right"/>
              <w:ind w:right="1544"/>
              <w:spacing w:after="0" w:line="169" w:lineRule="exact"/>
              <w:rPr>
                <w:sz w:val="20"/>
                <w:szCs w:val="20"/>
                <w:color w:val="auto"/>
              </w:rPr>
            </w:pPr>
            <w:r>
              <w:rPr>
                <w:rFonts w:ascii="Arial" w:cs="Arial" w:eastAsia="Arial" w:hAnsi="Arial"/>
                <w:sz w:val="19"/>
                <w:szCs w:val="19"/>
                <w:color w:val="0000FF"/>
                <w:w w:val="84"/>
              </w:rPr>
              <w:t>47</w:t>
            </w:r>
          </w:p>
        </w:tc>
        <w:tc>
          <w:tcPr>
            <w:tcW w:w="220" w:type="dxa"/>
            <w:vAlign w:val="bottom"/>
            <w:tcBorders>
              <w:top w:val="single" w:sz="8" w:color="0000FF"/>
            </w:tcBorders>
            <w:gridSpan w:val="3"/>
          </w:tcPr>
          <w:p>
            <w:pPr>
              <w:spacing w:after="0"/>
              <w:rPr>
                <w:sz w:val="15"/>
                <w:szCs w:val="15"/>
                <w:color w:val="auto"/>
              </w:rPr>
            </w:pPr>
          </w:p>
        </w:tc>
        <w:tc>
          <w:tcPr>
            <w:tcW w:w="326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gridSpan w:val="3"/>
          </w:tcPr>
          <w:p>
            <w:pPr>
              <w:ind w:left="660"/>
              <w:spacing w:after="0" w:line="176" w:lineRule="exact"/>
              <w:rPr>
                <w:sz w:val="20"/>
                <w:szCs w:val="20"/>
                <w:color w:val="auto"/>
              </w:rPr>
            </w:pPr>
            <w:r>
              <w:rPr>
                <w:rFonts w:ascii="Arial" w:cs="Arial" w:eastAsia="Arial" w:hAnsi="Arial"/>
                <w:sz w:val="20"/>
                <w:szCs w:val="20"/>
                <w:color w:val="auto"/>
                <w:w w:val="95"/>
              </w:rPr>
              <w:t>Section 3.15</w:t>
            </w:r>
          </w:p>
        </w:tc>
        <w:tc>
          <w:tcPr>
            <w:tcW w:w="940" w:type="dxa"/>
            <w:vAlign w:val="bottom"/>
            <w:gridSpan w:val="5"/>
          </w:tcPr>
          <w:p>
            <w:pPr>
              <w:spacing w:after="0" w:line="176" w:lineRule="exact"/>
              <w:rPr>
                <w:sz w:val="20"/>
                <w:szCs w:val="20"/>
                <w:color w:val="auto"/>
              </w:rPr>
            </w:pPr>
            <w:r>
              <w:rPr>
                <w:rFonts w:ascii="Arial" w:cs="Arial" w:eastAsia="Arial" w:hAnsi="Arial"/>
                <w:sz w:val="20"/>
                <w:szCs w:val="20"/>
                <w:color w:val="auto"/>
              </w:rPr>
              <w:t>Solvency</w:t>
            </w:r>
          </w:p>
        </w:tc>
        <w:tc>
          <w:tcPr>
            <w:tcW w:w="200" w:type="dxa"/>
            <w:vAlign w:val="bottom"/>
            <w:gridSpan w:val="3"/>
          </w:tcPr>
          <w:p>
            <w:pPr>
              <w:jc w:val="right"/>
              <w:spacing w:after="0" w:line="176" w:lineRule="exact"/>
              <w:rPr>
                <w:sz w:val="20"/>
                <w:szCs w:val="20"/>
                <w:color w:val="auto"/>
              </w:rPr>
            </w:pPr>
            <w:r>
              <w:rPr>
                <w:rFonts w:ascii="Arial" w:cs="Arial" w:eastAsia="Arial" w:hAnsi="Arial"/>
                <w:sz w:val="20"/>
                <w:szCs w:val="20"/>
                <w:color w:val="FF0000"/>
                <w:strike w:val="1"/>
                <w:w w:val="80"/>
              </w:rPr>
              <w:t>46</w:t>
            </w:r>
          </w:p>
        </w:tc>
        <w:tc>
          <w:tcPr>
            <w:tcW w:w="200" w:type="dxa"/>
            <w:vAlign w:val="bottom"/>
            <w:tcBorders>
              <w:bottom w:val="single" w:sz="8" w:color="0000FF"/>
            </w:tcBorders>
            <w:gridSpan w:val="7"/>
          </w:tcPr>
          <w:p>
            <w:pPr>
              <w:jc w:val="right"/>
              <w:spacing w:after="0" w:line="176" w:lineRule="exact"/>
              <w:rPr>
                <w:sz w:val="20"/>
                <w:szCs w:val="20"/>
                <w:color w:val="auto"/>
              </w:rPr>
            </w:pPr>
            <w:r>
              <w:rPr>
                <w:rFonts w:ascii="Arial" w:cs="Arial" w:eastAsia="Arial" w:hAnsi="Arial"/>
                <w:sz w:val="20"/>
                <w:szCs w:val="20"/>
                <w:color w:val="0000FF"/>
                <w:w w:val="80"/>
              </w:rPr>
              <w:t>47</w:t>
            </w:r>
          </w:p>
        </w:tc>
        <w:tc>
          <w:tcPr>
            <w:tcW w:w="20" w:type="dxa"/>
            <w:vAlign w:val="bottom"/>
          </w:tcPr>
          <w:p>
            <w:pPr>
              <w:spacing w:after="0"/>
              <w:rPr>
                <w:sz w:val="15"/>
                <w:szCs w:val="15"/>
                <w:color w:val="auto"/>
              </w:rPr>
            </w:pPr>
          </w:p>
        </w:tc>
        <w:tc>
          <w:tcPr>
            <w:tcW w:w="200" w:type="dxa"/>
            <w:vAlign w:val="bottom"/>
            <w:tcBorders>
              <w:top w:val="single" w:sz="8" w:color="0000FF"/>
            </w:tcBorders>
            <w:gridSpan w:val="6"/>
          </w:tcPr>
          <w:p>
            <w:pPr>
              <w:spacing w:after="0"/>
              <w:rPr>
                <w:sz w:val="15"/>
                <w:szCs w:val="15"/>
                <w:color w:val="auto"/>
              </w:rPr>
            </w:pPr>
          </w:p>
        </w:tc>
        <w:tc>
          <w:tcPr>
            <w:tcW w:w="5120" w:type="dxa"/>
            <w:vAlign w:val="bottom"/>
            <w:gridSpan w:val="66"/>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20"/>
                <w:szCs w:val="20"/>
                <w:color w:val="auto"/>
              </w:rPr>
              <w:t>ARTICLE IV</w:t>
            </w:r>
          </w:p>
        </w:tc>
        <w:tc>
          <w:tcPr>
            <w:tcW w:w="1580" w:type="dxa"/>
            <w:vAlign w:val="bottom"/>
            <w:gridSpan w:val="6"/>
          </w:tcPr>
          <w:p>
            <w:pPr>
              <w:ind w:left="160"/>
              <w:spacing w:after="0"/>
              <w:rPr>
                <w:sz w:val="20"/>
                <w:szCs w:val="20"/>
                <w:color w:val="auto"/>
              </w:rPr>
            </w:pPr>
            <w:r>
              <w:rPr>
                <w:rFonts w:ascii="Arial" w:cs="Arial" w:eastAsia="Arial" w:hAnsi="Arial"/>
                <w:sz w:val="20"/>
                <w:szCs w:val="20"/>
                <w:color w:val="auto"/>
                <w:w w:val="95"/>
              </w:rPr>
              <w:t>CONDITIONS</w:t>
            </w:r>
          </w:p>
        </w:tc>
        <w:tc>
          <w:tcPr>
            <w:tcW w:w="140" w:type="dxa"/>
            <w:vAlign w:val="bottom"/>
            <w:gridSpan w:val="3"/>
          </w:tcPr>
          <w:p>
            <w:pPr>
              <w:spacing w:after="0"/>
              <w:rPr>
                <w:sz w:val="20"/>
                <w:szCs w:val="20"/>
                <w:color w:val="auto"/>
              </w:rPr>
            </w:pPr>
            <w:r>
              <w:rPr>
                <w:rFonts w:ascii="Arial" w:cs="Arial" w:eastAsia="Arial" w:hAnsi="Arial"/>
                <w:sz w:val="12"/>
                <w:szCs w:val="12"/>
                <w:color w:val="FF0000"/>
                <w:strike w:val="1"/>
                <w:w w:val="74"/>
              </w:rPr>
              <w:t>46</w:t>
            </w:r>
          </w:p>
        </w:tc>
        <w:tc>
          <w:tcPr>
            <w:tcW w:w="26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98"/>
              </w:rPr>
              <w:t>47</w:t>
            </w:r>
          </w:p>
        </w:tc>
        <w:tc>
          <w:tcPr>
            <w:tcW w:w="5420" w:type="dxa"/>
            <w:vAlign w:val="bottom"/>
            <w:gridSpan w:val="7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0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40"/>
          </w:cols>
          <w:pgMar w:left="320" w:top="104" w:right="439" w:bottom="1440" w:gutter="0" w:footer="0" w:header="0"/>
          <w:type w:val="continuous"/>
        </w:sectPr>
      </w:pPr>
    </w:p>
    <w:bookmarkStart w:id="38" w:name="page39"/>
    <w:bookmarkEnd w:id="38"/>
    <w:p>
      <w:pPr>
        <w:jc w:val="center"/>
        <w:ind w:right="-119"/>
        <w:spacing w:after="0"/>
        <w:rPr>
          <w:sz w:val="20"/>
          <w:szCs w:val="20"/>
          <w:color w:val="auto"/>
        </w:rPr>
      </w:pPr>
      <w:r>
        <w:rPr>
          <w:rFonts w:ascii="Arial" w:cs="Arial" w:eastAsia="Arial" w:hAnsi="Arial"/>
          <w:sz w:val="20"/>
          <w:szCs w:val="20"/>
          <w:b w:val="1"/>
          <w:bCs w:val="1"/>
          <w:color w:val="auto"/>
        </w:rPr>
        <w:t>TABLE OF CONTENTS</w:t>
      </w:r>
    </w:p>
    <w:p>
      <w:pPr>
        <w:jc w:val="center"/>
        <w:ind w:right="-11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gridSpan w:val="2"/>
          </w:tcPr>
          <w:p>
            <w:pPr>
              <w:ind w:left="660"/>
              <w:spacing w:after="0"/>
              <w:rPr>
                <w:sz w:val="20"/>
                <w:szCs w:val="20"/>
                <w:color w:val="auto"/>
              </w:rPr>
            </w:pPr>
            <w:r>
              <w:rPr>
                <w:rFonts w:ascii="Arial" w:cs="Arial" w:eastAsia="Arial" w:hAnsi="Arial"/>
                <w:sz w:val="20"/>
                <w:szCs w:val="20"/>
                <w:color w:val="auto"/>
                <w:w w:val="98"/>
              </w:rPr>
              <w:t>Section 4.01</w:t>
            </w:r>
          </w:p>
        </w:tc>
        <w:tc>
          <w:tcPr>
            <w:tcW w:w="1300" w:type="dxa"/>
            <w:vAlign w:val="bottom"/>
            <w:gridSpan w:val="9"/>
          </w:tcPr>
          <w:p>
            <w:pPr>
              <w:ind w:left="60"/>
              <w:spacing w:after="0"/>
              <w:rPr>
                <w:sz w:val="20"/>
                <w:szCs w:val="20"/>
                <w:color w:val="auto"/>
              </w:rPr>
            </w:pPr>
            <w:r>
              <w:rPr>
                <w:rFonts w:ascii="Arial" w:cs="Arial" w:eastAsia="Arial" w:hAnsi="Arial"/>
                <w:sz w:val="20"/>
                <w:szCs w:val="20"/>
                <w:color w:val="auto"/>
                <w:w w:val="90"/>
              </w:rPr>
              <w:t>Closing Date</w:t>
            </w:r>
          </w:p>
        </w:tc>
        <w:tc>
          <w:tcPr>
            <w:tcW w:w="220" w:type="dxa"/>
            <w:vAlign w:val="bottom"/>
            <w:gridSpan w:val="4"/>
          </w:tcPr>
          <w:p>
            <w:pPr>
              <w:jc w:val="right"/>
              <w:ind w:right="20"/>
              <w:spacing w:after="0"/>
              <w:rPr>
                <w:sz w:val="20"/>
                <w:szCs w:val="20"/>
                <w:color w:val="auto"/>
              </w:rPr>
            </w:pPr>
            <w:r>
              <w:rPr>
                <w:rFonts w:ascii="Arial" w:cs="Arial" w:eastAsia="Arial" w:hAnsi="Arial"/>
                <w:sz w:val="20"/>
                <w:szCs w:val="20"/>
                <w:color w:val="FF0000"/>
                <w:strike w:val="1"/>
                <w:w w:val="80"/>
              </w:rPr>
              <w:t>46</w:t>
            </w:r>
          </w:p>
        </w:tc>
        <w:tc>
          <w:tcPr>
            <w:tcW w:w="18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71"/>
              </w:rPr>
              <w:t>47</w:t>
            </w:r>
          </w:p>
        </w:tc>
        <w:tc>
          <w:tcPr>
            <w:tcW w:w="3980" w:type="dxa"/>
            <w:vAlign w:val="bottom"/>
            <w:gridSpan w:val="58"/>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880" w:type="dxa"/>
            <w:vAlign w:val="bottom"/>
            <w:gridSpan w:val="30"/>
          </w:tcPr>
          <w:p>
            <w:pPr>
              <w:spacing w:after="0"/>
              <w:rPr>
                <w:sz w:val="20"/>
                <w:szCs w:val="20"/>
                <w:color w:val="auto"/>
              </w:rPr>
            </w:pPr>
            <w:r>
              <w:rPr>
                <w:rFonts w:ascii="Arial" w:cs="Arial" w:eastAsia="Arial" w:hAnsi="Arial"/>
                <w:sz w:val="20"/>
                <w:szCs w:val="20"/>
                <w:color w:val="auto"/>
              </w:rPr>
              <w:t>ARTICLE V  AFFIRMATIVE COVENANTS</w:t>
            </w:r>
          </w:p>
        </w:tc>
        <w:tc>
          <w:tcPr>
            <w:tcW w:w="4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48</w:t>
            </w:r>
          </w:p>
        </w:tc>
        <w:tc>
          <w:tcPr>
            <w:tcW w:w="220" w:type="dxa"/>
            <w:vAlign w:val="bottom"/>
            <w:tcBorders>
              <w:bottom w:val="single" w:sz="8" w:color="0000FF"/>
            </w:tcBorders>
            <w:gridSpan w:val="6"/>
          </w:tcPr>
          <w:p>
            <w:pPr>
              <w:jc w:val="right"/>
              <w:ind w:right="20"/>
              <w:spacing w:after="0"/>
              <w:rPr>
                <w:sz w:val="20"/>
                <w:szCs w:val="20"/>
                <w:color w:val="auto"/>
              </w:rPr>
            </w:pPr>
            <w:r>
              <w:rPr>
                <w:rFonts w:ascii="Arial" w:cs="Arial" w:eastAsia="Arial" w:hAnsi="Arial"/>
                <w:sz w:val="20"/>
                <w:szCs w:val="20"/>
                <w:color w:val="0000FF"/>
                <w:w w:val="80"/>
              </w:rPr>
              <w:t>49</w:t>
            </w:r>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780" w:type="dxa"/>
            <w:vAlign w:val="bottom"/>
            <w:gridSpan w:val="2"/>
          </w:tcPr>
          <w:p>
            <w:pPr>
              <w:ind w:left="660"/>
              <w:spacing w:after="0"/>
              <w:rPr>
                <w:sz w:val="20"/>
                <w:szCs w:val="20"/>
                <w:color w:val="auto"/>
              </w:rPr>
            </w:pPr>
            <w:r>
              <w:rPr>
                <w:rFonts w:ascii="Arial" w:cs="Arial" w:eastAsia="Arial" w:hAnsi="Arial"/>
                <w:sz w:val="20"/>
                <w:szCs w:val="20"/>
                <w:color w:val="auto"/>
                <w:w w:val="98"/>
              </w:rPr>
              <w:t>Section 5.01</w:t>
            </w:r>
          </w:p>
        </w:tc>
        <w:tc>
          <w:tcPr>
            <w:tcW w:w="5100" w:type="dxa"/>
            <w:vAlign w:val="bottom"/>
            <w:gridSpan w:val="72"/>
          </w:tcPr>
          <w:p>
            <w:pPr>
              <w:ind w:left="60"/>
              <w:spacing w:after="0"/>
              <w:rPr>
                <w:sz w:val="20"/>
                <w:szCs w:val="20"/>
                <w:color w:val="auto"/>
              </w:rPr>
            </w:pPr>
            <w:r>
              <w:rPr>
                <w:rFonts w:ascii="Arial" w:cs="Arial" w:eastAsia="Arial" w:hAnsi="Arial"/>
                <w:sz w:val="20"/>
                <w:szCs w:val="20"/>
                <w:color w:val="auto"/>
                <w:w w:val="92"/>
              </w:rPr>
              <w:t>Financial Statements; Ratings Change and Other Information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48</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49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5.02</w:t>
            </w:r>
          </w:p>
        </w:tc>
        <w:tc>
          <w:tcPr>
            <w:tcW w:w="2340" w:type="dxa"/>
            <w:vAlign w:val="bottom"/>
            <w:gridSpan w:val="32"/>
          </w:tcPr>
          <w:p>
            <w:pPr>
              <w:ind w:left="60"/>
              <w:spacing w:after="0" w:line="169" w:lineRule="exact"/>
              <w:rPr>
                <w:sz w:val="20"/>
                <w:szCs w:val="20"/>
                <w:color w:val="auto"/>
              </w:rPr>
            </w:pPr>
            <w:r>
              <w:rPr>
                <w:rFonts w:ascii="Arial" w:cs="Arial" w:eastAsia="Arial" w:hAnsi="Arial"/>
                <w:sz w:val="19"/>
                <w:szCs w:val="19"/>
                <w:color w:val="auto"/>
              </w:rPr>
              <w:t>Notices of Material Events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6"/>
          </w:tcPr>
          <w:p>
            <w:pPr>
              <w:jc w:val="right"/>
              <w:ind w:right="20"/>
              <w:spacing w:after="0" w:line="169" w:lineRule="exact"/>
              <w:rPr>
                <w:sz w:val="20"/>
                <w:szCs w:val="20"/>
                <w:color w:val="auto"/>
              </w:rPr>
            </w:pPr>
            <w:r>
              <w:rPr>
                <w:rFonts w:ascii="Arial" w:cs="Arial" w:eastAsia="Arial" w:hAnsi="Arial"/>
                <w:sz w:val="19"/>
                <w:szCs w:val="19"/>
                <w:color w:val="FF0000"/>
                <w:strike w:val="1"/>
                <w:w w:val="84"/>
              </w:rPr>
              <w:t>49</w:t>
            </w:r>
          </w:p>
        </w:tc>
        <w:tc>
          <w:tcPr>
            <w:tcW w:w="180" w:type="dxa"/>
            <w:vAlign w:val="bottom"/>
            <w:tcBorders>
              <w:bottom w:val="single" w:sz="8" w:color="0000FF"/>
            </w:tcBorders>
            <w:gridSpan w:val="5"/>
          </w:tcPr>
          <w:p>
            <w:pPr>
              <w:jc w:val="center"/>
              <w:spacing w:after="0" w:line="169" w:lineRule="exact"/>
              <w:rPr>
                <w:sz w:val="20"/>
                <w:szCs w:val="20"/>
                <w:color w:val="auto"/>
              </w:rPr>
            </w:pPr>
            <w:r>
              <w:rPr>
                <w:rFonts w:ascii="Arial" w:cs="Arial" w:eastAsia="Arial" w:hAnsi="Arial"/>
                <w:sz w:val="19"/>
                <w:szCs w:val="19"/>
                <w:color w:val="0000FF"/>
                <w:w w:val="84"/>
              </w:rPr>
              <w:t>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8"/>
              </w:rPr>
              <w:t>Section 5.03</w:t>
            </w:r>
          </w:p>
        </w:tc>
        <w:tc>
          <w:tcPr>
            <w:tcW w:w="2600" w:type="dxa"/>
            <w:vAlign w:val="bottom"/>
            <w:gridSpan w:val="40"/>
          </w:tcPr>
          <w:p>
            <w:pPr>
              <w:ind w:left="60"/>
              <w:spacing w:after="0" w:line="176" w:lineRule="exact"/>
              <w:rPr>
                <w:sz w:val="20"/>
                <w:szCs w:val="20"/>
                <w:color w:val="auto"/>
              </w:rPr>
            </w:pPr>
            <w:r>
              <w:rPr>
                <w:rFonts w:ascii="Arial" w:cs="Arial" w:eastAsia="Arial" w:hAnsi="Arial"/>
                <w:sz w:val="20"/>
                <w:szCs w:val="20"/>
                <w:color w:val="auto"/>
                <w:w w:val="89"/>
              </w:rPr>
              <w:t>Existence; Conduct of Business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4"/>
          </w:tcPr>
          <w:p>
            <w:pPr>
              <w:spacing w:after="0" w:line="176" w:lineRule="exact"/>
              <w:rPr>
                <w:sz w:val="20"/>
                <w:szCs w:val="20"/>
                <w:color w:val="auto"/>
              </w:rPr>
            </w:pPr>
            <w:r>
              <w:rPr>
                <w:rFonts w:ascii="Arial" w:cs="Arial" w:eastAsia="Arial" w:hAnsi="Arial"/>
                <w:sz w:val="20"/>
                <w:szCs w:val="20"/>
                <w:color w:val="FF0000"/>
                <w:strike w:val="1"/>
                <w:w w:val="80"/>
              </w:rPr>
              <w:t>49</w:t>
            </w:r>
          </w:p>
        </w:tc>
        <w:tc>
          <w:tcPr>
            <w:tcW w:w="240" w:type="dxa"/>
            <w:vAlign w:val="bottom"/>
            <w:gridSpan w:val="6"/>
          </w:tcPr>
          <w:p>
            <w:pPr>
              <w:jc w:val="right"/>
              <w:ind w:right="60"/>
              <w:spacing w:after="0" w:line="176" w:lineRule="exact"/>
              <w:rPr>
                <w:sz w:val="20"/>
                <w:szCs w:val="20"/>
                <w:color w:val="auto"/>
              </w:rPr>
            </w:pPr>
            <w:r>
              <w:rPr>
                <w:rFonts w:ascii="Arial" w:cs="Arial" w:eastAsia="Arial" w:hAnsi="Arial"/>
                <w:sz w:val="20"/>
                <w:szCs w:val="20"/>
                <w:color w:val="0000FF"/>
                <w:w w:val="71"/>
              </w:rPr>
              <w:t>51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5.04</w:t>
            </w:r>
          </w:p>
        </w:tc>
        <w:tc>
          <w:tcPr>
            <w:tcW w:w="2100" w:type="dxa"/>
            <w:vAlign w:val="bottom"/>
            <w:gridSpan w:val="28"/>
          </w:tcPr>
          <w:p>
            <w:pPr>
              <w:ind w:left="60"/>
              <w:spacing w:after="0" w:line="183" w:lineRule="exact"/>
              <w:rPr>
                <w:sz w:val="20"/>
                <w:szCs w:val="20"/>
                <w:color w:val="auto"/>
              </w:rPr>
            </w:pPr>
            <w:r>
              <w:rPr>
                <w:rFonts w:ascii="Arial" w:cs="Arial" w:eastAsia="Arial" w:hAnsi="Arial"/>
                <w:sz w:val="20"/>
                <w:szCs w:val="20"/>
                <w:color w:val="auto"/>
                <w:w w:val="97"/>
              </w:rPr>
              <w:t>Payment of Obligations</w:t>
            </w:r>
          </w:p>
        </w:tc>
        <w:tc>
          <w:tcPr>
            <w:tcW w:w="40" w:type="dxa"/>
            <w:vAlign w:val="bottom"/>
          </w:tcPr>
          <w:p>
            <w:pPr>
              <w:spacing w:after="0"/>
              <w:rPr>
                <w:sz w:val="15"/>
                <w:szCs w:val="15"/>
                <w:color w:val="auto"/>
              </w:rPr>
            </w:pPr>
          </w:p>
        </w:tc>
        <w:tc>
          <w:tcPr>
            <w:tcW w:w="200" w:type="dxa"/>
            <w:vAlign w:val="bottom"/>
            <w:gridSpan w:val="3"/>
          </w:tcPr>
          <w:p>
            <w:pPr>
              <w:jc w:val="right"/>
              <w:spacing w:after="0" w:line="183" w:lineRule="exact"/>
              <w:rPr>
                <w:sz w:val="20"/>
                <w:szCs w:val="20"/>
                <w:color w:val="auto"/>
              </w:rPr>
            </w:pPr>
            <w:r>
              <w:rPr>
                <w:rFonts w:ascii="Arial" w:cs="Arial" w:eastAsia="Arial" w:hAnsi="Arial"/>
                <w:sz w:val="20"/>
                <w:szCs w:val="20"/>
                <w:color w:val="FF0000"/>
                <w:strike w:val="1"/>
                <w:w w:val="80"/>
              </w:rPr>
              <w:t>49</w:t>
            </w:r>
          </w:p>
        </w:tc>
        <w:tc>
          <w:tcPr>
            <w:tcW w:w="200" w:type="dxa"/>
            <w:vAlign w:val="bottom"/>
            <w:tcBorders>
              <w:bottom w:val="single" w:sz="8" w:color="0000FF"/>
            </w:tcBorders>
            <w:gridSpan w:val="5"/>
          </w:tcPr>
          <w:p>
            <w:pPr>
              <w:jc w:val="right"/>
              <w:spacing w:after="0" w:line="183" w:lineRule="exact"/>
              <w:rPr>
                <w:sz w:val="20"/>
                <w:szCs w:val="20"/>
                <w:color w:val="auto"/>
              </w:rPr>
            </w:pPr>
            <w:r>
              <w:rPr>
                <w:rFonts w:ascii="Arial" w:cs="Arial" w:eastAsia="Arial" w:hAnsi="Arial"/>
                <w:sz w:val="20"/>
                <w:szCs w:val="20"/>
                <w:color w:val="0000FF"/>
                <w:w w:val="80"/>
              </w:rPr>
              <w:t>51</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5.05</w:t>
            </w:r>
          </w:p>
        </w:tc>
        <w:tc>
          <w:tcPr>
            <w:tcW w:w="2340" w:type="dxa"/>
            <w:vAlign w:val="bottom"/>
            <w:gridSpan w:val="32"/>
          </w:tcPr>
          <w:p>
            <w:pPr>
              <w:ind w:left="60"/>
              <w:spacing w:after="0" w:line="169" w:lineRule="exact"/>
              <w:rPr>
                <w:sz w:val="20"/>
                <w:szCs w:val="20"/>
                <w:color w:val="auto"/>
              </w:rPr>
            </w:pPr>
            <w:r>
              <w:rPr>
                <w:rFonts w:ascii="Arial" w:cs="Arial" w:eastAsia="Arial" w:hAnsi="Arial"/>
                <w:sz w:val="19"/>
                <w:szCs w:val="19"/>
                <w:color w:val="auto"/>
                <w:w w:val="99"/>
              </w:rPr>
              <w:t>Maintenance of Properties;</w:t>
            </w:r>
          </w:p>
        </w:tc>
        <w:tc>
          <w:tcPr>
            <w:tcW w:w="880" w:type="dxa"/>
            <w:vAlign w:val="bottom"/>
            <w:gridSpan w:val="23"/>
          </w:tcPr>
          <w:p>
            <w:pPr>
              <w:jc w:val="center"/>
              <w:ind w:right="200"/>
              <w:spacing w:after="0" w:line="169" w:lineRule="exact"/>
              <w:rPr>
                <w:sz w:val="20"/>
                <w:szCs w:val="20"/>
                <w:color w:val="auto"/>
              </w:rPr>
            </w:pPr>
            <w:r>
              <w:rPr>
                <w:rFonts w:ascii="Arial" w:cs="Arial" w:eastAsia="Arial" w:hAnsi="Arial"/>
                <w:sz w:val="19"/>
                <w:szCs w:val="19"/>
                <w:color w:val="auto"/>
                <w:w w:val="81"/>
              </w:rPr>
              <w:t>Insurance</w:t>
            </w:r>
          </w:p>
        </w:tc>
        <w:tc>
          <w:tcPr>
            <w:tcW w:w="200" w:type="dxa"/>
            <w:vAlign w:val="bottom"/>
            <w:gridSpan w:val="4"/>
          </w:tcPr>
          <w:p>
            <w:pPr>
              <w:jc w:val="right"/>
              <w:spacing w:after="0" w:line="169" w:lineRule="exact"/>
              <w:rPr>
                <w:sz w:val="20"/>
                <w:szCs w:val="20"/>
                <w:color w:val="auto"/>
              </w:rPr>
            </w:pPr>
            <w:r>
              <w:rPr>
                <w:rFonts w:ascii="Arial" w:cs="Arial" w:eastAsia="Arial" w:hAnsi="Arial"/>
                <w:sz w:val="19"/>
                <w:szCs w:val="19"/>
                <w:color w:val="FF0000"/>
                <w:strike w:val="1"/>
                <w:w w:val="84"/>
              </w:rPr>
              <w:t>50</w:t>
            </w:r>
          </w:p>
        </w:tc>
        <w:tc>
          <w:tcPr>
            <w:tcW w:w="200" w:type="dxa"/>
            <w:vAlign w:val="bottom"/>
            <w:tcBorders>
              <w:bottom w:val="single" w:sz="8" w:color="0000FF"/>
            </w:tcBorders>
            <w:gridSpan w:val="3"/>
          </w:tcPr>
          <w:p>
            <w:pPr>
              <w:jc w:val="right"/>
              <w:spacing w:after="0" w:line="169" w:lineRule="exact"/>
              <w:rPr>
                <w:sz w:val="20"/>
                <w:szCs w:val="20"/>
                <w:color w:val="auto"/>
              </w:rPr>
            </w:pPr>
            <w:r>
              <w:rPr>
                <w:rFonts w:ascii="Arial" w:cs="Arial" w:eastAsia="Arial" w:hAnsi="Arial"/>
                <w:sz w:val="19"/>
                <w:szCs w:val="19"/>
                <w:color w:val="0000FF"/>
                <w:w w:val="84"/>
              </w:rPr>
              <w:t>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8"/>
              </w:rPr>
              <w:t>Section 5.06</w:t>
            </w:r>
          </w:p>
        </w:tc>
        <w:tc>
          <w:tcPr>
            <w:tcW w:w="3220" w:type="dxa"/>
            <w:vAlign w:val="bottom"/>
            <w:gridSpan w:val="55"/>
          </w:tcPr>
          <w:p>
            <w:pPr>
              <w:ind w:left="60"/>
              <w:spacing w:after="0" w:line="176" w:lineRule="exact"/>
              <w:rPr>
                <w:sz w:val="20"/>
                <w:szCs w:val="20"/>
                <w:color w:val="auto"/>
              </w:rPr>
            </w:pPr>
            <w:r>
              <w:rPr>
                <w:rFonts w:ascii="Arial" w:cs="Arial" w:eastAsia="Arial" w:hAnsi="Arial"/>
                <w:sz w:val="20"/>
                <w:szCs w:val="20"/>
                <w:color w:val="auto"/>
                <w:w w:val="92"/>
              </w:rPr>
              <w:t>Books and Records; Inspection Rights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3"/>
          </w:tcPr>
          <w:p>
            <w:pPr>
              <w:spacing w:after="0" w:line="176" w:lineRule="exact"/>
              <w:rPr>
                <w:sz w:val="20"/>
                <w:szCs w:val="20"/>
                <w:color w:val="auto"/>
              </w:rPr>
            </w:pPr>
            <w:r>
              <w:rPr>
                <w:rFonts w:ascii="Arial" w:cs="Arial" w:eastAsia="Arial" w:hAnsi="Arial"/>
                <w:sz w:val="20"/>
                <w:szCs w:val="20"/>
                <w:color w:val="FF0000"/>
                <w:strike w:val="1"/>
                <w:w w:val="80"/>
              </w:rPr>
              <w:t>50</w:t>
            </w:r>
          </w:p>
        </w:tc>
        <w:tc>
          <w:tcPr>
            <w:tcW w:w="200" w:type="dxa"/>
            <w:vAlign w:val="bottom"/>
            <w:tcBorders>
              <w:bottom w:val="single" w:sz="8" w:color="0000FF"/>
            </w:tcBorders>
            <w:gridSpan w:val="3"/>
          </w:tcPr>
          <w:p>
            <w:pPr>
              <w:spacing w:after="0" w:line="176" w:lineRule="exact"/>
              <w:rPr>
                <w:sz w:val="20"/>
                <w:szCs w:val="20"/>
                <w:color w:val="auto"/>
              </w:rPr>
            </w:pPr>
            <w:r>
              <w:rPr>
                <w:rFonts w:ascii="Arial" w:cs="Arial" w:eastAsia="Arial" w:hAnsi="Arial"/>
                <w:sz w:val="20"/>
                <w:szCs w:val="20"/>
                <w:color w:val="0000FF"/>
                <w:w w:val="80"/>
              </w:rPr>
              <w:t>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5.07</w:t>
            </w:r>
          </w:p>
        </w:tc>
        <w:tc>
          <w:tcPr>
            <w:tcW w:w="2100" w:type="dxa"/>
            <w:vAlign w:val="bottom"/>
            <w:gridSpan w:val="28"/>
          </w:tcPr>
          <w:p>
            <w:pPr>
              <w:ind w:left="60"/>
              <w:spacing w:after="0" w:line="183" w:lineRule="exact"/>
              <w:rPr>
                <w:sz w:val="20"/>
                <w:szCs w:val="20"/>
                <w:color w:val="auto"/>
              </w:rPr>
            </w:pPr>
            <w:r>
              <w:rPr>
                <w:rFonts w:ascii="Arial" w:cs="Arial" w:eastAsia="Arial" w:hAnsi="Arial"/>
                <w:sz w:val="20"/>
                <w:szCs w:val="20"/>
                <w:color w:val="auto"/>
              </w:rPr>
              <w:t>Compliance with Laws</w:t>
            </w:r>
          </w:p>
        </w:tc>
        <w:tc>
          <w:tcPr>
            <w:tcW w:w="220" w:type="dxa"/>
            <w:vAlign w:val="bottom"/>
            <w:gridSpan w:val="3"/>
          </w:tcPr>
          <w:p>
            <w:pPr>
              <w:spacing w:after="0" w:line="183" w:lineRule="exact"/>
              <w:rPr>
                <w:sz w:val="20"/>
                <w:szCs w:val="20"/>
                <w:color w:val="auto"/>
              </w:rPr>
            </w:pPr>
            <w:r>
              <w:rPr>
                <w:rFonts w:ascii="Arial" w:cs="Arial" w:eastAsia="Arial" w:hAnsi="Arial"/>
                <w:sz w:val="20"/>
                <w:szCs w:val="20"/>
                <w:color w:val="FF0000"/>
                <w:strike w:val="1"/>
                <w:w w:val="80"/>
              </w:rPr>
              <w:t>50</w:t>
            </w:r>
          </w:p>
        </w:tc>
        <w:tc>
          <w:tcPr>
            <w:tcW w:w="220" w:type="dxa"/>
            <w:vAlign w:val="bottom"/>
            <w:gridSpan w:val="6"/>
          </w:tcPr>
          <w:p>
            <w:pPr>
              <w:jc w:val="right"/>
              <w:ind w:right="40"/>
              <w:spacing w:after="0" w:line="183" w:lineRule="exact"/>
              <w:rPr>
                <w:sz w:val="20"/>
                <w:szCs w:val="20"/>
                <w:color w:val="auto"/>
              </w:rPr>
            </w:pPr>
            <w:r>
              <w:rPr>
                <w:rFonts w:ascii="Arial" w:cs="Arial" w:eastAsia="Arial" w:hAnsi="Arial"/>
                <w:sz w:val="20"/>
                <w:szCs w:val="20"/>
                <w:color w:val="0000FF"/>
                <w:w w:val="71"/>
              </w:rPr>
              <w:t>52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5.08</w:t>
            </w:r>
          </w:p>
        </w:tc>
        <w:tc>
          <w:tcPr>
            <w:tcW w:w="1540" w:type="dxa"/>
            <w:vAlign w:val="bottom"/>
            <w:gridSpan w:val="14"/>
          </w:tcPr>
          <w:p>
            <w:pPr>
              <w:ind w:left="60"/>
              <w:spacing w:after="0" w:line="169" w:lineRule="exact"/>
              <w:rPr>
                <w:sz w:val="20"/>
                <w:szCs w:val="20"/>
                <w:color w:val="auto"/>
              </w:rPr>
            </w:pPr>
            <w:r>
              <w:rPr>
                <w:rFonts w:ascii="Arial" w:cs="Arial" w:eastAsia="Arial" w:hAnsi="Arial"/>
                <w:sz w:val="19"/>
                <w:szCs w:val="19"/>
                <w:color w:val="auto"/>
              </w:rPr>
              <w:t>Use of Proceeds</w:t>
            </w:r>
          </w:p>
        </w:tc>
        <w:tc>
          <w:tcPr>
            <w:tcW w:w="220" w:type="dxa"/>
            <w:vAlign w:val="bottom"/>
            <w:gridSpan w:val="7"/>
          </w:tcPr>
          <w:p>
            <w:pPr>
              <w:spacing w:after="0" w:line="169" w:lineRule="exact"/>
              <w:rPr>
                <w:sz w:val="20"/>
                <w:szCs w:val="20"/>
                <w:color w:val="auto"/>
              </w:rPr>
            </w:pPr>
            <w:r>
              <w:rPr>
                <w:rFonts w:ascii="Arial" w:cs="Arial" w:eastAsia="Arial" w:hAnsi="Arial"/>
                <w:sz w:val="19"/>
                <w:szCs w:val="19"/>
                <w:color w:val="FF0000"/>
                <w:strike w:val="1"/>
                <w:w w:val="94"/>
              </w:rPr>
              <w:t>50</w:t>
            </w:r>
          </w:p>
        </w:tc>
        <w:tc>
          <w:tcPr>
            <w:tcW w:w="20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9"/>
                <w:szCs w:val="19"/>
                <w:color w:val="0000FF"/>
                <w:w w:val="84"/>
              </w:rPr>
              <w:t>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8"/>
              </w:rPr>
              <w:t>Section 5.09</w:t>
            </w:r>
          </w:p>
        </w:tc>
        <w:tc>
          <w:tcPr>
            <w:tcW w:w="1760" w:type="dxa"/>
            <w:vAlign w:val="bottom"/>
            <w:gridSpan w:val="21"/>
          </w:tcPr>
          <w:p>
            <w:pPr>
              <w:ind w:left="60"/>
              <w:spacing w:after="0" w:line="176" w:lineRule="exact"/>
              <w:rPr>
                <w:sz w:val="20"/>
                <w:szCs w:val="20"/>
                <w:color w:val="auto"/>
              </w:rPr>
            </w:pPr>
            <w:r>
              <w:rPr>
                <w:rFonts w:ascii="Arial" w:cs="Arial" w:eastAsia="Arial" w:hAnsi="Arial"/>
                <w:sz w:val="20"/>
                <w:szCs w:val="20"/>
                <w:color w:val="auto"/>
                <w:w w:val="89"/>
              </w:rPr>
              <w:t>Additional Subsidiary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0"/>
          </w:tcPr>
          <w:p>
            <w:pPr>
              <w:jc w:val="center"/>
              <w:ind w:right="60"/>
              <w:spacing w:after="0" w:line="176" w:lineRule="exact"/>
              <w:rPr>
                <w:sz w:val="20"/>
                <w:szCs w:val="20"/>
                <w:color w:val="auto"/>
              </w:rPr>
            </w:pPr>
            <w:r>
              <w:rPr>
                <w:rFonts w:ascii="Arial" w:cs="Arial" w:eastAsia="Arial" w:hAnsi="Arial"/>
                <w:sz w:val="20"/>
                <w:szCs w:val="20"/>
                <w:color w:val="auto"/>
                <w:w w:val="75"/>
              </w:rPr>
              <w:t>Guarantors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5"/>
          </w:tcPr>
          <w:p>
            <w:pPr>
              <w:jc w:val="right"/>
              <w:spacing w:after="0" w:line="176" w:lineRule="exact"/>
              <w:rPr>
                <w:sz w:val="20"/>
                <w:szCs w:val="20"/>
                <w:color w:val="auto"/>
              </w:rPr>
            </w:pPr>
            <w:r>
              <w:rPr>
                <w:rFonts w:ascii="Arial" w:cs="Arial" w:eastAsia="Arial" w:hAnsi="Arial"/>
                <w:sz w:val="20"/>
                <w:szCs w:val="20"/>
                <w:color w:val="FF0000"/>
                <w:strike w:val="1"/>
                <w:w w:val="80"/>
              </w:rPr>
              <w:t>50</w:t>
            </w:r>
          </w:p>
        </w:tc>
        <w:tc>
          <w:tcPr>
            <w:tcW w:w="200" w:type="dxa"/>
            <w:vAlign w:val="bottom"/>
            <w:tcBorders>
              <w:bottom w:val="single" w:sz="8" w:color="0000FF"/>
            </w:tcBorders>
            <w:gridSpan w:val="5"/>
          </w:tcPr>
          <w:p>
            <w:pPr>
              <w:jc w:val="right"/>
              <w:spacing w:after="0" w:line="176" w:lineRule="exact"/>
              <w:rPr>
                <w:sz w:val="20"/>
                <w:szCs w:val="20"/>
                <w:color w:val="auto"/>
              </w:rPr>
            </w:pPr>
            <w:r>
              <w:rPr>
                <w:rFonts w:ascii="Arial" w:cs="Arial" w:eastAsia="Arial" w:hAnsi="Arial"/>
                <w:sz w:val="20"/>
                <w:szCs w:val="20"/>
                <w:color w:val="0000FF"/>
                <w:w w:val="80"/>
              </w:rPr>
              <w:t>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20"/>
                <w:szCs w:val="20"/>
                <w:color w:val="auto"/>
              </w:rPr>
              <w:t>ARTICLE VI</w:t>
            </w:r>
          </w:p>
        </w:tc>
        <w:tc>
          <w:tcPr>
            <w:tcW w:w="2320" w:type="dxa"/>
            <w:vAlign w:val="bottom"/>
            <w:gridSpan w:val="22"/>
          </w:tcPr>
          <w:p>
            <w:pPr>
              <w:ind w:left="60"/>
              <w:spacing w:after="0"/>
              <w:rPr>
                <w:sz w:val="20"/>
                <w:szCs w:val="20"/>
                <w:color w:val="auto"/>
              </w:rPr>
            </w:pPr>
            <w:r>
              <w:rPr>
                <w:rFonts w:ascii="Arial" w:cs="Arial" w:eastAsia="Arial" w:hAnsi="Arial"/>
                <w:sz w:val="20"/>
                <w:szCs w:val="20"/>
                <w:color w:val="auto"/>
                <w:w w:val="96"/>
              </w:rPr>
              <w:t>NEGATIVE COVENANTS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5"/>
          </w:tcPr>
          <w:p>
            <w:pPr>
              <w:spacing w:after="0"/>
              <w:rPr>
                <w:sz w:val="20"/>
                <w:szCs w:val="20"/>
                <w:color w:val="auto"/>
              </w:rPr>
            </w:pPr>
            <w:r>
              <w:rPr>
                <w:rFonts w:ascii="Arial" w:cs="Arial" w:eastAsia="Arial" w:hAnsi="Arial"/>
                <w:sz w:val="20"/>
                <w:szCs w:val="20"/>
                <w:color w:val="FF0000"/>
                <w:strike w:val="1"/>
                <w:w w:val="71"/>
              </w:rPr>
              <w:t>51</w:t>
            </w:r>
          </w:p>
        </w:tc>
        <w:tc>
          <w:tcPr>
            <w:tcW w:w="200" w:type="dxa"/>
            <w:vAlign w:val="bottom"/>
            <w:gridSpan w:val="3"/>
          </w:tcPr>
          <w:p>
            <w:pPr>
              <w:jc w:val="right"/>
              <w:spacing w:after="0"/>
              <w:rPr>
                <w:sz w:val="20"/>
                <w:szCs w:val="20"/>
                <w:color w:val="auto"/>
              </w:rPr>
            </w:pPr>
            <w:r>
              <w:rPr>
                <w:rFonts w:ascii="Arial" w:cs="Arial" w:eastAsia="Arial" w:hAnsi="Arial"/>
                <w:sz w:val="20"/>
                <w:szCs w:val="20"/>
                <w:color w:val="0000FF"/>
                <w:w w:val="71"/>
              </w:rPr>
              <w:t>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tcBorders>
              <w:right w:val="single" w:sz="8" w:color="0000FF"/>
            </w:tcBorders>
            <w:gridSpan w:val="31"/>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36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80" w:type="dxa"/>
            <w:vAlign w:val="bottom"/>
            <w:gridSpan w:val="2"/>
          </w:tcPr>
          <w:p>
            <w:pPr>
              <w:ind w:left="660"/>
              <w:spacing w:after="0"/>
              <w:rPr>
                <w:sz w:val="20"/>
                <w:szCs w:val="20"/>
                <w:color w:val="auto"/>
              </w:rPr>
            </w:pPr>
            <w:r>
              <w:rPr>
                <w:rFonts w:ascii="Arial" w:cs="Arial" w:eastAsia="Arial" w:hAnsi="Arial"/>
                <w:sz w:val="20"/>
                <w:szCs w:val="20"/>
                <w:color w:val="auto"/>
                <w:w w:val="98"/>
              </w:rPr>
              <w:t>Section 6.01</w:t>
            </w:r>
          </w:p>
        </w:tc>
        <w:tc>
          <w:tcPr>
            <w:tcW w:w="1760" w:type="dxa"/>
            <w:vAlign w:val="bottom"/>
            <w:gridSpan w:val="21"/>
          </w:tcPr>
          <w:p>
            <w:pPr>
              <w:ind w:left="60"/>
              <w:spacing w:after="0"/>
              <w:rPr>
                <w:sz w:val="20"/>
                <w:szCs w:val="20"/>
                <w:color w:val="auto"/>
              </w:rPr>
            </w:pPr>
            <w:r>
              <w:rPr>
                <w:rFonts w:ascii="Arial" w:cs="Arial" w:eastAsia="Arial" w:hAnsi="Arial"/>
                <w:sz w:val="20"/>
                <w:szCs w:val="20"/>
                <w:color w:val="auto"/>
                <w:w w:val="89"/>
              </w:rPr>
              <w:t>Changes in Business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51</w:t>
            </w:r>
          </w:p>
        </w:tc>
        <w:tc>
          <w:tcPr>
            <w:tcW w:w="2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0"/>
              </w:rPr>
              <w:t>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5"/>
            <w:vMerge w:val="restart"/>
          </w:tcPr>
          <w:p>
            <w:pPr>
              <w:jc w:val="right"/>
              <w:ind w:right="101"/>
              <w:spacing w:after="0"/>
              <w:rPr>
                <w:sz w:val="20"/>
                <w:szCs w:val="20"/>
                <w:color w:val="auto"/>
              </w:rPr>
            </w:pPr>
            <w:r>
              <w:rPr>
                <w:rFonts w:ascii="Arial" w:cs="Arial" w:eastAsia="Arial" w:hAnsi="Arial"/>
                <w:sz w:val="20"/>
                <w:szCs w:val="20"/>
                <w:color w:val="auto"/>
                <w:w w:val="87"/>
              </w:rPr>
              <w:t>Sales, etc.</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color w:val="FF0000"/>
                <w:strike w:val="1"/>
                <w:w w:val="80"/>
              </w:rPr>
              <w:t>51</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color w:val="0000FF"/>
                <w:w w:val="80"/>
              </w:rPr>
              <w:t>52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100" w:type="dxa"/>
            <w:vAlign w:val="bottom"/>
            <w:gridSpan w:val="33"/>
          </w:tcPr>
          <w:p>
            <w:pPr>
              <w:ind w:left="660"/>
              <w:spacing w:after="0" w:line="183" w:lineRule="exact"/>
              <w:rPr>
                <w:sz w:val="20"/>
                <w:szCs w:val="20"/>
                <w:color w:val="auto"/>
              </w:rPr>
            </w:pPr>
            <w:r>
              <w:rPr>
                <w:rFonts w:ascii="Arial" w:cs="Arial" w:eastAsia="Arial" w:hAnsi="Arial"/>
                <w:sz w:val="20"/>
                <w:szCs w:val="20"/>
                <w:color w:val="auto"/>
                <w:w w:val="89"/>
              </w:rPr>
              <w:t>Section 6.02  Consolidation, Merger, Asset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5"/>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00" w:type="dxa"/>
            <w:vAlign w:val="bottom"/>
            <w:tcBorders>
              <w:bottom w:val="single" w:sz="8" w:color="0000FF"/>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6.03</w:t>
            </w:r>
          </w:p>
        </w:tc>
        <w:tc>
          <w:tcPr>
            <w:tcW w:w="700" w:type="dxa"/>
            <w:vAlign w:val="bottom"/>
          </w:tcPr>
          <w:p>
            <w:pPr>
              <w:ind w:left="60"/>
              <w:spacing w:after="0" w:line="169" w:lineRule="exact"/>
              <w:rPr>
                <w:sz w:val="20"/>
                <w:szCs w:val="20"/>
                <w:color w:val="auto"/>
              </w:rPr>
            </w:pPr>
            <w:r>
              <w:rPr>
                <w:rFonts w:ascii="Arial" w:cs="Arial" w:eastAsia="Arial" w:hAnsi="Arial"/>
                <w:sz w:val="19"/>
                <w:szCs w:val="19"/>
                <w:color w:val="auto"/>
              </w:rPr>
              <w:t>Liens</w:t>
            </w:r>
          </w:p>
        </w:tc>
        <w:tc>
          <w:tcPr>
            <w:tcW w:w="200" w:type="dxa"/>
            <w:vAlign w:val="bottom"/>
          </w:tcPr>
          <w:p>
            <w:pPr>
              <w:jc w:val="right"/>
              <w:spacing w:after="0" w:line="169" w:lineRule="exact"/>
              <w:rPr>
                <w:sz w:val="20"/>
                <w:szCs w:val="20"/>
                <w:color w:val="auto"/>
              </w:rPr>
            </w:pPr>
            <w:r>
              <w:rPr>
                <w:rFonts w:ascii="Arial" w:cs="Arial" w:eastAsia="Arial" w:hAnsi="Arial"/>
                <w:sz w:val="19"/>
                <w:szCs w:val="19"/>
                <w:color w:val="FF0000"/>
                <w:strike w:val="1"/>
                <w:w w:val="84"/>
              </w:rPr>
              <w:t>52</w:t>
            </w:r>
          </w:p>
        </w:tc>
        <w:tc>
          <w:tcPr>
            <w:tcW w:w="4780" w:type="dxa"/>
            <w:vAlign w:val="bottom"/>
            <w:gridSpan w:val="74"/>
          </w:tcPr>
          <w:p>
            <w:pPr>
              <w:jc w:val="right"/>
              <w:ind w:right="4580"/>
              <w:spacing w:after="0" w:line="169" w:lineRule="exact"/>
              <w:rPr>
                <w:sz w:val="20"/>
                <w:szCs w:val="20"/>
                <w:color w:val="auto"/>
              </w:rPr>
            </w:pPr>
            <w:r>
              <w:rPr>
                <w:rFonts w:ascii="Arial" w:cs="Arial" w:eastAsia="Arial" w:hAnsi="Arial"/>
                <w:sz w:val="19"/>
                <w:szCs w:val="19"/>
                <w:color w:val="0000FF"/>
                <w:w w:val="84"/>
              </w:rPr>
              <w:t>53</w:t>
            </w: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8"/>
              </w:rPr>
              <w:t>Section 6.04</w:t>
            </w:r>
          </w:p>
        </w:tc>
        <w:tc>
          <w:tcPr>
            <w:tcW w:w="900" w:type="dxa"/>
            <w:vAlign w:val="bottom"/>
            <w:gridSpan w:val="2"/>
          </w:tcPr>
          <w:p>
            <w:pPr>
              <w:ind w:left="60"/>
              <w:spacing w:after="0" w:line="175" w:lineRule="exact"/>
              <w:rPr>
                <w:sz w:val="20"/>
                <w:szCs w:val="20"/>
                <w:color w:val="auto"/>
              </w:rPr>
            </w:pPr>
            <w:r>
              <w:rPr>
                <w:rFonts w:ascii="Arial" w:cs="Arial" w:eastAsia="Arial" w:hAnsi="Arial"/>
                <w:sz w:val="19"/>
                <w:szCs w:val="19"/>
                <w:color w:val="auto"/>
                <w:w w:val="71"/>
              </w:rPr>
              <w:t>Indebtedness</w:t>
            </w: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61"/>
          </w:tcPr>
          <w:p>
            <w:pPr>
              <w:ind w:left="20"/>
              <w:spacing w:after="0" w:line="176" w:lineRule="exact"/>
              <w:rPr>
                <w:sz w:val="20"/>
                <w:szCs w:val="20"/>
                <w:color w:val="auto"/>
              </w:rPr>
            </w:pPr>
            <w:r>
              <w:rPr>
                <w:rFonts w:ascii="Arial" w:cs="Arial" w:eastAsia="Arial" w:hAnsi="Arial"/>
                <w:sz w:val="20"/>
                <w:szCs w:val="20"/>
                <w:color w:val="auto"/>
                <w:w w:val="97"/>
              </w:rPr>
              <w:t>of Non-Loan Party Subsidiaries</w:t>
            </w:r>
          </w:p>
        </w:tc>
        <w:tc>
          <w:tcPr>
            <w:tcW w:w="200" w:type="dxa"/>
            <w:vAlign w:val="bottom"/>
          </w:tcPr>
          <w:p>
            <w:pPr>
              <w:jc w:val="right"/>
              <w:spacing w:after="0" w:line="176" w:lineRule="exact"/>
              <w:rPr>
                <w:sz w:val="20"/>
                <w:szCs w:val="20"/>
                <w:color w:val="auto"/>
              </w:rPr>
            </w:pPr>
            <w:r>
              <w:rPr>
                <w:rFonts w:ascii="Arial" w:cs="Arial" w:eastAsia="Arial" w:hAnsi="Arial"/>
                <w:sz w:val="20"/>
                <w:szCs w:val="20"/>
                <w:color w:val="FF0000"/>
                <w:strike w:val="1"/>
                <w:w w:val="80"/>
              </w:rPr>
              <w:t>53</w:t>
            </w:r>
          </w:p>
        </w:tc>
        <w:tc>
          <w:tcPr>
            <w:tcW w:w="20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20"/>
                <w:szCs w:val="20"/>
                <w:color w:val="0000FF"/>
                <w:w w:val="80"/>
              </w:rPr>
              <w:t>54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6.05</w:t>
            </w:r>
          </w:p>
        </w:tc>
        <w:tc>
          <w:tcPr>
            <w:tcW w:w="1120" w:type="dxa"/>
            <w:vAlign w:val="bottom"/>
            <w:gridSpan w:val="5"/>
          </w:tcPr>
          <w:p>
            <w:pPr>
              <w:ind w:left="60"/>
              <w:spacing w:after="0" w:line="183" w:lineRule="exact"/>
              <w:rPr>
                <w:sz w:val="20"/>
                <w:szCs w:val="20"/>
                <w:color w:val="auto"/>
              </w:rPr>
            </w:pPr>
            <w:r>
              <w:rPr>
                <w:rFonts w:ascii="Arial" w:cs="Arial" w:eastAsia="Arial" w:hAnsi="Arial"/>
                <w:sz w:val="20"/>
                <w:szCs w:val="20"/>
                <w:color w:val="auto"/>
              </w:rPr>
              <w:t>[Reserved]</w:t>
            </w:r>
          </w:p>
        </w:tc>
        <w:tc>
          <w:tcPr>
            <w:tcW w:w="200" w:type="dxa"/>
            <w:vAlign w:val="bottom"/>
            <w:gridSpan w:val="5"/>
          </w:tcPr>
          <w:p>
            <w:pPr>
              <w:spacing w:after="0" w:line="183" w:lineRule="exact"/>
              <w:rPr>
                <w:sz w:val="20"/>
                <w:szCs w:val="20"/>
                <w:color w:val="auto"/>
              </w:rPr>
            </w:pPr>
            <w:r>
              <w:rPr>
                <w:rFonts w:ascii="Arial" w:cs="Arial" w:eastAsia="Arial" w:hAnsi="Arial"/>
                <w:sz w:val="20"/>
                <w:szCs w:val="20"/>
                <w:color w:val="FF0000"/>
                <w:strike w:val="1"/>
                <w:w w:val="80"/>
              </w:rPr>
              <w:t>54</w:t>
            </w:r>
          </w:p>
        </w:tc>
        <w:tc>
          <w:tcPr>
            <w:tcW w:w="220" w:type="dxa"/>
            <w:vAlign w:val="bottom"/>
            <w:tcBorders>
              <w:bottom w:val="single" w:sz="8" w:color="0000FF"/>
            </w:tcBorders>
            <w:gridSpan w:val="4"/>
          </w:tcPr>
          <w:p>
            <w:pPr>
              <w:spacing w:after="0" w:line="183" w:lineRule="exact"/>
              <w:rPr>
                <w:sz w:val="20"/>
                <w:szCs w:val="20"/>
                <w:color w:val="auto"/>
              </w:rPr>
            </w:pPr>
            <w:r>
              <w:rPr>
                <w:rFonts w:ascii="Arial" w:cs="Arial" w:eastAsia="Arial" w:hAnsi="Arial"/>
                <w:sz w:val="20"/>
                <w:szCs w:val="20"/>
                <w:color w:val="0000FF"/>
                <w:w w:val="89"/>
              </w:rPr>
              <w:t>56</w:t>
            </w:r>
          </w:p>
        </w:tc>
        <w:tc>
          <w:tcPr>
            <w:tcW w:w="4140" w:type="dxa"/>
            <w:vAlign w:val="bottom"/>
            <w:gridSpan w:val="6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6.06</w:t>
            </w:r>
          </w:p>
        </w:tc>
        <w:tc>
          <w:tcPr>
            <w:tcW w:w="1860" w:type="dxa"/>
            <w:vAlign w:val="bottom"/>
            <w:gridSpan w:val="23"/>
          </w:tcPr>
          <w:p>
            <w:pPr>
              <w:ind w:left="60"/>
              <w:spacing w:after="0" w:line="169" w:lineRule="exact"/>
              <w:rPr>
                <w:sz w:val="20"/>
                <w:szCs w:val="20"/>
                <w:color w:val="auto"/>
              </w:rPr>
            </w:pPr>
            <w:r>
              <w:rPr>
                <w:rFonts w:ascii="Arial" w:cs="Arial" w:eastAsia="Arial" w:hAnsi="Arial"/>
                <w:sz w:val="19"/>
                <w:szCs w:val="19"/>
                <w:color w:val="auto"/>
                <w:w w:val="84"/>
              </w:rPr>
              <w:t>Financial Covenants</w:t>
            </w:r>
          </w:p>
        </w:tc>
        <w:tc>
          <w:tcPr>
            <w:tcW w:w="220" w:type="dxa"/>
            <w:vAlign w:val="bottom"/>
            <w:gridSpan w:val="4"/>
          </w:tcPr>
          <w:p>
            <w:pPr>
              <w:jc w:val="right"/>
              <w:spacing w:after="0" w:line="169" w:lineRule="exact"/>
              <w:rPr>
                <w:sz w:val="20"/>
                <w:szCs w:val="20"/>
                <w:color w:val="auto"/>
              </w:rPr>
            </w:pPr>
            <w:r>
              <w:rPr>
                <w:rFonts w:ascii="Arial" w:cs="Arial" w:eastAsia="Arial" w:hAnsi="Arial"/>
                <w:sz w:val="19"/>
                <w:szCs w:val="19"/>
                <w:color w:val="FF0000"/>
                <w:strike w:val="1"/>
                <w:w w:val="94"/>
              </w:rPr>
              <w:t>54</w:t>
            </w:r>
          </w:p>
        </w:tc>
        <w:tc>
          <w:tcPr>
            <w:tcW w:w="20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9"/>
                <w:szCs w:val="19"/>
                <w:color w:val="0000FF"/>
                <w:w w:val="84"/>
              </w:rPr>
              <w:t>56</w:t>
            </w:r>
          </w:p>
        </w:tc>
        <w:tc>
          <w:tcPr>
            <w:tcW w:w="3400" w:type="dxa"/>
            <w:vAlign w:val="bottom"/>
            <w:gridSpan w:val="46"/>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8"/>
              </w:rPr>
              <w:t>Section 6.07</w:t>
            </w:r>
          </w:p>
        </w:tc>
        <w:tc>
          <w:tcPr>
            <w:tcW w:w="1120" w:type="dxa"/>
            <w:vAlign w:val="bottom"/>
            <w:gridSpan w:val="5"/>
          </w:tcPr>
          <w:p>
            <w:pPr>
              <w:ind w:left="60"/>
              <w:spacing w:after="0" w:line="176" w:lineRule="exact"/>
              <w:rPr>
                <w:sz w:val="20"/>
                <w:szCs w:val="20"/>
                <w:color w:val="auto"/>
              </w:rPr>
            </w:pPr>
            <w:r>
              <w:rPr>
                <w:rFonts w:ascii="Arial" w:cs="Arial" w:eastAsia="Arial" w:hAnsi="Arial"/>
                <w:sz w:val="20"/>
                <w:szCs w:val="20"/>
                <w:color w:val="auto"/>
              </w:rPr>
              <w:t>[Reserved]</w:t>
            </w:r>
          </w:p>
        </w:tc>
        <w:tc>
          <w:tcPr>
            <w:tcW w:w="200" w:type="dxa"/>
            <w:vAlign w:val="bottom"/>
            <w:gridSpan w:val="5"/>
          </w:tcPr>
          <w:p>
            <w:pPr>
              <w:spacing w:after="0" w:line="176" w:lineRule="exact"/>
              <w:rPr>
                <w:sz w:val="20"/>
                <w:szCs w:val="20"/>
                <w:color w:val="auto"/>
              </w:rPr>
            </w:pPr>
            <w:r>
              <w:rPr>
                <w:rFonts w:ascii="Arial" w:cs="Arial" w:eastAsia="Arial" w:hAnsi="Arial"/>
                <w:sz w:val="20"/>
                <w:szCs w:val="20"/>
                <w:color w:val="FF0000"/>
                <w:strike w:val="1"/>
                <w:w w:val="80"/>
              </w:rPr>
              <w:t>54</w:t>
            </w:r>
          </w:p>
        </w:tc>
        <w:tc>
          <w:tcPr>
            <w:tcW w:w="220" w:type="dxa"/>
            <w:vAlign w:val="bottom"/>
            <w:tcBorders>
              <w:bottom w:val="single" w:sz="8" w:color="0000FF"/>
            </w:tcBorders>
            <w:gridSpan w:val="4"/>
          </w:tcPr>
          <w:p>
            <w:pPr>
              <w:spacing w:after="0" w:line="176" w:lineRule="exact"/>
              <w:rPr>
                <w:sz w:val="20"/>
                <w:szCs w:val="20"/>
                <w:color w:val="auto"/>
              </w:rPr>
            </w:pPr>
            <w:r>
              <w:rPr>
                <w:rFonts w:ascii="Arial" w:cs="Arial" w:eastAsia="Arial" w:hAnsi="Arial"/>
                <w:sz w:val="20"/>
                <w:szCs w:val="20"/>
                <w:color w:val="0000FF"/>
                <w:w w:val="89"/>
              </w:rPr>
              <w:t>56</w:t>
            </w:r>
          </w:p>
        </w:tc>
        <w:tc>
          <w:tcPr>
            <w:tcW w:w="4140" w:type="dxa"/>
            <w:vAlign w:val="bottom"/>
            <w:gridSpan w:val="6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6.08</w:t>
            </w:r>
          </w:p>
        </w:tc>
        <w:tc>
          <w:tcPr>
            <w:tcW w:w="1540" w:type="dxa"/>
            <w:vAlign w:val="bottom"/>
            <w:gridSpan w:val="14"/>
          </w:tcPr>
          <w:p>
            <w:pPr>
              <w:ind w:left="60"/>
              <w:spacing w:after="0" w:line="183" w:lineRule="exact"/>
              <w:rPr>
                <w:sz w:val="20"/>
                <w:szCs w:val="20"/>
                <w:color w:val="auto"/>
              </w:rPr>
            </w:pPr>
            <w:r>
              <w:rPr>
                <w:rFonts w:ascii="Arial" w:cs="Arial" w:eastAsia="Arial" w:hAnsi="Arial"/>
                <w:sz w:val="20"/>
                <w:szCs w:val="20"/>
                <w:color w:val="auto"/>
                <w:w w:val="93"/>
              </w:rPr>
              <w:t>Transactions with</w:t>
            </w:r>
          </w:p>
        </w:tc>
        <w:tc>
          <w:tcPr>
            <w:tcW w:w="800" w:type="dxa"/>
            <w:vAlign w:val="bottom"/>
            <w:gridSpan w:val="18"/>
          </w:tcPr>
          <w:p>
            <w:pPr>
              <w:spacing w:after="0" w:line="183" w:lineRule="exact"/>
              <w:rPr>
                <w:sz w:val="20"/>
                <w:szCs w:val="20"/>
                <w:color w:val="auto"/>
              </w:rPr>
            </w:pPr>
            <w:r>
              <w:rPr>
                <w:rFonts w:ascii="Arial" w:cs="Arial" w:eastAsia="Arial" w:hAnsi="Arial"/>
                <w:sz w:val="20"/>
                <w:szCs w:val="20"/>
                <w:color w:val="auto"/>
              </w:rPr>
              <w:t>Affiliates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8"/>
          </w:tcPr>
          <w:p>
            <w:pPr>
              <w:jc w:val="right"/>
              <w:spacing w:after="0" w:line="183" w:lineRule="exact"/>
              <w:rPr>
                <w:sz w:val="20"/>
                <w:szCs w:val="20"/>
                <w:color w:val="auto"/>
              </w:rPr>
            </w:pPr>
            <w:r>
              <w:rPr>
                <w:rFonts w:ascii="Arial" w:cs="Arial" w:eastAsia="Arial" w:hAnsi="Arial"/>
                <w:sz w:val="20"/>
                <w:szCs w:val="20"/>
                <w:color w:val="FF0000"/>
                <w:strike w:val="1"/>
                <w:w w:val="89"/>
              </w:rPr>
              <w:t>54</w:t>
            </w:r>
          </w:p>
        </w:tc>
        <w:tc>
          <w:tcPr>
            <w:tcW w:w="200" w:type="dxa"/>
            <w:vAlign w:val="bottom"/>
            <w:tcBorders>
              <w:bottom w:val="single" w:sz="8" w:color="0000FF"/>
            </w:tcBorders>
            <w:gridSpan w:val="4"/>
          </w:tcPr>
          <w:p>
            <w:pPr>
              <w:spacing w:after="0" w:line="183" w:lineRule="exact"/>
              <w:rPr>
                <w:sz w:val="20"/>
                <w:szCs w:val="20"/>
                <w:color w:val="auto"/>
              </w:rPr>
            </w:pPr>
            <w:r>
              <w:rPr>
                <w:rFonts w:ascii="Arial" w:cs="Arial" w:eastAsia="Arial" w:hAnsi="Arial"/>
                <w:sz w:val="20"/>
                <w:szCs w:val="20"/>
                <w:color w:val="0000FF"/>
                <w:w w:val="80"/>
              </w:rPr>
              <w:t>56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6.09</w:t>
            </w:r>
          </w:p>
        </w:tc>
        <w:tc>
          <w:tcPr>
            <w:tcW w:w="2660" w:type="dxa"/>
            <w:vAlign w:val="bottom"/>
            <w:gridSpan w:val="43"/>
          </w:tcPr>
          <w:p>
            <w:pPr>
              <w:ind w:left="60"/>
              <w:spacing w:after="0" w:line="183" w:lineRule="exact"/>
              <w:rPr>
                <w:sz w:val="20"/>
                <w:szCs w:val="20"/>
                <w:color w:val="auto"/>
              </w:rPr>
            </w:pPr>
            <w:r>
              <w:rPr>
                <w:rFonts w:ascii="Arial" w:cs="Arial" w:eastAsia="Arial" w:hAnsi="Arial"/>
                <w:sz w:val="20"/>
                <w:szCs w:val="20"/>
                <w:color w:val="auto"/>
                <w:w w:val="88"/>
              </w:rPr>
              <w:t>Sanctions Laws and Regulations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4"/>
          </w:tcPr>
          <w:p>
            <w:pPr>
              <w:spacing w:after="0" w:line="183" w:lineRule="exact"/>
              <w:rPr>
                <w:sz w:val="20"/>
                <w:szCs w:val="20"/>
                <w:color w:val="auto"/>
              </w:rPr>
            </w:pPr>
            <w:r>
              <w:rPr>
                <w:rFonts w:ascii="Arial" w:cs="Arial" w:eastAsia="Arial" w:hAnsi="Arial"/>
                <w:sz w:val="20"/>
                <w:szCs w:val="20"/>
                <w:color w:val="FF0000"/>
                <w:strike w:val="1"/>
                <w:w w:val="71"/>
              </w:rPr>
              <w:t>55</w:t>
            </w:r>
          </w:p>
        </w:tc>
        <w:tc>
          <w:tcPr>
            <w:tcW w:w="260" w:type="dxa"/>
            <w:vAlign w:val="bottom"/>
            <w:gridSpan w:val="6"/>
          </w:tcPr>
          <w:p>
            <w:pPr>
              <w:jc w:val="right"/>
              <w:ind w:right="60"/>
              <w:spacing w:after="0" w:line="183" w:lineRule="exact"/>
              <w:rPr>
                <w:sz w:val="20"/>
                <w:szCs w:val="20"/>
                <w:color w:val="auto"/>
              </w:rPr>
            </w:pPr>
            <w:r>
              <w:rPr>
                <w:rFonts w:ascii="Arial" w:cs="Arial" w:eastAsia="Arial" w:hAnsi="Arial"/>
                <w:sz w:val="20"/>
                <w:szCs w:val="20"/>
                <w:color w:val="0000FF"/>
                <w:w w:val="80"/>
              </w:rPr>
              <w:t>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20"/>
                <w:szCs w:val="20"/>
                <w:color w:val="auto"/>
              </w:rPr>
              <w:t>ARTICLE VII</w:t>
            </w:r>
          </w:p>
        </w:tc>
        <w:tc>
          <w:tcPr>
            <w:tcW w:w="2320" w:type="dxa"/>
            <w:vAlign w:val="bottom"/>
            <w:gridSpan w:val="22"/>
          </w:tcPr>
          <w:p>
            <w:pPr>
              <w:jc w:val="right"/>
              <w:ind w:right="101"/>
              <w:spacing w:after="0"/>
              <w:rPr>
                <w:sz w:val="20"/>
                <w:szCs w:val="20"/>
                <w:color w:val="auto"/>
              </w:rPr>
            </w:pPr>
            <w:r>
              <w:rPr>
                <w:rFonts w:ascii="Arial" w:cs="Arial" w:eastAsia="Arial" w:hAnsi="Arial"/>
                <w:sz w:val="20"/>
                <w:szCs w:val="20"/>
                <w:color w:val="auto"/>
                <w:w w:val="99"/>
              </w:rPr>
              <w:t>EVENTS OF DEFAULT</w:t>
            </w:r>
          </w:p>
        </w:tc>
        <w:tc>
          <w:tcPr>
            <w:tcW w:w="200" w:type="dxa"/>
            <w:vAlign w:val="bottom"/>
            <w:gridSpan w:val="4"/>
          </w:tcPr>
          <w:p>
            <w:pPr>
              <w:spacing w:after="0"/>
              <w:rPr>
                <w:sz w:val="20"/>
                <w:szCs w:val="20"/>
                <w:color w:val="auto"/>
              </w:rPr>
            </w:pPr>
            <w:r>
              <w:rPr>
                <w:rFonts w:ascii="Arial" w:cs="Arial" w:eastAsia="Arial" w:hAnsi="Arial"/>
                <w:sz w:val="20"/>
                <w:szCs w:val="20"/>
                <w:color w:val="FF0000"/>
                <w:strike w:val="1"/>
                <w:w w:val="80"/>
              </w:rPr>
              <w:t>55</w:t>
            </w:r>
          </w:p>
        </w:tc>
        <w:tc>
          <w:tcPr>
            <w:tcW w:w="180" w:type="dxa"/>
            <w:vAlign w:val="bottom"/>
            <w:gridSpan w:val="4"/>
          </w:tcPr>
          <w:p>
            <w:pPr>
              <w:spacing w:after="0"/>
              <w:rPr>
                <w:sz w:val="20"/>
                <w:szCs w:val="20"/>
                <w:color w:val="auto"/>
              </w:rPr>
            </w:pPr>
            <w:r>
              <w:rPr>
                <w:rFonts w:ascii="Arial" w:cs="Arial" w:eastAsia="Arial" w:hAnsi="Arial"/>
                <w:sz w:val="16"/>
                <w:szCs w:val="16"/>
                <w:color w:val="0000FF"/>
                <w:w w:val="78"/>
              </w:rPr>
              <w:t>56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tcBorders>
              <w:right w:val="single" w:sz="8" w:color="0000FF"/>
            </w:tcBorders>
            <w:gridSpan w:val="31"/>
          </w:tcPr>
          <w:p>
            <w:pPr>
              <w:spacing w:after="0" w:line="20" w:lineRule="exact"/>
              <w:rPr>
                <w:sz w:val="1"/>
                <w:szCs w:val="1"/>
                <w:color w:val="auto"/>
              </w:rPr>
            </w:pPr>
          </w:p>
        </w:tc>
        <w:tc>
          <w:tcPr>
            <w:tcW w:w="3540" w:type="dxa"/>
            <w:vAlign w:val="bottom"/>
            <w:gridSpan w:val="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780" w:type="dxa"/>
            <w:vAlign w:val="bottom"/>
            <w:gridSpan w:val="2"/>
          </w:tcPr>
          <w:p>
            <w:pPr>
              <w:ind w:left="660"/>
              <w:spacing w:after="0"/>
              <w:rPr>
                <w:sz w:val="20"/>
                <w:szCs w:val="20"/>
                <w:color w:val="auto"/>
              </w:rPr>
            </w:pPr>
            <w:r>
              <w:rPr>
                <w:rFonts w:ascii="Arial" w:cs="Arial" w:eastAsia="Arial" w:hAnsi="Arial"/>
                <w:sz w:val="20"/>
                <w:szCs w:val="20"/>
                <w:color w:val="auto"/>
                <w:w w:val="98"/>
              </w:rPr>
              <w:t>Section 7.01</w:t>
            </w:r>
          </w:p>
        </w:tc>
        <w:tc>
          <w:tcPr>
            <w:tcW w:w="1660" w:type="dxa"/>
            <w:vAlign w:val="bottom"/>
            <w:gridSpan w:val="16"/>
          </w:tcPr>
          <w:p>
            <w:pPr>
              <w:ind w:left="60"/>
              <w:spacing w:after="0"/>
              <w:rPr>
                <w:sz w:val="20"/>
                <w:szCs w:val="20"/>
                <w:color w:val="auto"/>
              </w:rPr>
            </w:pPr>
            <w:r>
              <w:rPr>
                <w:rFonts w:ascii="Arial" w:cs="Arial" w:eastAsia="Arial" w:hAnsi="Arial"/>
                <w:sz w:val="20"/>
                <w:szCs w:val="20"/>
                <w:color w:val="auto"/>
                <w:w w:val="95"/>
              </w:rPr>
              <w:t>Events of Default</w:t>
            </w:r>
          </w:p>
        </w:tc>
        <w:tc>
          <w:tcPr>
            <w:tcW w:w="200" w:type="dxa"/>
            <w:vAlign w:val="bottom"/>
            <w:gridSpan w:val="7"/>
          </w:tcPr>
          <w:p>
            <w:pPr>
              <w:jc w:val="right"/>
              <w:spacing w:after="0"/>
              <w:rPr>
                <w:sz w:val="20"/>
                <w:szCs w:val="20"/>
                <w:color w:val="auto"/>
              </w:rPr>
            </w:pPr>
            <w:r>
              <w:rPr>
                <w:rFonts w:ascii="Arial" w:cs="Arial" w:eastAsia="Arial" w:hAnsi="Arial"/>
                <w:sz w:val="20"/>
                <w:szCs w:val="20"/>
                <w:color w:val="FF0000"/>
                <w:strike w:val="1"/>
                <w:w w:val="80"/>
              </w:rPr>
              <w:t>55</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56</w:t>
            </w:r>
          </w:p>
        </w:tc>
        <w:tc>
          <w:tcPr>
            <w:tcW w:w="3620" w:type="dxa"/>
            <w:vAlign w:val="bottom"/>
            <w:gridSpan w:val="5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7.02</w:t>
            </w:r>
          </w:p>
        </w:tc>
        <w:tc>
          <w:tcPr>
            <w:tcW w:w="2060" w:type="dxa"/>
            <w:vAlign w:val="bottom"/>
            <w:gridSpan w:val="26"/>
          </w:tcPr>
          <w:p>
            <w:pPr>
              <w:ind w:left="60"/>
              <w:spacing w:after="0" w:line="183" w:lineRule="exact"/>
              <w:rPr>
                <w:sz w:val="20"/>
                <w:szCs w:val="20"/>
                <w:color w:val="auto"/>
              </w:rPr>
            </w:pPr>
            <w:r>
              <w:rPr>
                <w:rFonts w:ascii="Arial" w:cs="Arial" w:eastAsia="Arial" w:hAnsi="Arial"/>
                <w:sz w:val="20"/>
                <w:szCs w:val="20"/>
                <w:color w:val="auto"/>
                <w:w w:val="91"/>
              </w:rPr>
              <w:t>Distribution of Payments</w:t>
            </w:r>
          </w:p>
        </w:tc>
        <w:tc>
          <w:tcPr>
            <w:tcW w:w="40" w:type="dxa"/>
            <w:vAlign w:val="bottom"/>
            <w:gridSpan w:val="2"/>
          </w:tcPr>
          <w:p>
            <w:pPr>
              <w:spacing w:after="0"/>
              <w:rPr>
                <w:sz w:val="15"/>
                <w:szCs w:val="15"/>
                <w:color w:val="auto"/>
              </w:rPr>
            </w:pPr>
          </w:p>
        </w:tc>
        <w:tc>
          <w:tcPr>
            <w:tcW w:w="1120" w:type="dxa"/>
            <w:vAlign w:val="bottom"/>
            <w:gridSpan w:val="27"/>
          </w:tcPr>
          <w:p>
            <w:pPr>
              <w:spacing w:after="0" w:line="183" w:lineRule="exact"/>
              <w:rPr>
                <w:sz w:val="20"/>
                <w:szCs w:val="20"/>
                <w:color w:val="auto"/>
              </w:rPr>
            </w:pPr>
            <w:r>
              <w:rPr>
                <w:rFonts w:ascii="Arial" w:cs="Arial" w:eastAsia="Arial" w:hAnsi="Arial"/>
                <w:sz w:val="20"/>
                <w:szCs w:val="20"/>
                <w:color w:val="auto"/>
              </w:rPr>
              <w:t>after Default</w:t>
            </w:r>
          </w:p>
        </w:tc>
        <w:tc>
          <w:tcPr>
            <w:tcW w:w="80" w:type="dxa"/>
            <w:vAlign w:val="bottom"/>
            <w:gridSpan w:val="2"/>
          </w:tcPr>
          <w:p>
            <w:pPr>
              <w:spacing w:after="0"/>
              <w:rPr>
                <w:sz w:val="15"/>
                <w:szCs w:val="15"/>
                <w:color w:val="auto"/>
              </w:rPr>
            </w:pPr>
          </w:p>
        </w:tc>
        <w:tc>
          <w:tcPr>
            <w:tcW w:w="200" w:type="dxa"/>
            <w:vAlign w:val="bottom"/>
            <w:gridSpan w:val="3"/>
          </w:tcPr>
          <w:p>
            <w:pPr>
              <w:spacing w:after="0" w:line="183" w:lineRule="exact"/>
              <w:rPr>
                <w:sz w:val="20"/>
                <w:szCs w:val="20"/>
                <w:color w:val="auto"/>
              </w:rPr>
            </w:pPr>
            <w:r>
              <w:rPr>
                <w:rFonts w:ascii="Arial" w:cs="Arial" w:eastAsia="Arial" w:hAnsi="Arial"/>
                <w:sz w:val="20"/>
                <w:szCs w:val="20"/>
                <w:color w:val="FF0000"/>
                <w:strike w:val="1"/>
                <w:w w:val="80"/>
              </w:rPr>
              <w:t>57</w:t>
            </w:r>
          </w:p>
        </w:tc>
        <w:tc>
          <w:tcPr>
            <w:tcW w:w="300" w:type="dxa"/>
            <w:vAlign w:val="bottom"/>
            <w:gridSpan w:val="4"/>
          </w:tcPr>
          <w:p>
            <w:pPr>
              <w:spacing w:after="0" w:line="183" w:lineRule="exact"/>
              <w:rPr>
                <w:sz w:val="20"/>
                <w:szCs w:val="20"/>
                <w:color w:val="auto"/>
              </w:rPr>
            </w:pPr>
            <w:r>
              <w:rPr>
                <w:rFonts w:ascii="Arial" w:cs="Arial" w:eastAsia="Arial" w:hAnsi="Arial"/>
                <w:sz w:val="20"/>
                <w:szCs w:val="20"/>
                <w:color w:val="0000FF"/>
              </w:rPr>
              <w:t>58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20"/>
                <w:szCs w:val="20"/>
                <w:color w:val="auto"/>
                <w:w w:val="99"/>
              </w:rPr>
              <w:t>ARTICLE VIII</w:t>
            </w:r>
          </w:p>
        </w:tc>
        <w:tc>
          <w:tcPr>
            <w:tcW w:w="3160" w:type="dxa"/>
            <w:vAlign w:val="bottom"/>
            <w:gridSpan w:val="41"/>
          </w:tcPr>
          <w:p>
            <w:pPr>
              <w:jc w:val="center"/>
              <w:spacing w:after="0"/>
              <w:rPr>
                <w:sz w:val="20"/>
                <w:szCs w:val="20"/>
                <w:color w:val="auto"/>
              </w:rPr>
            </w:pPr>
            <w:r>
              <w:rPr>
                <w:rFonts w:ascii="Arial" w:cs="Arial" w:eastAsia="Arial" w:hAnsi="Arial"/>
                <w:sz w:val="20"/>
                <w:szCs w:val="20"/>
                <w:color w:val="auto"/>
                <w:w w:val="97"/>
              </w:rPr>
              <w:t>THE ADMINISTRATIVE AGENT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4"/>
          </w:tcPr>
          <w:p>
            <w:pPr>
              <w:spacing w:after="0"/>
              <w:rPr>
                <w:sz w:val="20"/>
                <w:szCs w:val="20"/>
                <w:color w:val="auto"/>
              </w:rPr>
            </w:pPr>
            <w:r>
              <w:rPr>
                <w:rFonts w:ascii="Arial" w:cs="Arial" w:eastAsia="Arial" w:hAnsi="Arial"/>
                <w:sz w:val="20"/>
                <w:szCs w:val="20"/>
                <w:color w:val="FF0000"/>
                <w:strike w:val="1"/>
                <w:w w:val="80"/>
              </w:rPr>
              <w:t>58</w:t>
            </w:r>
          </w:p>
        </w:tc>
        <w:tc>
          <w:tcPr>
            <w:tcW w:w="2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0"/>
              </w:rPr>
              <w:t>59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780" w:type="dxa"/>
            <w:vAlign w:val="bottom"/>
            <w:gridSpan w:val="2"/>
          </w:tcPr>
          <w:p>
            <w:pPr>
              <w:ind w:left="660"/>
              <w:spacing w:after="0"/>
              <w:rPr>
                <w:sz w:val="20"/>
                <w:szCs w:val="20"/>
                <w:color w:val="auto"/>
              </w:rPr>
            </w:pPr>
            <w:r>
              <w:rPr>
                <w:rFonts w:ascii="Arial" w:cs="Arial" w:eastAsia="Arial" w:hAnsi="Arial"/>
                <w:sz w:val="20"/>
                <w:szCs w:val="20"/>
                <w:color w:val="auto"/>
                <w:w w:val="98"/>
              </w:rPr>
              <w:t>Section 8.01</w:t>
            </w:r>
          </w:p>
        </w:tc>
        <w:tc>
          <w:tcPr>
            <w:tcW w:w="2140" w:type="dxa"/>
            <w:vAlign w:val="bottom"/>
            <w:gridSpan w:val="29"/>
          </w:tcPr>
          <w:p>
            <w:pPr>
              <w:ind w:left="60"/>
              <w:spacing w:after="0"/>
              <w:rPr>
                <w:sz w:val="20"/>
                <w:szCs w:val="20"/>
                <w:color w:val="auto"/>
              </w:rPr>
            </w:pPr>
            <w:r>
              <w:rPr>
                <w:rFonts w:ascii="Arial" w:cs="Arial" w:eastAsia="Arial" w:hAnsi="Arial"/>
                <w:sz w:val="20"/>
                <w:szCs w:val="20"/>
                <w:color w:val="auto"/>
                <w:w w:val="91"/>
              </w:rPr>
              <w:t>The Administrative Agent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58</w:t>
            </w:r>
          </w:p>
        </w:tc>
        <w:tc>
          <w:tcPr>
            <w:tcW w:w="2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80"/>
              </w:rPr>
              <w:t>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8.02</w:t>
            </w:r>
          </w:p>
        </w:tc>
        <w:tc>
          <w:tcPr>
            <w:tcW w:w="1760" w:type="dxa"/>
            <w:vAlign w:val="bottom"/>
            <w:gridSpan w:val="21"/>
          </w:tcPr>
          <w:p>
            <w:pPr>
              <w:ind w:left="60"/>
              <w:spacing w:after="0" w:line="183" w:lineRule="exact"/>
              <w:rPr>
                <w:sz w:val="20"/>
                <w:szCs w:val="20"/>
                <w:color w:val="auto"/>
              </w:rPr>
            </w:pPr>
            <w:r>
              <w:rPr>
                <w:rFonts w:ascii="Arial" w:cs="Arial" w:eastAsia="Arial" w:hAnsi="Arial"/>
                <w:sz w:val="20"/>
                <w:szCs w:val="20"/>
                <w:color w:val="auto"/>
                <w:w w:val="89"/>
              </w:rPr>
              <w:t>Erroneous Payments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5"/>
          </w:tcPr>
          <w:p>
            <w:pPr>
              <w:jc w:val="right"/>
              <w:spacing w:after="0" w:line="183" w:lineRule="exact"/>
              <w:rPr>
                <w:sz w:val="20"/>
                <w:szCs w:val="20"/>
                <w:color w:val="auto"/>
              </w:rPr>
            </w:pPr>
            <w:r>
              <w:rPr>
                <w:rFonts w:ascii="Arial" w:cs="Arial" w:eastAsia="Arial" w:hAnsi="Arial"/>
                <w:sz w:val="20"/>
                <w:szCs w:val="20"/>
                <w:color w:val="FF0000"/>
                <w:strike w:val="1"/>
                <w:w w:val="98"/>
              </w:rPr>
              <w:t>59</w:t>
            </w:r>
          </w:p>
        </w:tc>
        <w:tc>
          <w:tcPr>
            <w:tcW w:w="220" w:type="dxa"/>
            <w:vAlign w:val="bottom"/>
            <w:gridSpan w:val="3"/>
          </w:tcPr>
          <w:p>
            <w:pPr>
              <w:spacing w:after="0" w:line="183" w:lineRule="exact"/>
              <w:rPr>
                <w:sz w:val="20"/>
                <w:szCs w:val="20"/>
                <w:color w:val="auto"/>
              </w:rPr>
            </w:pPr>
            <w:r>
              <w:rPr>
                <w:rFonts w:ascii="Arial" w:cs="Arial" w:eastAsia="Arial" w:hAnsi="Arial"/>
                <w:sz w:val="20"/>
                <w:szCs w:val="20"/>
                <w:color w:val="0000FF"/>
                <w:w w:val="80"/>
              </w:rPr>
              <w:t>61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20"/>
                <w:szCs w:val="20"/>
                <w:color w:val="auto"/>
              </w:rPr>
              <w:t>ARTICLE IX</w:t>
            </w:r>
          </w:p>
        </w:tc>
        <w:tc>
          <w:tcPr>
            <w:tcW w:w="1260" w:type="dxa"/>
            <w:vAlign w:val="bottom"/>
            <w:gridSpan w:val="2"/>
          </w:tcPr>
          <w:p>
            <w:pPr>
              <w:ind w:left="60"/>
              <w:spacing w:after="0"/>
              <w:rPr>
                <w:sz w:val="20"/>
                <w:szCs w:val="20"/>
                <w:color w:val="auto"/>
              </w:rPr>
            </w:pPr>
            <w:r>
              <w:rPr>
                <w:rFonts w:ascii="Arial" w:cs="Arial" w:eastAsia="Arial" w:hAnsi="Arial"/>
                <w:sz w:val="20"/>
                <w:szCs w:val="20"/>
                <w:color w:val="auto"/>
              </w:rPr>
              <w:t>GUARANTY</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rPr>
              <w:t>61</w:t>
            </w:r>
          </w:p>
        </w:tc>
        <w:tc>
          <w:tcPr>
            <w:tcW w:w="1100" w:type="dxa"/>
            <w:vAlign w:val="bottom"/>
            <w:gridSpan w:val="25"/>
          </w:tcPr>
          <w:p>
            <w:pPr>
              <w:jc w:val="right"/>
              <w:ind w:right="807"/>
              <w:spacing w:after="0"/>
              <w:rPr>
                <w:sz w:val="20"/>
                <w:szCs w:val="20"/>
                <w:color w:val="auto"/>
              </w:rPr>
            </w:pPr>
            <w:r>
              <w:rPr>
                <w:rFonts w:ascii="Arial" w:cs="Arial" w:eastAsia="Arial" w:hAnsi="Arial"/>
                <w:sz w:val="20"/>
                <w:szCs w:val="20"/>
                <w:color w:val="0000FF"/>
                <w:w w:val="80"/>
              </w:rPr>
              <w:t>62</w:t>
            </w:r>
          </w:p>
        </w:tc>
        <w:tc>
          <w:tcPr>
            <w:tcW w:w="180" w:type="dxa"/>
            <w:vAlign w:val="bottom"/>
            <w:tcBorders>
              <w:top w:val="single" w:sz="8" w:color="0000FF"/>
            </w:tcBorders>
            <w:gridSpan w:val="2"/>
          </w:tcPr>
          <w:p>
            <w:pPr>
              <w:spacing w:after="0"/>
              <w:rPr>
                <w:sz w:val="24"/>
                <w:szCs w:val="24"/>
                <w:color w:val="auto"/>
              </w:rPr>
            </w:pPr>
          </w:p>
        </w:tc>
        <w:tc>
          <w:tcPr>
            <w:tcW w:w="3400" w:type="dxa"/>
            <w:vAlign w:val="bottom"/>
            <w:gridSpan w:val="4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right w:val="single" w:sz="8" w:color="0000FF"/>
            </w:tcBorders>
            <w:gridSpan w:val="8"/>
          </w:tcPr>
          <w:p>
            <w:pPr>
              <w:spacing w:after="0" w:line="20" w:lineRule="exact"/>
              <w:rPr>
                <w:sz w:val="1"/>
                <w:szCs w:val="1"/>
                <w:color w:val="auto"/>
              </w:rPr>
            </w:pPr>
          </w:p>
        </w:tc>
        <w:tc>
          <w:tcPr>
            <w:tcW w:w="4480" w:type="dxa"/>
            <w:vAlign w:val="bottom"/>
            <w:gridSpan w:val="7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780" w:type="dxa"/>
            <w:vAlign w:val="bottom"/>
            <w:gridSpan w:val="2"/>
          </w:tcPr>
          <w:p>
            <w:pPr>
              <w:ind w:left="660"/>
              <w:spacing w:after="0"/>
              <w:rPr>
                <w:sz w:val="20"/>
                <w:szCs w:val="20"/>
                <w:color w:val="auto"/>
              </w:rPr>
            </w:pPr>
            <w:r>
              <w:rPr>
                <w:rFonts w:ascii="Arial" w:cs="Arial" w:eastAsia="Arial" w:hAnsi="Arial"/>
                <w:sz w:val="20"/>
                <w:szCs w:val="20"/>
                <w:color w:val="auto"/>
                <w:w w:val="98"/>
              </w:rPr>
              <w:t>Section 9.01</w:t>
            </w:r>
          </w:p>
        </w:tc>
        <w:tc>
          <w:tcPr>
            <w:tcW w:w="2140" w:type="dxa"/>
            <w:vAlign w:val="bottom"/>
            <w:gridSpan w:val="29"/>
          </w:tcPr>
          <w:p>
            <w:pPr>
              <w:ind w:left="60"/>
              <w:spacing w:after="0"/>
              <w:rPr>
                <w:sz w:val="20"/>
                <w:szCs w:val="20"/>
                <w:color w:val="auto"/>
              </w:rPr>
            </w:pPr>
            <w:r>
              <w:rPr>
                <w:rFonts w:ascii="Arial" w:cs="Arial" w:eastAsia="Arial" w:hAnsi="Arial"/>
                <w:sz w:val="20"/>
                <w:szCs w:val="20"/>
                <w:color w:val="auto"/>
                <w:w w:val="89"/>
              </w:rPr>
              <w:t>Guaranty by the Borrower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61</w:t>
            </w:r>
          </w:p>
        </w:tc>
        <w:tc>
          <w:tcPr>
            <w:tcW w:w="20" w:type="dxa"/>
            <w:vAlign w:val="bottom"/>
          </w:tcPr>
          <w:p>
            <w:pPr>
              <w:spacing w:after="0"/>
              <w:rPr>
                <w:sz w:val="24"/>
                <w:szCs w:val="24"/>
                <w:color w:val="auto"/>
              </w:rPr>
            </w:pPr>
          </w:p>
        </w:tc>
        <w:tc>
          <w:tcPr>
            <w:tcW w:w="220" w:type="dxa"/>
            <w:vAlign w:val="bottom"/>
            <w:gridSpan w:val="7"/>
          </w:tcPr>
          <w:p>
            <w:pPr>
              <w:spacing w:after="0"/>
              <w:rPr>
                <w:sz w:val="20"/>
                <w:szCs w:val="20"/>
                <w:color w:val="auto"/>
              </w:rPr>
            </w:pPr>
            <w:r>
              <w:rPr>
                <w:rFonts w:ascii="Arial" w:cs="Arial" w:eastAsia="Arial" w:hAnsi="Arial"/>
                <w:sz w:val="20"/>
                <w:szCs w:val="20"/>
                <w:color w:val="0000FF"/>
                <w:w w:val="89"/>
              </w:rPr>
              <w:t>62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rPr>
              <w:t>Section 9.02</w:t>
            </w:r>
          </w:p>
        </w:tc>
        <w:tc>
          <w:tcPr>
            <w:tcW w:w="2100" w:type="dxa"/>
            <w:vAlign w:val="bottom"/>
            <w:gridSpan w:val="28"/>
          </w:tcPr>
          <w:p>
            <w:pPr>
              <w:ind w:left="60"/>
              <w:spacing w:after="0" w:line="169" w:lineRule="exact"/>
              <w:rPr>
                <w:sz w:val="20"/>
                <w:szCs w:val="20"/>
                <w:color w:val="auto"/>
              </w:rPr>
            </w:pPr>
            <w:r>
              <w:rPr>
                <w:rFonts w:ascii="Arial" w:cs="Arial" w:eastAsia="Arial" w:hAnsi="Arial"/>
                <w:sz w:val="19"/>
                <w:szCs w:val="19"/>
                <w:color w:val="auto"/>
              </w:rPr>
              <w:t>Guaranty Unconditional</w:t>
            </w:r>
          </w:p>
        </w:tc>
        <w:tc>
          <w:tcPr>
            <w:tcW w:w="40" w:type="dxa"/>
            <w:vAlign w:val="bottom"/>
          </w:tcPr>
          <w:p>
            <w:pPr>
              <w:spacing w:after="0"/>
              <w:rPr>
                <w:sz w:val="15"/>
                <w:szCs w:val="15"/>
                <w:color w:val="auto"/>
              </w:rPr>
            </w:pPr>
          </w:p>
        </w:tc>
        <w:tc>
          <w:tcPr>
            <w:tcW w:w="240" w:type="dxa"/>
            <w:vAlign w:val="bottom"/>
            <w:gridSpan w:val="5"/>
          </w:tcPr>
          <w:p>
            <w:pPr>
              <w:jc w:val="right"/>
              <w:spacing w:after="0" w:line="169" w:lineRule="exact"/>
              <w:rPr>
                <w:sz w:val="20"/>
                <w:szCs w:val="20"/>
                <w:color w:val="auto"/>
              </w:rPr>
            </w:pPr>
            <w:r>
              <w:rPr>
                <w:rFonts w:ascii="Arial" w:cs="Arial" w:eastAsia="Arial" w:hAnsi="Arial"/>
                <w:sz w:val="19"/>
                <w:szCs w:val="19"/>
                <w:color w:val="FF0000"/>
                <w:strike w:val="1"/>
              </w:rPr>
              <w:t>61</w:t>
            </w:r>
          </w:p>
        </w:tc>
        <w:tc>
          <w:tcPr>
            <w:tcW w:w="180" w:type="dxa"/>
            <w:vAlign w:val="bottom"/>
            <w:tcBorders>
              <w:bottom w:val="single" w:sz="8" w:color="0000FF"/>
            </w:tcBorders>
            <w:gridSpan w:val="4"/>
          </w:tcPr>
          <w:p>
            <w:pPr>
              <w:jc w:val="right"/>
              <w:spacing w:after="0" w:line="169" w:lineRule="exact"/>
              <w:rPr>
                <w:sz w:val="20"/>
                <w:szCs w:val="20"/>
                <w:color w:val="auto"/>
              </w:rPr>
            </w:pPr>
            <w:r>
              <w:rPr>
                <w:rFonts w:ascii="Arial" w:cs="Arial" w:eastAsia="Arial" w:hAnsi="Arial"/>
                <w:sz w:val="16"/>
                <w:szCs w:val="16"/>
                <w:color w:val="0000FF"/>
                <w:w w:val="78"/>
              </w:rPr>
              <w:t>62</w:t>
            </w: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8"/>
              </w:rPr>
              <w:t>Section 9.03</w:t>
            </w:r>
          </w:p>
        </w:tc>
        <w:tc>
          <w:tcPr>
            <w:tcW w:w="900" w:type="dxa"/>
            <w:vAlign w:val="bottom"/>
            <w:gridSpan w:val="2"/>
          </w:tcPr>
          <w:p>
            <w:pPr>
              <w:ind w:left="60"/>
              <w:spacing w:after="0" w:line="176" w:lineRule="exact"/>
              <w:rPr>
                <w:sz w:val="20"/>
                <w:szCs w:val="20"/>
                <w:color w:val="auto"/>
              </w:rPr>
            </w:pPr>
            <w:r>
              <w:rPr>
                <w:rFonts w:ascii="Arial" w:cs="Arial" w:eastAsia="Arial" w:hAnsi="Arial"/>
                <w:sz w:val="20"/>
                <w:szCs w:val="20"/>
                <w:color w:val="auto"/>
              </w:rPr>
              <w:t>Waivers</w:t>
            </w:r>
          </w:p>
        </w:tc>
        <w:tc>
          <w:tcPr>
            <w:tcW w:w="220" w:type="dxa"/>
            <w:vAlign w:val="bottom"/>
            <w:gridSpan w:val="3"/>
          </w:tcPr>
          <w:p>
            <w:pPr>
              <w:jc w:val="right"/>
              <w:ind w:right="20"/>
              <w:spacing w:after="0" w:line="176" w:lineRule="exact"/>
              <w:rPr>
                <w:sz w:val="20"/>
                <w:szCs w:val="20"/>
                <w:color w:val="auto"/>
              </w:rPr>
            </w:pPr>
            <w:r>
              <w:rPr>
                <w:rFonts w:ascii="Arial" w:cs="Arial" w:eastAsia="Arial" w:hAnsi="Arial"/>
                <w:sz w:val="20"/>
                <w:szCs w:val="20"/>
                <w:color w:val="FF0000"/>
                <w:strike w:val="1"/>
                <w:w w:val="80"/>
              </w:rPr>
              <w:t>62</w:t>
            </w:r>
          </w:p>
        </w:tc>
        <w:tc>
          <w:tcPr>
            <w:tcW w:w="180" w:type="dxa"/>
            <w:vAlign w:val="bottom"/>
            <w:tcBorders>
              <w:bottom w:val="single" w:sz="8" w:color="0000FF"/>
            </w:tcBorders>
            <w:gridSpan w:val="4"/>
          </w:tcPr>
          <w:p>
            <w:pPr>
              <w:spacing w:after="0" w:line="176" w:lineRule="exact"/>
              <w:rPr>
                <w:sz w:val="20"/>
                <w:szCs w:val="20"/>
                <w:color w:val="auto"/>
              </w:rPr>
            </w:pPr>
            <w:r>
              <w:rPr>
                <w:rFonts w:ascii="Arial" w:cs="Arial" w:eastAsia="Arial" w:hAnsi="Arial"/>
                <w:sz w:val="20"/>
                <w:szCs w:val="20"/>
                <w:color w:val="0000FF"/>
                <w:w w:val="71"/>
              </w:rPr>
              <w:t>63</w:t>
            </w:r>
          </w:p>
        </w:tc>
        <w:tc>
          <w:tcPr>
            <w:tcW w:w="4380" w:type="dxa"/>
            <w:vAlign w:val="bottom"/>
            <w:gridSpan w:val="6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9.04</w:t>
            </w:r>
          </w:p>
        </w:tc>
        <w:tc>
          <w:tcPr>
            <w:tcW w:w="1120" w:type="dxa"/>
            <w:vAlign w:val="bottom"/>
            <w:gridSpan w:val="5"/>
          </w:tcPr>
          <w:p>
            <w:pPr>
              <w:ind w:left="60"/>
              <w:spacing w:after="0" w:line="183" w:lineRule="exact"/>
              <w:rPr>
                <w:sz w:val="20"/>
                <w:szCs w:val="20"/>
                <w:color w:val="auto"/>
              </w:rPr>
            </w:pPr>
            <w:r>
              <w:rPr>
                <w:rFonts w:ascii="Arial" w:cs="Arial" w:eastAsia="Arial" w:hAnsi="Arial"/>
                <w:sz w:val="20"/>
                <w:szCs w:val="20"/>
                <w:color w:val="auto"/>
              </w:rPr>
              <w:t>Borrower</w:t>
            </w:r>
          </w:p>
        </w:tc>
        <w:tc>
          <w:tcPr>
            <w:tcW w:w="3480" w:type="dxa"/>
            <w:vAlign w:val="bottom"/>
            <w:gridSpan w:val="64"/>
          </w:tcPr>
          <w:p>
            <w:pPr>
              <w:spacing w:after="0" w:line="183" w:lineRule="exact"/>
              <w:rPr>
                <w:sz w:val="20"/>
                <w:szCs w:val="20"/>
                <w:color w:val="auto"/>
              </w:rPr>
            </w:pPr>
            <w:r>
              <w:rPr>
                <w:rFonts w:ascii="Arial" w:cs="Arial" w:eastAsia="Arial" w:hAnsi="Arial"/>
                <w:sz w:val="20"/>
                <w:szCs w:val="20"/>
                <w:color w:val="auto"/>
                <w:w w:val="89"/>
              </w:rPr>
              <w:t>Obligations to Remain in Effect; Restoration</w:t>
            </w:r>
          </w:p>
        </w:tc>
        <w:tc>
          <w:tcPr>
            <w:tcW w:w="200" w:type="dxa"/>
            <w:vAlign w:val="bottom"/>
          </w:tcPr>
          <w:p>
            <w:pPr>
              <w:jc w:val="right"/>
              <w:spacing w:after="0" w:line="183" w:lineRule="exact"/>
              <w:rPr>
                <w:sz w:val="20"/>
                <w:szCs w:val="20"/>
                <w:color w:val="auto"/>
              </w:rPr>
            </w:pPr>
            <w:r>
              <w:rPr>
                <w:rFonts w:ascii="Arial" w:cs="Arial" w:eastAsia="Arial" w:hAnsi="Arial"/>
                <w:sz w:val="20"/>
                <w:szCs w:val="20"/>
                <w:color w:val="FF0000"/>
                <w:strike w:val="1"/>
                <w:w w:val="80"/>
              </w:rPr>
              <w:t>62</w:t>
            </w:r>
          </w:p>
        </w:tc>
        <w:tc>
          <w:tcPr>
            <w:tcW w:w="300" w:type="dxa"/>
            <w:vAlign w:val="bottom"/>
            <w:gridSpan w:val="2"/>
          </w:tcPr>
          <w:p>
            <w:pPr>
              <w:jc w:val="right"/>
              <w:ind w:right="100"/>
              <w:spacing w:after="0" w:line="183" w:lineRule="exact"/>
              <w:rPr>
                <w:sz w:val="20"/>
                <w:szCs w:val="20"/>
                <w:color w:val="auto"/>
              </w:rPr>
            </w:pPr>
            <w:r>
              <w:rPr>
                <w:rFonts w:ascii="Arial" w:cs="Arial" w:eastAsia="Arial" w:hAnsi="Arial"/>
                <w:sz w:val="20"/>
                <w:szCs w:val="20"/>
                <w:color w:val="0000FF"/>
                <w:w w:val="80"/>
              </w:rPr>
              <w:t>63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gridSpan w:val="36"/>
          </w:tcPr>
          <w:p>
            <w:pPr>
              <w:ind w:left="660"/>
              <w:spacing w:after="0" w:line="169" w:lineRule="exact"/>
              <w:rPr>
                <w:sz w:val="20"/>
                <w:szCs w:val="20"/>
                <w:color w:val="auto"/>
              </w:rPr>
            </w:pPr>
            <w:r>
              <w:rPr>
                <w:rFonts w:ascii="Arial" w:cs="Arial" w:eastAsia="Arial" w:hAnsi="Arial"/>
                <w:sz w:val="19"/>
                <w:szCs w:val="19"/>
                <w:color w:val="auto"/>
              </w:rPr>
              <w:t>Section 9.05  Waiver of Acceptance, etc.</w:t>
            </w:r>
          </w:p>
        </w:tc>
        <w:tc>
          <w:tcPr>
            <w:tcW w:w="240" w:type="dxa"/>
            <w:vAlign w:val="bottom"/>
            <w:gridSpan w:val="7"/>
          </w:tcPr>
          <w:p>
            <w:pPr>
              <w:jc w:val="right"/>
              <w:spacing w:after="0" w:line="169" w:lineRule="exact"/>
              <w:rPr>
                <w:sz w:val="20"/>
                <w:szCs w:val="20"/>
                <w:color w:val="auto"/>
              </w:rPr>
            </w:pPr>
            <w:r>
              <w:rPr>
                <w:rFonts w:ascii="Arial" w:cs="Arial" w:eastAsia="Arial" w:hAnsi="Arial"/>
                <w:sz w:val="19"/>
                <w:szCs w:val="19"/>
                <w:color w:val="FF0000"/>
                <w:strike w:val="1"/>
                <w:w w:val="84"/>
              </w:rPr>
              <w:t>62</w:t>
            </w:r>
          </w:p>
        </w:tc>
        <w:tc>
          <w:tcPr>
            <w:tcW w:w="180" w:type="dxa"/>
            <w:vAlign w:val="bottom"/>
            <w:tcBorders>
              <w:bottom w:val="single" w:sz="8" w:color="0000FF"/>
            </w:tcBorders>
            <w:gridSpan w:val="5"/>
          </w:tcPr>
          <w:p>
            <w:pPr>
              <w:jc w:val="center"/>
              <w:spacing w:after="0" w:line="169" w:lineRule="exact"/>
              <w:rPr>
                <w:sz w:val="20"/>
                <w:szCs w:val="20"/>
                <w:color w:val="auto"/>
              </w:rPr>
            </w:pPr>
            <w:r>
              <w:rPr>
                <w:rFonts w:ascii="Arial" w:cs="Arial" w:eastAsia="Arial" w:hAnsi="Arial"/>
                <w:sz w:val="19"/>
                <w:szCs w:val="19"/>
                <w:color w:val="0000FF"/>
                <w:w w:val="75"/>
              </w:rPr>
              <w:t>63</w:t>
            </w:r>
          </w:p>
        </w:tc>
        <w:tc>
          <w:tcPr>
            <w:tcW w:w="200" w:type="dxa"/>
            <w:vAlign w:val="bottom"/>
            <w:gridSpan w:val="4"/>
          </w:tcPr>
          <w:p>
            <w:pPr>
              <w:spacing w:after="0"/>
              <w:rPr>
                <w:sz w:val="15"/>
                <w:szCs w:val="15"/>
                <w:color w:val="auto"/>
              </w:rPr>
            </w:pPr>
          </w:p>
        </w:tc>
        <w:tc>
          <w:tcPr>
            <w:tcW w:w="2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98"/>
              </w:rPr>
              <w:t>Section 9.06</w:t>
            </w:r>
          </w:p>
        </w:tc>
        <w:tc>
          <w:tcPr>
            <w:tcW w:w="1240" w:type="dxa"/>
            <w:vAlign w:val="bottom"/>
            <w:gridSpan w:val="8"/>
          </w:tcPr>
          <w:p>
            <w:pPr>
              <w:ind w:left="60"/>
              <w:spacing w:after="0" w:line="176" w:lineRule="exact"/>
              <w:rPr>
                <w:sz w:val="20"/>
                <w:szCs w:val="20"/>
                <w:color w:val="auto"/>
              </w:rPr>
            </w:pPr>
            <w:r>
              <w:rPr>
                <w:rFonts w:ascii="Arial" w:cs="Arial" w:eastAsia="Arial" w:hAnsi="Arial"/>
                <w:sz w:val="20"/>
                <w:szCs w:val="20"/>
                <w:color w:val="auto"/>
                <w:w w:val="96"/>
              </w:rPr>
              <w:t>Subrogation</w:t>
            </w:r>
          </w:p>
        </w:tc>
        <w:tc>
          <w:tcPr>
            <w:tcW w:w="280" w:type="dxa"/>
            <w:vAlign w:val="bottom"/>
            <w:gridSpan w:val="5"/>
          </w:tcPr>
          <w:p>
            <w:pPr>
              <w:jc w:val="right"/>
              <w:ind w:right="100"/>
              <w:spacing w:after="0" w:line="176" w:lineRule="exact"/>
              <w:rPr>
                <w:sz w:val="20"/>
                <w:szCs w:val="20"/>
                <w:color w:val="auto"/>
              </w:rPr>
            </w:pPr>
            <w:r>
              <w:rPr>
                <w:rFonts w:ascii="Arial" w:cs="Arial" w:eastAsia="Arial" w:hAnsi="Arial"/>
                <w:sz w:val="20"/>
                <w:szCs w:val="20"/>
                <w:color w:val="FF0000"/>
                <w:strike w:val="1"/>
                <w:w w:val="71"/>
              </w:rPr>
              <w:t>62</w:t>
            </w:r>
          </w:p>
        </w:tc>
        <w:tc>
          <w:tcPr>
            <w:tcW w:w="4160" w:type="dxa"/>
            <w:vAlign w:val="bottom"/>
            <w:gridSpan w:val="63"/>
          </w:tcPr>
          <w:p>
            <w:pPr>
              <w:spacing w:after="0"/>
              <w:rPr>
                <w:sz w:val="20"/>
                <w:szCs w:val="20"/>
                <w:color w:val="auto"/>
              </w:rPr>
            </w:pPr>
            <w:r>
              <w:rPr>
                <w:rFonts w:ascii="Arial" w:cs="Arial" w:eastAsia="Arial" w:hAnsi="Arial"/>
                <w:sz w:val="15"/>
                <w:szCs w:val="15"/>
                <w:color w:val="0000FF"/>
                <w:w w:val="71"/>
              </w:rPr>
              <w:t>64</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ind w:left="660"/>
              <w:spacing w:after="0" w:line="203" w:lineRule="exact"/>
              <w:rPr>
                <w:sz w:val="20"/>
                <w:szCs w:val="20"/>
                <w:color w:val="auto"/>
              </w:rPr>
            </w:pPr>
            <w:r>
              <w:rPr>
                <w:rFonts w:ascii="Arial" w:cs="Arial" w:eastAsia="Arial" w:hAnsi="Arial"/>
                <w:sz w:val="20"/>
                <w:szCs w:val="20"/>
                <w:color w:val="auto"/>
                <w:w w:val="98"/>
              </w:rPr>
              <w:t>Section 9.07</w:t>
            </w:r>
          </w:p>
        </w:tc>
        <w:tc>
          <w:tcPr>
            <w:tcW w:w="1520" w:type="dxa"/>
            <w:vAlign w:val="bottom"/>
            <w:tcBorders>
              <w:right w:val="single" w:sz="8" w:color="0000FF"/>
            </w:tcBorders>
            <w:gridSpan w:val="13"/>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6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80" w:type="dxa"/>
            <w:vAlign w:val="bottom"/>
            <w:gridSpan w:val="2"/>
            <w:vMerge w:val="continue"/>
          </w:tcPr>
          <w:p>
            <w:pPr>
              <w:spacing w:after="0"/>
              <w:rPr>
                <w:sz w:val="15"/>
                <w:szCs w:val="15"/>
                <w:color w:val="auto"/>
              </w:rPr>
            </w:pPr>
          </w:p>
        </w:tc>
        <w:tc>
          <w:tcPr>
            <w:tcW w:w="1360" w:type="dxa"/>
            <w:vAlign w:val="bottom"/>
            <w:gridSpan w:val="11"/>
          </w:tcPr>
          <w:p>
            <w:pPr>
              <w:ind w:left="60"/>
              <w:spacing w:after="0" w:line="183" w:lineRule="exact"/>
              <w:rPr>
                <w:sz w:val="20"/>
                <w:szCs w:val="20"/>
                <w:color w:val="auto"/>
              </w:rPr>
            </w:pPr>
            <w:r>
              <w:rPr>
                <w:rFonts w:ascii="Arial" w:cs="Arial" w:eastAsia="Arial" w:hAnsi="Arial"/>
                <w:sz w:val="20"/>
                <w:szCs w:val="20"/>
                <w:color w:val="auto"/>
              </w:rPr>
              <w:t>Effect of Stay</w:t>
            </w:r>
          </w:p>
        </w:tc>
        <w:tc>
          <w:tcPr>
            <w:tcW w:w="260" w:type="dxa"/>
            <w:vAlign w:val="bottom"/>
            <w:gridSpan w:val="4"/>
          </w:tcPr>
          <w:p>
            <w:pPr>
              <w:jc w:val="right"/>
              <w:spacing w:after="0" w:line="183" w:lineRule="exact"/>
              <w:rPr>
                <w:sz w:val="20"/>
                <w:szCs w:val="20"/>
                <w:color w:val="auto"/>
              </w:rPr>
            </w:pPr>
            <w:r>
              <w:rPr>
                <w:rFonts w:ascii="Arial" w:cs="Arial" w:eastAsia="Arial" w:hAnsi="Arial"/>
                <w:sz w:val="20"/>
                <w:szCs w:val="20"/>
                <w:color w:val="FF0000"/>
                <w:strike w:val="1"/>
                <w:w w:val="80"/>
              </w:rPr>
              <w:t>63</w:t>
            </w:r>
          </w:p>
        </w:tc>
        <w:tc>
          <w:tcPr>
            <w:tcW w:w="320" w:type="dxa"/>
            <w:vAlign w:val="bottom"/>
            <w:gridSpan w:val="9"/>
          </w:tcPr>
          <w:p>
            <w:pPr>
              <w:jc w:val="right"/>
              <w:ind w:right="82"/>
              <w:spacing w:after="0"/>
              <w:rPr>
                <w:sz w:val="20"/>
                <w:szCs w:val="20"/>
                <w:color w:val="auto"/>
              </w:rPr>
            </w:pPr>
            <w:r>
              <w:rPr>
                <w:rFonts w:ascii="Arial" w:cs="Arial" w:eastAsia="Arial" w:hAnsi="Arial"/>
                <w:sz w:val="15"/>
                <w:szCs w:val="15"/>
                <w:color w:val="0000FF"/>
                <w:w w:val="71"/>
              </w:rPr>
              <w:t>64</w:t>
            </w:r>
          </w:p>
        </w:tc>
        <w:tc>
          <w:tcPr>
            <w:tcW w:w="16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98"/>
              </w:rPr>
              <w:t>Section 9.08</w:t>
            </w:r>
          </w:p>
        </w:tc>
        <w:tc>
          <w:tcPr>
            <w:tcW w:w="1000" w:type="dxa"/>
            <w:vAlign w:val="bottom"/>
            <w:gridSpan w:val="3"/>
          </w:tcPr>
          <w:p>
            <w:pPr>
              <w:ind w:left="60"/>
              <w:spacing w:after="0" w:line="183" w:lineRule="exact"/>
              <w:rPr>
                <w:sz w:val="20"/>
                <w:szCs w:val="20"/>
                <w:color w:val="auto"/>
              </w:rPr>
            </w:pPr>
            <w:r>
              <w:rPr>
                <w:rFonts w:ascii="Arial" w:cs="Arial" w:eastAsia="Arial" w:hAnsi="Arial"/>
                <w:sz w:val="20"/>
                <w:szCs w:val="20"/>
                <w:color w:val="auto"/>
              </w:rPr>
              <w:t>Keepwell</w:t>
            </w:r>
          </w:p>
        </w:tc>
        <w:tc>
          <w:tcPr>
            <w:tcW w:w="220" w:type="dxa"/>
            <w:vAlign w:val="bottom"/>
            <w:gridSpan w:val="4"/>
          </w:tcPr>
          <w:p>
            <w:pPr>
              <w:jc w:val="right"/>
              <w:spacing w:after="0" w:line="183" w:lineRule="exact"/>
              <w:rPr>
                <w:sz w:val="20"/>
                <w:szCs w:val="20"/>
                <w:color w:val="auto"/>
              </w:rPr>
            </w:pPr>
            <w:r>
              <w:rPr>
                <w:rFonts w:ascii="Arial" w:cs="Arial" w:eastAsia="Arial" w:hAnsi="Arial"/>
                <w:sz w:val="20"/>
                <w:szCs w:val="20"/>
                <w:color w:val="FF0000"/>
                <w:strike w:val="1"/>
                <w:w w:val="89"/>
              </w:rPr>
              <w:t>63</w:t>
            </w:r>
          </w:p>
        </w:tc>
        <w:tc>
          <w:tcPr>
            <w:tcW w:w="200" w:type="dxa"/>
            <w:vAlign w:val="bottom"/>
            <w:tcBorders>
              <w:bottom w:val="single" w:sz="8" w:color="0000FF"/>
            </w:tcBorders>
            <w:gridSpan w:val="5"/>
          </w:tcPr>
          <w:p>
            <w:pPr>
              <w:jc w:val="right"/>
              <w:spacing w:after="0" w:line="183" w:lineRule="exact"/>
              <w:rPr>
                <w:sz w:val="20"/>
                <w:szCs w:val="20"/>
                <w:color w:val="auto"/>
              </w:rPr>
            </w:pPr>
            <w:r>
              <w:rPr>
                <w:rFonts w:ascii="Arial" w:cs="Arial" w:eastAsia="Arial" w:hAnsi="Arial"/>
                <w:sz w:val="20"/>
                <w:szCs w:val="20"/>
                <w:color w:val="0000FF"/>
                <w:w w:val="80"/>
              </w:rPr>
              <w:t>64</w:t>
            </w:r>
          </w:p>
        </w:tc>
        <w:tc>
          <w:tcPr>
            <w:tcW w:w="200" w:type="dxa"/>
            <w:vAlign w:val="bottom"/>
            <w:gridSpan w:val="3"/>
          </w:tcPr>
          <w:p>
            <w:pPr>
              <w:spacing w:after="0"/>
              <w:rPr>
                <w:sz w:val="15"/>
                <w:szCs w:val="15"/>
                <w:color w:val="auto"/>
              </w:rPr>
            </w:pPr>
          </w:p>
        </w:tc>
        <w:tc>
          <w:tcPr>
            <w:tcW w:w="160" w:type="dxa"/>
            <w:vAlign w:val="bottom"/>
            <w:tcBorders>
              <w:top w:val="single" w:sz="8" w:color="0000FF"/>
            </w:tcBorders>
            <w:gridSpan w:val="7"/>
          </w:tcPr>
          <w:p>
            <w:pPr>
              <w:spacing w:after="0"/>
              <w:rPr>
                <w:sz w:val="15"/>
                <w:szCs w:val="15"/>
                <w:color w:val="auto"/>
              </w:rPr>
            </w:pPr>
          </w:p>
        </w:tc>
        <w:tc>
          <w:tcPr>
            <w:tcW w:w="3900" w:type="dxa"/>
            <w:vAlign w:val="bottom"/>
            <w:gridSpan w:val="54"/>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20"/>
                <w:szCs w:val="20"/>
                <w:color w:val="auto"/>
              </w:rPr>
              <w:t>ARTICLE X</w:t>
            </w:r>
          </w:p>
        </w:tc>
        <w:tc>
          <w:tcPr>
            <w:tcW w:w="1800" w:type="dxa"/>
            <w:vAlign w:val="bottom"/>
            <w:gridSpan w:val="9"/>
          </w:tcPr>
          <w:p>
            <w:pPr>
              <w:jc w:val="right"/>
              <w:ind w:right="41"/>
              <w:spacing w:after="0"/>
              <w:rPr>
                <w:sz w:val="20"/>
                <w:szCs w:val="20"/>
                <w:color w:val="auto"/>
              </w:rPr>
            </w:pPr>
            <w:r>
              <w:rPr>
                <w:rFonts w:ascii="Arial" w:cs="Arial" w:eastAsia="Arial" w:hAnsi="Arial"/>
                <w:sz w:val="20"/>
                <w:szCs w:val="20"/>
                <w:color w:val="auto"/>
                <w:w w:val="96"/>
              </w:rPr>
              <w:t>MISCELLANEOUS</w:t>
            </w:r>
          </w:p>
        </w:tc>
        <w:tc>
          <w:tcPr>
            <w:tcW w:w="280" w:type="dxa"/>
            <w:vAlign w:val="bottom"/>
            <w:gridSpan w:val="5"/>
          </w:tcPr>
          <w:p>
            <w:pPr>
              <w:jc w:val="right"/>
              <w:ind w:right="40"/>
              <w:spacing w:after="0"/>
              <w:rPr>
                <w:sz w:val="20"/>
                <w:szCs w:val="20"/>
                <w:color w:val="auto"/>
              </w:rPr>
            </w:pPr>
            <w:r>
              <w:rPr>
                <w:rFonts w:ascii="Arial" w:cs="Arial" w:eastAsia="Arial" w:hAnsi="Arial"/>
                <w:sz w:val="20"/>
                <w:szCs w:val="20"/>
                <w:color w:val="FF0000"/>
                <w:strike w:val="1"/>
                <w:w w:val="98"/>
              </w:rPr>
              <w:t>63</w:t>
            </w:r>
          </w:p>
        </w:tc>
        <w:tc>
          <w:tcPr>
            <w:tcW w:w="4160" w:type="dxa"/>
            <w:vAlign w:val="bottom"/>
            <w:gridSpan w:val="63"/>
          </w:tcPr>
          <w:p>
            <w:pPr>
              <w:jc w:val="right"/>
              <w:ind w:right="4000"/>
              <w:spacing w:after="0"/>
              <w:rPr>
                <w:sz w:val="20"/>
                <w:szCs w:val="20"/>
                <w:color w:val="auto"/>
              </w:rPr>
            </w:pPr>
            <w:r>
              <w:rPr>
                <w:rFonts w:ascii="Arial" w:cs="Arial" w:eastAsia="Arial" w:hAnsi="Arial"/>
                <w:sz w:val="16"/>
                <w:szCs w:val="16"/>
                <w:color w:val="0000FF"/>
                <w:w w:val="78"/>
              </w:rPr>
              <w:t>64</w:t>
            </w:r>
          </w:p>
        </w:tc>
        <w:tc>
          <w:tcPr>
            <w:tcW w:w="0" w:type="dxa"/>
            <w:vAlign w:val="bottom"/>
          </w:tcPr>
          <w:p>
            <w:pPr>
              <w:spacing w:after="0"/>
              <w:rPr>
                <w:sz w:val="1"/>
                <w:szCs w:val="1"/>
                <w:color w:val="auto"/>
              </w:rPr>
            </w:pPr>
          </w:p>
        </w:tc>
      </w:tr>
      <w:tr>
        <w:trPr>
          <w:trHeight w:val="291"/>
        </w:trPr>
        <w:tc>
          <w:tcPr>
            <w:tcW w:w="1780" w:type="dxa"/>
            <w:vAlign w:val="bottom"/>
            <w:gridSpan w:val="2"/>
          </w:tcPr>
          <w:p>
            <w:pPr>
              <w:ind w:left="660"/>
              <w:spacing w:after="0"/>
              <w:rPr>
                <w:sz w:val="20"/>
                <w:szCs w:val="20"/>
                <w:color w:val="auto"/>
              </w:rPr>
            </w:pPr>
            <w:r>
              <w:rPr>
                <w:rFonts w:ascii="Arial" w:cs="Arial" w:eastAsia="Arial" w:hAnsi="Arial"/>
                <w:sz w:val="20"/>
                <w:szCs w:val="20"/>
                <w:color w:val="auto"/>
                <w:w w:val="89"/>
              </w:rPr>
              <w:t>Section 10.01</w:t>
            </w:r>
          </w:p>
        </w:tc>
        <w:tc>
          <w:tcPr>
            <w:tcW w:w="900" w:type="dxa"/>
            <w:vAlign w:val="bottom"/>
            <w:gridSpan w:val="2"/>
          </w:tcPr>
          <w:p>
            <w:pPr>
              <w:ind w:left="160"/>
              <w:spacing w:after="0"/>
              <w:rPr>
                <w:sz w:val="20"/>
                <w:szCs w:val="20"/>
                <w:color w:val="auto"/>
              </w:rPr>
            </w:pPr>
            <w:r>
              <w:rPr>
                <w:rFonts w:ascii="Arial" w:cs="Arial" w:eastAsia="Arial" w:hAnsi="Arial"/>
                <w:sz w:val="20"/>
                <w:szCs w:val="20"/>
                <w:color w:val="auto"/>
              </w:rPr>
              <w:t>Notices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rPr>
              <w:t>63</w:t>
            </w:r>
          </w:p>
        </w:tc>
        <w:tc>
          <w:tcPr>
            <w:tcW w:w="1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78"/>
              </w:rPr>
              <w:t>64</w:t>
            </w:r>
          </w:p>
        </w:tc>
        <w:tc>
          <w:tcPr>
            <w:tcW w:w="160" w:type="dxa"/>
            <w:vAlign w:val="bottom"/>
            <w:gridSpan w:val="2"/>
          </w:tcPr>
          <w:p>
            <w:pPr>
              <w:spacing w:after="0"/>
              <w:rPr>
                <w:sz w:val="24"/>
                <w:szCs w:val="24"/>
                <w:color w:val="auto"/>
              </w:rPr>
            </w:pPr>
          </w:p>
        </w:tc>
        <w:tc>
          <w:tcPr>
            <w:tcW w:w="160" w:type="dxa"/>
            <w:vAlign w:val="bottom"/>
            <w:tcBorders>
              <w:top w:val="single" w:sz="8" w:color="0000FF"/>
            </w:tcBorders>
            <w:gridSpan w:val="4"/>
          </w:tcPr>
          <w:p>
            <w:pPr>
              <w:spacing w:after="0"/>
              <w:rPr>
                <w:sz w:val="24"/>
                <w:szCs w:val="24"/>
                <w:color w:val="auto"/>
              </w:rPr>
            </w:pPr>
          </w:p>
        </w:tc>
        <w:tc>
          <w:tcPr>
            <w:tcW w:w="4000" w:type="dxa"/>
            <w:vAlign w:val="bottom"/>
            <w:gridSpan w:val="59"/>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w w:val="94"/>
              </w:rPr>
              <w:t>Section 10.02</w:t>
            </w:r>
          </w:p>
        </w:tc>
        <w:tc>
          <w:tcPr>
            <w:tcW w:w="1200" w:type="dxa"/>
            <w:vAlign w:val="bottom"/>
            <w:gridSpan w:val="6"/>
          </w:tcPr>
          <w:p>
            <w:pPr>
              <w:ind w:left="160"/>
              <w:spacing w:after="0" w:line="169" w:lineRule="exact"/>
              <w:rPr>
                <w:sz w:val="20"/>
                <w:szCs w:val="20"/>
                <w:color w:val="auto"/>
              </w:rPr>
            </w:pPr>
            <w:r>
              <w:rPr>
                <w:rFonts w:ascii="Arial" w:cs="Arial" w:eastAsia="Arial" w:hAnsi="Arial"/>
                <w:sz w:val="19"/>
                <w:szCs w:val="19"/>
                <w:color w:val="auto"/>
              </w:rPr>
              <w:t>Waivers;</w:t>
            </w:r>
          </w:p>
        </w:tc>
        <w:tc>
          <w:tcPr>
            <w:tcW w:w="900" w:type="dxa"/>
            <w:vAlign w:val="bottom"/>
            <w:gridSpan w:val="22"/>
          </w:tcPr>
          <w:p>
            <w:pPr>
              <w:spacing w:after="0" w:line="169" w:lineRule="exact"/>
              <w:rPr>
                <w:sz w:val="20"/>
                <w:szCs w:val="20"/>
                <w:color w:val="auto"/>
              </w:rPr>
            </w:pPr>
            <w:r>
              <w:rPr>
                <w:rFonts w:ascii="Arial" w:cs="Arial" w:eastAsia="Arial" w:hAnsi="Arial"/>
                <w:sz w:val="19"/>
                <w:szCs w:val="19"/>
                <w:color w:val="auto"/>
                <w:w w:val="78"/>
              </w:rPr>
              <w:t>Amendments</w:t>
            </w:r>
          </w:p>
        </w:tc>
        <w:tc>
          <w:tcPr>
            <w:tcW w:w="40" w:type="dxa"/>
            <w:vAlign w:val="bottom"/>
          </w:tcPr>
          <w:p>
            <w:pPr>
              <w:spacing w:after="0"/>
              <w:rPr>
                <w:sz w:val="15"/>
                <w:szCs w:val="15"/>
                <w:color w:val="auto"/>
              </w:rPr>
            </w:pPr>
          </w:p>
        </w:tc>
        <w:tc>
          <w:tcPr>
            <w:tcW w:w="220" w:type="dxa"/>
            <w:vAlign w:val="bottom"/>
            <w:gridSpan w:val="4"/>
          </w:tcPr>
          <w:p>
            <w:pPr>
              <w:jc w:val="right"/>
              <w:spacing w:after="0" w:line="169" w:lineRule="exact"/>
              <w:rPr>
                <w:sz w:val="20"/>
                <w:szCs w:val="20"/>
                <w:color w:val="auto"/>
              </w:rPr>
            </w:pPr>
            <w:r>
              <w:rPr>
                <w:rFonts w:ascii="Arial" w:cs="Arial" w:eastAsia="Arial" w:hAnsi="Arial"/>
                <w:sz w:val="19"/>
                <w:szCs w:val="19"/>
                <w:color w:val="FF0000"/>
                <w:strike w:val="1"/>
                <w:w w:val="94"/>
              </w:rPr>
              <w:t>64</w:t>
            </w:r>
          </w:p>
        </w:tc>
        <w:tc>
          <w:tcPr>
            <w:tcW w:w="220" w:type="dxa"/>
            <w:vAlign w:val="bottom"/>
            <w:tcBorders>
              <w:bottom w:val="single" w:sz="8" w:color="0000FF"/>
            </w:tcBorders>
            <w:gridSpan w:val="6"/>
          </w:tcPr>
          <w:p>
            <w:pPr>
              <w:jc w:val="right"/>
              <w:spacing w:after="0" w:line="169" w:lineRule="exact"/>
              <w:rPr>
                <w:sz w:val="20"/>
                <w:szCs w:val="20"/>
                <w:color w:val="auto"/>
              </w:rPr>
            </w:pPr>
            <w:r>
              <w:rPr>
                <w:rFonts w:ascii="Arial" w:cs="Arial" w:eastAsia="Arial" w:hAnsi="Arial"/>
                <w:sz w:val="19"/>
                <w:szCs w:val="19"/>
                <w:color w:val="0000FF"/>
                <w:w w:val="84"/>
              </w:rPr>
              <w:t>66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89"/>
              </w:rPr>
              <w:t>Section 10.03</w:t>
            </w:r>
          </w:p>
        </w:tc>
        <w:tc>
          <w:tcPr>
            <w:tcW w:w="2580" w:type="dxa"/>
            <w:vAlign w:val="bottom"/>
            <w:gridSpan w:val="39"/>
          </w:tcPr>
          <w:p>
            <w:pPr>
              <w:ind w:left="160"/>
              <w:spacing w:after="0" w:line="176" w:lineRule="exact"/>
              <w:rPr>
                <w:sz w:val="20"/>
                <w:szCs w:val="20"/>
                <w:color w:val="auto"/>
              </w:rPr>
            </w:pPr>
            <w:r>
              <w:rPr>
                <w:rFonts w:ascii="Arial" w:cs="Arial" w:eastAsia="Arial" w:hAnsi="Arial"/>
                <w:sz w:val="20"/>
                <w:szCs w:val="20"/>
                <w:color w:val="auto"/>
                <w:w w:val="88"/>
              </w:rPr>
              <w:t>Expenses; Indemnity; Damage</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580" w:type="dxa"/>
            <w:vAlign w:val="bottom"/>
            <w:gridSpan w:val="13"/>
          </w:tcPr>
          <w:p>
            <w:pPr>
              <w:spacing w:after="0" w:line="176" w:lineRule="exact"/>
              <w:rPr>
                <w:sz w:val="20"/>
                <w:szCs w:val="20"/>
                <w:color w:val="auto"/>
              </w:rPr>
            </w:pPr>
            <w:r>
              <w:rPr>
                <w:rFonts w:ascii="Arial" w:cs="Arial" w:eastAsia="Arial" w:hAnsi="Arial"/>
                <w:sz w:val="20"/>
                <w:szCs w:val="20"/>
                <w:color w:val="auto"/>
                <w:w w:val="89"/>
              </w:rPr>
              <w:t>Waiver</w:t>
            </w:r>
          </w:p>
        </w:tc>
        <w:tc>
          <w:tcPr>
            <w:tcW w:w="100" w:type="dxa"/>
            <w:vAlign w:val="bottom"/>
            <w:gridSpan w:val="3"/>
          </w:tcPr>
          <w:p>
            <w:pPr>
              <w:spacing w:after="0"/>
              <w:rPr>
                <w:sz w:val="15"/>
                <w:szCs w:val="15"/>
                <w:color w:val="auto"/>
              </w:rPr>
            </w:pPr>
          </w:p>
        </w:tc>
        <w:tc>
          <w:tcPr>
            <w:tcW w:w="280" w:type="dxa"/>
            <w:vAlign w:val="bottom"/>
            <w:gridSpan w:val="3"/>
          </w:tcPr>
          <w:p>
            <w:pPr>
              <w:jc w:val="right"/>
              <w:spacing w:after="0" w:line="176" w:lineRule="exact"/>
              <w:rPr>
                <w:sz w:val="20"/>
                <w:szCs w:val="20"/>
                <w:color w:val="auto"/>
              </w:rPr>
            </w:pPr>
            <w:r>
              <w:rPr>
                <w:rFonts w:ascii="Arial" w:cs="Arial" w:eastAsia="Arial" w:hAnsi="Arial"/>
                <w:sz w:val="20"/>
                <w:szCs w:val="20"/>
                <w:color w:val="FF0000"/>
                <w:strike w:val="1"/>
              </w:rPr>
              <w:t>65</w:t>
            </w:r>
          </w:p>
        </w:tc>
        <w:tc>
          <w:tcPr>
            <w:tcW w:w="220" w:type="dxa"/>
            <w:vAlign w:val="bottom"/>
            <w:gridSpan w:val="4"/>
          </w:tcPr>
          <w:p>
            <w:pPr>
              <w:jc w:val="right"/>
              <w:ind w:right="20"/>
              <w:spacing w:after="0" w:line="176" w:lineRule="exact"/>
              <w:rPr>
                <w:sz w:val="20"/>
                <w:szCs w:val="20"/>
                <w:color w:val="auto"/>
              </w:rPr>
            </w:pPr>
            <w:r>
              <w:rPr>
                <w:rFonts w:ascii="Arial" w:cs="Arial" w:eastAsia="Arial" w:hAnsi="Arial"/>
                <w:sz w:val="20"/>
                <w:szCs w:val="20"/>
                <w:color w:val="0000FF"/>
                <w:w w:val="80"/>
              </w:rPr>
              <w:t>66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89"/>
              </w:rPr>
              <w:t>Section 10.04</w:t>
            </w:r>
          </w:p>
        </w:tc>
        <w:tc>
          <w:tcPr>
            <w:tcW w:w="2100" w:type="dxa"/>
            <w:vAlign w:val="bottom"/>
            <w:gridSpan w:val="28"/>
          </w:tcPr>
          <w:p>
            <w:pPr>
              <w:ind w:left="160"/>
              <w:spacing w:after="0" w:line="183" w:lineRule="exact"/>
              <w:rPr>
                <w:sz w:val="20"/>
                <w:szCs w:val="20"/>
                <w:color w:val="auto"/>
              </w:rPr>
            </w:pPr>
            <w:r>
              <w:rPr>
                <w:rFonts w:ascii="Arial" w:cs="Arial" w:eastAsia="Arial" w:hAnsi="Arial"/>
                <w:sz w:val="20"/>
                <w:szCs w:val="20"/>
                <w:color w:val="auto"/>
                <w:w w:val="88"/>
              </w:rPr>
              <w:t>Successors and Assigns</w:t>
            </w:r>
          </w:p>
        </w:tc>
        <w:tc>
          <w:tcPr>
            <w:tcW w:w="40" w:type="dxa"/>
            <w:vAlign w:val="bottom"/>
          </w:tcPr>
          <w:p>
            <w:pPr>
              <w:spacing w:after="0"/>
              <w:rPr>
                <w:sz w:val="15"/>
                <w:szCs w:val="15"/>
                <w:color w:val="auto"/>
              </w:rPr>
            </w:pPr>
          </w:p>
        </w:tc>
        <w:tc>
          <w:tcPr>
            <w:tcW w:w="300" w:type="dxa"/>
            <w:vAlign w:val="bottom"/>
            <w:gridSpan w:val="6"/>
          </w:tcPr>
          <w:p>
            <w:pPr>
              <w:jc w:val="right"/>
              <w:spacing w:after="0" w:line="183" w:lineRule="exact"/>
              <w:rPr>
                <w:sz w:val="20"/>
                <w:szCs w:val="20"/>
                <w:color w:val="auto"/>
              </w:rPr>
            </w:pPr>
            <w:r>
              <w:rPr>
                <w:rFonts w:ascii="Arial" w:cs="Arial" w:eastAsia="Arial" w:hAnsi="Arial"/>
                <w:sz w:val="20"/>
                <w:szCs w:val="20"/>
                <w:color w:val="FF0000"/>
                <w:strike w:val="1"/>
              </w:rPr>
              <w:t>66</w:t>
            </w:r>
          </w:p>
        </w:tc>
        <w:tc>
          <w:tcPr>
            <w:tcW w:w="220" w:type="dxa"/>
            <w:vAlign w:val="bottom"/>
            <w:gridSpan w:val="8"/>
          </w:tcPr>
          <w:p>
            <w:pPr>
              <w:jc w:val="right"/>
              <w:spacing w:after="0" w:line="183" w:lineRule="exact"/>
              <w:rPr>
                <w:sz w:val="20"/>
                <w:szCs w:val="20"/>
                <w:color w:val="auto"/>
              </w:rPr>
            </w:pPr>
            <w:r>
              <w:rPr>
                <w:rFonts w:ascii="Arial" w:cs="Arial" w:eastAsia="Arial" w:hAnsi="Arial"/>
                <w:sz w:val="20"/>
                <w:szCs w:val="20"/>
                <w:color w:val="0000FF"/>
                <w:w w:val="80"/>
              </w:rPr>
              <w:t>67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w w:val="94"/>
              </w:rPr>
              <w:t>Section 10.05</w:t>
            </w:r>
          </w:p>
        </w:tc>
        <w:tc>
          <w:tcPr>
            <w:tcW w:w="1000" w:type="dxa"/>
            <w:vAlign w:val="bottom"/>
            <w:gridSpan w:val="3"/>
          </w:tcPr>
          <w:p>
            <w:pPr>
              <w:ind w:left="160"/>
              <w:spacing w:after="0" w:line="169" w:lineRule="exact"/>
              <w:rPr>
                <w:sz w:val="20"/>
                <w:szCs w:val="20"/>
                <w:color w:val="auto"/>
              </w:rPr>
            </w:pPr>
            <w:r>
              <w:rPr>
                <w:rFonts w:ascii="Arial" w:cs="Arial" w:eastAsia="Arial" w:hAnsi="Arial"/>
                <w:sz w:val="19"/>
                <w:szCs w:val="19"/>
                <w:color w:val="auto"/>
              </w:rPr>
              <w:t>Survival</w:t>
            </w:r>
          </w:p>
        </w:tc>
        <w:tc>
          <w:tcPr>
            <w:tcW w:w="240" w:type="dxa"/>
            <w:vAlign w:val="bottom"/>
            <w:gridSpan w:val="5"/>
          </w:tcPr>
          <w:p>
            <w:pPr>
              <w:jc w:val="right"/>
              <w:spacing w:after="0" w:line="169" w:lineRule="exact"/>
              <w:rPr>
                <w:sz w:val="20"/>
                <w:szCs w:val="20"/>
                <w:color w:val="auto"/>
              </w:rPr>
            </w:pPr>
            <w:r>
              <w:rPr>
                <w:rFonts w:ascii="Arial" w:cs="Arial" w:eastAsia="Arial" w:hAnsi="Arial"/>
                <w:sz w:val="19"/>
                <w:szCs w:val="19"/>
                <w:color w:val="FF0000"/>
                <w:strike w:val="1"/>
                <w:w w:val="94"/>
              </w:rPr>
              <w:t>69</w:t>
            </w:r>
          </w:p>
        </w:tc>
        <w:tc>
          <w:tcPr>
            <w:tcW w:w="280" w:type="dxa"/>
            <w:vAlign w:val="bottom"/>
            <w:tcBorders>
              <w:bottom w:val="single" w:sz="8" w:color="0000FF"/>
            </w:tcBorders>
            <w:gridSpan w:val="5"/>
          </w:tcPr>
          <w:p>
            <w:pPr>
              <w:jc w:val="right"/>
              <w:ind w:right="100"/>
              <w:spacing w:after="0" w:line="169" w:lineRule="exact"/>
              <w:rPr>
                <w:sz w:val="20"/>
                <w:szCs w:val="20"/>
                <w:color w:val="auto"/>
              </w:rPr>
            </w:pPr>
            <w:r>
              <w:rPr>
                <w:rFonts w:ascii="Arial" w:cs="Arial" w:eastAsia="Arial" w:hAnsi="Arial"/>
                <w:sz w:val="19"/>
                <w:szCs w:val="19"/>
                <w:color w:val="0000FF"/>
                <w:w w:val="75"/>
              </w:rPr>
              <w:t>70</w:t>
            </w:r>
          </w:p>
        </w:tc>
        <w:tc>
          <w:tcPr>
            <w:tcW w:w="920" w:type="dxa"/>
            <w:vAlign w:val="bottom"/>
            <w:gridSpan w:val="22"/>
          </w:tcPr>
          <w:p>
            <w:pPr>
              <w:spacing w:after="0"/>
              <w:rPr>
                <w:sz w:val="15"/>
                <w:szCs w:val="15"/>
                <w:color w:val="auto"/>
              </w:rPr>
            </w:pPr>
          </w:p>
        </w:tc>
        <w:tc>
          <w:tcPr>
            <w:tcW w:w="200" w:type="dxa"/>
            <w:vAlign w:val="bottom"/>
            <w:tcBorders>
              <w:top w:val="single" w:sz="8" w:color="0000FF"/>
            </w:tcBorders>
            <w:gridSpan w:val="7"/>
          </w:tcPr>
          <w:p>
            <w:pPr>
              <w:spacing w:after="0"/>
              <w:rPr>
                <w:sz w:val="15"/>
                <w:szCs w:val="15"/>
                <w:color w:val="auto"/>
              </w:rPr>
            </w:pPr>
          </w:p>
        </w:tc>
        <w:tc>
          <w:tcPr>
            <w:tcW w:w="3040" w:type="dxa"/>
            <w:vAlign w:val="bottom"/>
            <w:gridSpan w:val="3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89"/>
              </w:rPr>
              <w:t>Section 10.06</w:t>
            </w:r>
          </w:p>
        </w:tc>
        <w:tc>
          <w:tcPr>
            <w:tcW w:w="1240" w:type="dxa"/>
            <w:vAlign w:val="bottom"/>
            <w:gridSpan w:val="8"/>
          </w:tcPr>
          <w:p>
            <w:pPr>
              <w:ind w:left="160"/>
              <w:spacing w:after="0" w:line="176" w:lineRule="exact"/>
              <w:rPr>
                <w:sz w:val="20"/>
                <w:szCs w:val="20"/>
                <w:color w:val="auto"/>
              </w:rPr>
            </w:pPr>
            <w:r>
              <w:rPr>
                <w:rFonts w:ascii="Arial" w:cs="Arial" w:eastAsia="Arial" w:hAnsi="Arial"/>
                <w:sz w:val="20"/>
                <w:szCs w:val="20"/>
                <w:color w:val="auto"/>
                <w:w w:val="87"/>
              </w:rPr>
              <w:t>Counterparts;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59"/>
          </w:tcPr>
          <w:p>
            <w:pPr>
              <w:spacing w:after="0" w:line="176" w:lineRule="exact"/>
              <w:rPr>
                <w:sz w:val="20"/>
                <w:szCs w:val="20"/>
                <w:color w:val="auto"/>
              </w:rPr>
            </w:pPr>
            <w:r>
              <w:rPr>
                <w:rFonts w:ascii="Arial" w:cs="Arial" w:eastAsia="Arial" w:hAnsi="Arial"/>
                <w:sz w:val="20"/>
                <w:szCs w:val="20"/>
                <w:color w:val="auto"/>
                <w:w w:val="85"/>
              </w:rPr>
              <w:t>Integration; Effectiveness; Electronic Execution</w:t>
            </w:r>
          </w:p>
        </w:tc>
        <w:tc>
          <w:tcPr>
            <w:tcW w:w="380" w:type="dxa"/>
            <w:vAlign w:val="bottom"/>
            <w:gridSpan w:val="2"/>
          </w:tcPr>
          <w:p>
            <w:pPr>
              <w:jc w:val="right"/>
              <w:spacing w:after="0" w:line="176" w:lineRule="exact"/>
              <w:rPr>
                <w:sz w:val="20"/>
                <w:szCs w:val="20"/>
                <w:color w:val="auto"/>
              </w:rPr>
            </w:pPr>
            <w:r>
              <w:rPr>
                <w:rFonts w:ascii="Arial" w:cs="Arial" w:eastAsia="Arial" w:hAnsi="Arial"/>
                <w:sz w:val="20"/>
                <w:szCs w:val="20"/>
                <w:color w:val="FF0000"/>
                <w:strike w:val="1"/>
              </w:rPr>
              <w:t>69</w:t>
            </w:r>
          </w:p>
        </w:tc>
        <w:tc>
          <w:tcPr>
            <w:tcW w:w="20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20"/>
                <w:szCs w:val="20"/>
                <w:color w:val="0000FF"/>
                <w:w w:val="80"/>
              </w:rPr>
              <w:t>71</w:t>
            </w: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w w:val="94"/>
              </w:rPr>
              <w:t>Section 10.07</w:t>
            </w:r>
          </w:p>
        </w:tc>
        <w:tc>
          <w:tcPr>
            <w:tcW w:w="1300" w:type="dxa"/>
            <w:vAlign w:val="bottom"/>
            <w:gridSpan w:val="9"/>
          </w:tcPr>
          <w:p>
            <w:pPr>
              <w:ind w:left="160"/>
              <w:spacing w:after="0" w:line="169" w:lineRule="exact"/>
              <w:rPr>
                <w:sz w:val="20"/>
                <w:szCs w:val="20"/>
                <w:color w:val="auto"/>
              </w:rPr>
            </w:pPr>
            <w:r>
              <w:rPr>
                <w:rFonts w:ascii="Arial" w:cs="Arial" w:eastAsia="Arial" w:hAnsi="Arial"/>
                <w:sz w:val="19"/>
                <w:szCs w:val="19"/>
                <w:color w:val="auto"/>
                <w:w w:val="95"/>
              </w:rPr>
              <w:t>Severability</w:t>
            </w:r>
          </w:p>
        </w:tc>
        <w:tc>
          <w:tcPr>
            <w:tcW w:w="220" w:type="dxa"/>
            <w:vAlign w:val="bottom"/>
            <w:gridSpan w:val="4"/>
          </w:tcPr>
          <w:p>
            <w:pPr>
              <w:ind w:left="20"/>
              <w:spacing w:after="0" w:line="169" w:lineRule="exact"/>
              <w:rPr>
                <w:sz w:val="20"/>
                <w:szCs w:val="20"/>
                <w:color w:val="auto"/>
              </w:rPr>
            </w:pPr>
            <w:r>
              <w:rPr>
                <w:rFonts w:ascii="Arial" w:cs="Arial" w:eastAsia="Arial" w:hAnsi="Arial"/>
                <w:sz w:val="19"/>
                <w:szCs w:val="19"/>
                <w:color w:val="FF0000"/>
                <w:strike w:val="1"/>
                <w:w w:val="75"/>
              </w:rPr>
              <w:t>70</w:t>
            </w:r>
          </w:p>
        </w:tc>
        <w:tc>
          <w:tcPr>
            <w:tcW w:w="20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9"/>
                <w:szCs w:val="19"/>
                <w:color w:val="0000FF"/>
                <w:w w:val="84"/>
              </w:rPr>
              <w:t>71</w:t>
            </w:r>
          </w:p>
        </w:tc>
        <w:tc>
          <w:tcPr>
            <w:tcW w:w="3960" w:type="dxa"/>
            <w:vAlign w:val="bottom"/>
            <w:gridSpan w:val="5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89"/>
              </w:rPr>
              <w:t>Section 10.08</w:t>
            </w:r>
          </w:p>
        </w:tc>
        <w:tc>
          <w:tcPr>
            <w:tcW w:w="1540" w:type="dxa"/>
            <w:vAlign w:val="bottom"/>
            <w:gridSpan w:val="14"/>
          </w:tcPr>
          <w:p>
            <w:pPr>
              <w:ind w:left="160"/>
              <w:spacing w:after="0" w:line="176" w:lineRule="exact"/>
              <w:rPr>
                <w:sz w:val="20"/>
                <w:szCs w:val="20"/>
                <w:color w:val="auto"/>
              </w:rPr>
            </w:pPr>
            <w:r>
              <w:rPr>
                <w:rFonts w:ascii="Arial" w:cs="Arial" w:eastAsia="Arial" w:hAnsi="Arial"/>
                <w:sz w:val="20"/>
                <w:szCs w:val="20"/>
                <w:color w:val="auto"/>
              </w:rPr>
              <w:t>Right of Setoff</w:t>
            </w:r>
          </w:p>
        </w:tc>
        <w:tc>
          <w:tcPr>
            <w:tcW w:w="200" w:type="dxa"/>
            <w:vAlign w:val="bottom"/>
            <w:gridSpan w:val="6"/>
          </w:tcPr>
          <w:p>
            <w:pPr>
              <w:spacing w:after="0" w:line="176" w:lineRule="exact"/>
              <w:rPr>
                <w:sz w:val="20"/>
                <w:szCs w:val="20"/>
                <w:color w:val="auto"/>
              </w:rPr>
            </w:pPr>
            <w:r>
              <w:rPr>
                <w:rFonts w:ascii="Arial" w:cs="Arial" w:eastAsia="Arial" w:hAnsi="Arial"/>
                <w:sz w:val="20"/>
                <w:szCs w:val="20"/>
                <w:color w:val="FF0000"/>
                <w:strike w:val="1"/>
                <w:w w:val="71"/>
              </w:rPr>
              <w:t>70</w:t>
            </w:r>
          </w:p>
        </w:tc>
        <w:tc>
          <w:tcPr>
            <w:tcW w:w="200" w:type="dxa"/>
            <w:vAlign w:val="bottom"/>
            <w:tcBorders>
              <w:bottom w:val="single" w:sz="8" w:color="0000FF"/>
            </w:tcBorders>
            <w:gridSpan w:val="4"/>
          </w:tcPr>
          <w:p>
            <w:pPr>
              <w:spacing w:after="0" w:line="176" w:lineRule="exact"/>
              <w:rPr>
                <w:sz w:val="20"/>
                <w:szCs w:val="20"/>
                <w:color w:val="auto"/>
              </w:rPr>
            </w:pPr>
            <w:r>
              <w:rPr>
                <w:rFonts w:ascii="Arial" w:cs="Arial" w:eastAsia="Arial" w:hAnsi="Arial"/>
                <w:sz w:val="20"/>
                <w:szCs w:val="20"/>
                <w:color w:val="0000FF"/>
                <w:w w:val="80"/>
              </w:rPr>
              <w:t>71</w:t>
            </w:r>
          </w:p>
        </w:tc>
        <w:tc>
          <w:tcPr>
            <w:tcW w:w="3740" w:type="dxa"/>
            <w:vAlign w:val="bottom"/>
            <w:gridSpan w:val="5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gridSpan w:val="2"/>
          </w:tcPr>
          <w:p>
            <w:pPr>
              <w:ind w:left="660"/>
              <w:spacing w:after="0" w:line="183" w:lineRule="exact"/>
              <w:rPr>
                <w:sz w:val="20"/>
                <w:szCs w:val="20"/>
                <w:color w:val="auto"/>
              </w:rPr>
            </w:pPr>
            <w:r>
              <w:rPr>
                <w:rFonts w:ascii="Arial" w:cs="Arial" w:eastAsia="Arial" w:hAnsi="Arial"/>
                <w:sz w:val="20"/>
                <w:szCs w:val="20"/>
                <w:color w:val="auto"/>
                <w:w w:val="89"/>
              </w:rPr>
              <w:t>Section 10.09</w:t>
            </w:r>
          </w:p>
        </w:tc>
        <w:tc>
          <w:tcPr>
            <w:tcW w:w="1740" w:type="dxa"/>
            <w:vAlign w:val="bottom"/>
            <w:gridSpan w:val="20"/>
          </w:tcPr>
          <w:p>
            <w:pPr>
              <w:ind w:left="160"/>
              <w:spacing w:after="0" w:line="183" w:lineRule="exact"/>
              <w:rPr>
                <w:sz w:val="20"/>
                <w:szCs w:val="20"/>
                <w:color w:val="auto"/>
              </w:rPr>
            </w:pPr>
            <w:r>
              <w:rPr>
                <w:rFonts w:ascii="Arial" w:cs="Arial" w:eastAsia="Arial" w:hAnsi="Arial"/>
                <w:sz w:val="20"/>
                <w:szCs w:val="20"/>
                <w:color w:val="auto"/>
              </w:rPr>
              <w:t>Governing Law;</w:t>
            </w:r>
          </w:p>
        </w:tc>
        <w:tc>
          <w:tcPr>
            <w:tcW w:w="3360" w:type="dxa"/>
            <w:vAlign w:val="bottom"/>
            <w:gridSpan w:val="52"/>
          </w:tcPr>
          <w:p>
            <w:pPr>
              <w:spacing w:after="0" w:line="183" w:lineRule="exact"/>
              <w:rPr>
                <w:sz w:val="20"/>
                <w:szCs w:val="20"/>
                <w:color w:val="auto"/>
              </w:rPr>
            </w:pPr>
            <w:r>
              <w:rPr>
                <w:rFonts w:ascii="Arial" w:cs="Arial" w:eastAsia="Arial" w:hAnsi="Arial"/>
                <w:sz w:val="20"/>
                <w:szCs w:val="20"/>
                <w:color w:val="auto"/>
                <w:w w:val="87"/>
              </w:rPr>
              <w:t>Jurisdiction; Consent to Service of Process</w:t>
            </w:r>
          </w:p>
        </w:tc>
        <w:tc>
          <w:tcPr>
            <w:tcW w:w="200" w:type="dxa"/>
            <w:vAlign w:val="bottom"/>
          </w:tcPr>
          <w:p>
            <w:pPr>
              <w:jc w:val="right"/>
              <w:spacing w:after="0" w:line="183" w:lineRule="exact"/>
              <w:rPr>
                <w:sz w:val="20"/>
                <w:szCs w:val="20"/>
                <w:color w:val="auto"/>
              </w:rPr>
            </w:pPr>
            <w:r>
              <w:rPr>
                <w:rFonts w:ascii="Arial" w:cs="Arial" w:eastAsia="Arial" w:hAnsi="Arial"/>
                <w:sz w:val="20"/>
                <w:szCs w:val="20"/>
                <w:color w:val="FF0000"/>
                <w:strike w:val="1"/>
                <w:w w:val="80"/>
              </w:rPr>
              <w:t>70</w:t>
            </w:r>
          </w:p>
        </w:tc>
        <w:tc>
          <w:tcPr>
            <w:tcW w:w="200" w:type="dxa"/>
            <w:vAlign w:val="bottom"/>
            <w:tcBorders>
              <w:bottom w:val="single" w:sz="8" w:color="0000FF"/>
            </w:tcBorders>
            <w:gridSpan w:val="2"/>
          </w:tcPr>
          <w:p>
            <w:pPr>
              <w:jc w:val="right"/>
              <w:spacing w:after="0" w:line="183" w:lineRule="exact"/>
              <w:rPr>
                <w:sz w:val="20"/>
                <w:szCs w:val="20"/>
                <w:color w:val="auto"/>
              </w:rPr>
            </w:pPr>
            <w:r>
              <w:rPr>
                <w:rFonts w:ascii="Arial" w:cs="Arial" w:eastAsia="Arial" w:hAnsi="Arial"/>
                <w:sz w:val="20"/>
                <w:szCs w:val="20"/>
                <w:color w:val="0000FF"/>
                <w:w w:val="80"/>
              </w:rPr>
              <w:t>71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ind w:left="660"/>
              <w:spacing w:after="0" w:line="169" w:lineRule="exact"/>
              <w:rPr>
                <w:sz w:val="20"/>
                <w:szCs w:val="20"/>
                <w:color w:val="auto"/>
              </w:rPr>
            </w:pPr>
            <w:r>
              <w:rPr>
                <w:rFonts w:ascii="Arial" w:cs="Arial" w:eastAsia="Arial" w:hAnsi="Arial"/>
                <w:sz w:val="19"/>
                <w:szCs w:val="19"/>
                <w:color w:val="auto"/>
                <w:w w:val="94"/>
              </w:rPr>
              <w:t>Section 10.10</w:t>
            </w:r>
          </w:p>
        </w:tc>
        <w:tc>
          <w:tcPr>
            <w:tcW w:w="2600" w:type="dxa"/>
            <w:vAlign w:val="bottom"/>
            <w:gridSpan w:val="40"/>
          </w:tcPr>
          <w:p>
            <w:pPr>
              <w:ind w:left="160"/>
              <w:spacing w:after="0" w:line="169" w:lineRule="exact"/>
              <w:rPr>
                <w:sz w:val="20"/>
                <w:szCs w:val="20"/>
                <w:color w:val="auto"/>
              </w:rPr>
            </w:pPr>
            <w:r>
              <w:rPr>
                <w:rFonts w:ascii="Arial" w:cs="Arial" w:eastAsia="Arial" w:hAnsi="Arial"/>
                <w:sz w:val="19"/>
                <w:szCs w:val="19"/>
                <w:color w:val="auto"/>
              </w:rPr>
              <w:t>WAIVER OF JURY TRIAL</w:t>
            </w:r>
          </w:p>
        </w:tc>
        <w:tc>
          <w:tcPr>
            <w:tcW w:w="180" w:type="dxa"/>
            <w:vAlign w:val="bottom"/>
            <w:gridSpan w:val="5"/>
          </w:tcPr>
          <w:p>
            <w:pPr>
              <w:jc w:val="center"/>
              <w:spacing w:after="0" w:line="169" w:lineRule="exact"/>
              <w:rPr>
                <w:sz w:val="20"/>
                <w:szCs w:val="20"/>
                <w:color w:val="auto"/>
              </w:rPr>
            </w:pPr>
            <w:r>
              <w:rPr>
                <w:rFonts w:ascii="Arial" w:cs="Arial" w:eastAsia="Arial" w:hAnsi="Arial"/>
                <w:sz w:val="19"/>
                <w:szCs w:val="19"/>
                <w:color w:val="FF0000"/>
                <w:strike w:val="1"/>
                <w:w w:val="84"/>
              </w:rPr>
              <w:t>71</w:t>
            </w:r>
          </w:p>
        </w:tc>
        <w:tc>
          <w:tcPr>
            <w:tcW w:w="260" w:type="dxa"/>
            <w:vAlign w:val="bottom"/>
            <w:gridSpan w:val="6"/>
          </w:tcPr>
          <w:p>
            <w:pPr>
              <w:spacing w:after="0" w:line="169" w:lineRule="exact"/>
              <w:rPr>
                <w:sz w:val="20"/>
                <w:szCs w:val="20"/>
                <w:color w:val="auto"/>
              </w:rPr>
            </w:pPr>
            <w:r>
              <w:rPr>
                <w:rFonts w:ascii="Arial" w:cs="Arial" w:eastAsia="Arial" w:hAnsi="Arial"/>
                <w:sz w:val="19"/>
                <w:szCs w:val="19"/>
                <w:color w:val="0000FF"/>
              </w:rPr>
              <w:t>72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gridSpan w:val="2"/>
          </w:tcPr>
          <w:p>
            <w:pPr>
              <w:ind w:left="660"/>
              <w:spacing w:after="0" w:line="176" w:lineRule="exact"/>
              <w:rPr>
                <w:sz w:val="20"/>
                <w:szCs w:val="20"/>
                <w:color w:val="auto"/>
              </w:rPr>
            </w:pPr>
            <w:r>
              <w:rPr>
                <w:rFonts w:ascii="Arial" w:cs="Arial" w:eastAsia="Arial" w:hAnsi="Arial"/>
                <w:sz w:val="20"/>
                <w:szCs w:val="20"/>
                <w:color w:val="auto"/>
                <w:w w:val="89"/>
              </w:rPr>
              <w:t>Section 10.11</w:t>
            </w:r>
          </w:p>
        </w:tc>
        <w:tc>
          <w:tcPr>
            <w:tcW w:w="1120" w:type="dxa"/>
            <w:vAlign w:val="bottom"/>
            <w:gridSpan w:val="5"/>
          </w:tcPr>
          <w:p>
            <w:pPr>
              <w:ind w:left="160"/>
              <w:spacing w:after="0" w:line="176" w:lineRule="exact"/>
              <w:rPr>
                <w:sz w:val="20"/>
                <w:szCs w:val="20"/>
                <w:color w:val="auto"/>
              </w:rPr>
            </w:pPr>
            <w:r>
              <w:rPr>
                <w:rFonts w:ascii="Arial" w:cs="Arial" w:eastAsia="Arial" w:hAnsi="Arial"/>
                <w:sz w:val="20"/>
                <w:szCs w:val="20"/>
                <w:color w:val="auto"/>
                <w:w w:val="85"/>
              </w:rPr>
              <w:t>Headings</w:t>
            </w:r>
          </w:p>
        </w:tc>
        <w:tc>
          <w:tcPr>
            <w:tcW w:w="180" w:type="dxa"/>
            <w:vAlign w:val="bottom"/>
            <w:gridSpan w:val="4"/>
          </w:tcPr>
          <w:p>
            <w:pPr>
              <w:spacing w:after="0" w:line="176" w:lineRule="exact"/>
              <w:rPr>
                <w:sz w:val="20"/>
                <w:szCs w:val="20"/>
                <w:color w:val="auto"/>
              </w:rPr>
            </w:pPr>
            <w:r>
              <w:rPr>
                <w:rFonts w:ascii="Arial" w:cs="Arial" w:eastAsia="Arial" w:hAnsi="Arial"/>
                <w:sz w:val="20"/>
                <w:szCs w:val="20"/>
                <w:color w:val="FF0000"/>
                <w:strike w:val="1"/>
                <w:w w:val="71"/>
              </w:rPr>
              <w:t>71</w:t>
            </w:r>
          </w:p>
        </w:tc>
        <w:tc>
          <w:tcPr>
            <w:tcW w:w="220" w:type="dxa"/>
            <w:vAlign w:val="bottom"/>
            <w:tcBorders>
              <w:bottom w:val="single" w:sz="8" w:color="0000FF"/>
            </w:tcBorders>
            <w:gridSpan w:val="4"/>
          </w:tcPr>
          <w:p>
            <w:pPr>
              <w:jc w:val="right"/>
              <w:ind w:right="20"/>
              <w:spacing w:after="0" w:line="176" w:lineRule="exact"/>
              <w:rPr>
                <w:sz w:val="20"/>
                <w:szCs w:val="20"/>
                <w:color w:val="auto"/>
              </w:rPr>
            </w:pPr>
            <w:r>
              <w:rPr>
                <w:rFonts w:ascii="Arial" w:cs="Arial" w:eastAsia="Arial" w:hAnsi="Arial"/>
                <w:sz w:val="20"/>
                <w:szCs w:val="20"/>
                <w:color w:val="0000FF"/>
                <w:w w:val="80"/>
              </w:rPr>
              <w:t>72</w:t>
            </w:r>
          </w:p>
        </w:tc>
        <w:tc>
          <w:tcPr>
            <w:tcW w:w="1260" w:type="dxa"/>
            <w:vAlign w:val="bottom"/>
            <w:gridSpan w:val="32"/>
          </w:tcPr>
          <w:p>
            <w:pPr>
              <w:spacing w:after="0"/>
              <w:rPr>
                <w:sz w:val="15"/>
                <w:szCs w:val="15"/>
                <w:color w:val="auto"/>
              </w:rPr>
            </w:pPr>
          </w:p>
        </w:tc>
        <w:tc>
          <w:tcPr>
            <w:tcW w:w="220" w:type="dxa"/>
            <w:vAlign w:val="bottom"/>
            <w:tcBorders>
              <w:top w:val="single" w:sz="8" w:color="0000FF"/>
            </w:tcBorders>
            <w:gridSpan w:val="5"/>
          </w:tcPr>
          <w:p>
            <w:pPr>
              <w:spacing w:after="0"/>
              <w:rPr>
                <w:sz w:val="15"/>
                <w:szCs w:val="15"/>
                <w:color w:val="auto"/>
              </w:rPr>
            </w:pPr>
          </w:p>
        </w:tc>
        <w:tc>
          <w:tcPr>
            <w:tcW w:w="268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98" w:right="4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140"/>
          </w:cols>
          <w:pgMar w:left="320" w:top="98" w:right="439" w:bottom="1440" w:gutter="0" w:footer="0" w:header="0"/>
          <w:type w:val="continuous"/>
        </w:sectPr>
      </w:pPr>
    </w:p>
    <w:bookmarkStart w:id="39" w:name="page40"/>
    <w:bookmarkEnd w:id="39"/>
    <w:p>
      <w:pPr>
        <w:jc w:val="center"/>
        <w:ind w:right="560"/>
        <w:spacing w:after="0"/>
        <w:rPr>
          <w:sz w:val="20"/>
          <w:szCs w:val="20"/>
          <w:color w:val="auto"/>
        </w:rPr>
      </w:pPr>
      <w:r>
        <w:rPr>
          <w:rFonts w:ascii="Arial" w:cs="Arial" w:eastAsia="Arial" w:hAnsi="Arial"/>
          <w:sz w:val="20"/>
          <w:szCs w:val="20"/>
          <w:b w:val="1"/>
          <w:bCs w:val="1"/>
          <w:color w:val="auto"/>
        </w:rPr>
        <w:t>TABLE OF CONTENTS</w:t>
      </w:r>
    </w:p>
    <w:p>
      <w:pPr>
        <w:jc w:val="center"/>
        <w:ind w:right="560"/>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80" w:type="dxa"/>
            <w:vAlign w:val="bottom"/>
          </w:tcPr>
          <w:p>
            <w:pPr>
              <w:spacing w:after="0"/>
              <w:rPr>
                <w:sz w:val="20"/>
                <w:szCs w:val="20"/>
                <w:color w:val="auto"/>
              </w:rPr>
            </w:pPr>
            <w:r>
              <w:rPr>
                <w:rFonts w:ascii="Arial" w:cs="Arial" w:eastAsia="Arial" w:hAnsi="Arial"/>
                <w:sz w:val="20"/>
                <w:szCs w:val="20"/>
                <w:color w:val="auto"/>
                <w:w w:val="94"/>
              </w:rPr>
              <w:t>Section 10.12</w:t>
            </w:r>
          </w:p>
        </w:tc>
        <w:tc>
          <w:tcPr>
            <w:tcW w:w="1500" w:type="dxa"/>
            <w:vAlign w:val="bottom"/>
          </w:tcPr>
          <w:p>
            <w:pPr>
              <w:ind w:left="100"/>
              <w:spacing w:after="0"/>
              <w:rPr>
                <w:sz w:val="20"/>
                <w:szCs w:val="20"/>
                <w:color w:val="auto"/>
              </w:rPr>
            </w:pPr>
            <w:r>
              <w:rPr>
                <w:rFonts w:ascii="Arial" w:cs="Arial" w:eastAsia="Arial" w:hAnsi="Arial"/>
                <w:sz w:val="20"/>
                <w:szCs w:val="20"/>
                <w:color w:val="auto"/>
              </w:rPr>
              <w:t>Confidentiality</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71</w:t>
            </w:r>
          </w:p>
        </w:tc>
        <w:tc>
          <w:tcPr>
            <w:tcW w:w="360" w:type="dxa"/>
            <w:vAlign w:val="bottom"/>
            <w:gridSpan w:val="2"/>
          </w:tcPr>
          <w:p>
            <w:pPr>
              <w:jc w:val="right"/>
              <w:ind w:right="61"/>
              <w:spacing w:after="0"/>
              <w:rPr>
                <w:sz w:val="20"/>
                <w:szCs w:val="20"/>
                <w:color w:val="auto"/>
              </w:rPr>
            </w:pPr>
            <w:r>
              <w:rPr>
                <w:rFonts w:ascii="Arial" w:cs="Arial" w:eastAsia="Arial" w:hAnsi="Arial"/>
                <w:sz w:val="20"/>
                <w:szCs w:val="20"/>
                <w:color w:val="0000FF"/>
                <w:w w:val="80"/>
              </w:rPr>
              <w:t>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Arial" w:cs="Arial" w:eastAsia="Arial" w:hAnsi="Arial"/>
                <w:sz w:val="20"/>
                <w:szCs w:val="20"/>
                <w:color w:val="auto"/>
                <w:w w:val="94"/>
              </w:rPr>
              <w:t>Section 10.13</w:t>
            </w:r>
          </w:p>
        </w:tc>
        <w:tc>
          <w:tcPr>
            <w:tcW w:w="1700" w:type="dxa"/>
            <w:vAlign w:val="bottom"/>
            <w:gridSpan w:val="2"/>
          </w:tcPr>
          <w:p>
            <w:pPr>
              <w:ind w:left="100"/>
              <w:spacing w:after="0" w:line="176" w:lineRule="exact"/>
              <w:rPr>
                <w:sz w:val="20"/>
                <w:szCs w:val="20"/>
                <w:color w:val="auto"/>
              </w:rPr>
            </w:pPr>
            <w:r>
              <w:rPr>
                <w:rFonts w:ascii="Arial" w:cs="Arial" w:eastAsia="Arial" w:hAnsi="Arial"/>
                <w:sz w:val="20"/>
                <w:szCs w:val="20"/>
                <w:color w:val="auto"/>
                <w:w w:val="90"/>
              </w:rPr>
              <w:t>Material Non-Public</w:t>
            </w:r>
          </w:p>
        </w:tc>
        <w:tc>
          <w:tcPr>
            <w:tcW w:w="200" w:type="dxa"/>
            <w:vAlign w:val="bottom"/>
            <w:tcBorders>
              <w:top w:val="single" w:sz="8" w:color="0000FF"/>
            </w:tcBorders>
          </w:tcPr>
          <w:p>
            <w:pPr>
              <w:spacing w:after="0"/>
              <w:rPr>
                <w:sz w:val="15"/>
                <w:szCs w:val="15"/>
                <w:color w:val="auto"/>
              </w:rPr>
            </w:pPr>
          </w:p>
        </w:tc>
        <w:tc>
          <w:tcPr>
            <w:tcW w:w="1020" w:type="dxa"/>
            <w:vAlign w:val="bottom"/>
            <w:gridSpan w:val="8"/>
          </w:tcPr>
          <w:p>
            <w:pPr>
              <w:spacing w:after="0" w:line="176" w:lineRule="exact"/>
              <w:rPr>
                <w:sz w:val="20"/>
                <w:szCs w:val="20"/>
                <w:color w:val="auto"/>
              </w:rPr>
            </w:pPr>
            <w:r>
              <w:rPr>
                <w:rFonts w:ascii="Arial" w:cs="Arial" w:eastAsia="Arial" w:hAnsi="Arial"/>
                <w:sz w:val="20"/>
                <w:szCs w:val="20"/>
                <w:color w:val="auto"/>
                <w:w w:val="99"/>
              </w:rPr>
              <w:t>Information</w:t>
            </w:r>
          </w:p>
        </w:tc>
        <w:tc>
          <w:tcPr>
            <w:tcW w:w="200" w:type="dxa"/>
            <w:vAlign w:val="bottom"/>
          </w:tcPr>
          <w:p>
            <w:pPr>
              <w:jc w:val="right"/>
              <w:spacing w:after="0" w:line="176" w:lineRule="exact"/>
              <w:rPr>
                <w:sz w:val="20"/>
                <w:szCs w:val="20"/>
                <w:color w:val="auto"/>
              </w:rPr>
            </w:pPr>
            <w:r>
              <w:rPr>
                <w:rFonts w:ascii="Arial" w:cs="Arial" w:eastAsia="Arial" w:hAnsi="Arial"/>
                <w:sz w:val="20"/>
                <w:szCs w:val="20"/>
                <w:color w:val="FF0000"/>
                <w:strike w:val="1"/>
                <w:w w:val="80"/>
              </w:rPr>
              <w:t>71</w:t>
            </w:r>
          </w:p>
        </w:tc>
        <w:tc>
          <w:tcPr>
            <w:tcW w:w="20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20"/>
                <w:szCs w:val="20"/>
                <w:color w:val="0000FF"/>
                <w:w w:val="80"/>
              </w:rPr>
              <w:t>73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1180" w:type="dxa"/>
            <w:vAlign w:val="bottom"/>
          </w:tcPr>
          <w:p>
            <w:pPr>
              <w:spacing w:after="0" w:line="183" w:lineRule="exact"/>
              <w:rPr>
                <w:sz w:val="20"/>
                <w:szCs w:val="20"/>
                <w:color w:val="auto"/>
              </w:rPr>
            </w:pPr>
            <w:r>
              <w:rPr>
                <w:rFonts w:ascii="Arial" w:cs="Arial" w:eastAsia="Arial" w:hAnsi="Arial"/>
                <w:sz w:val="20"/>
                <w:szCs w:val="20"/>
                <w:color w:val="auto"/>
                <w:w w:val="94"/>
              </w:rPr>
              <w:t>Section 10.14</w:t>
            </w:r>
          </w:p>
        </w:tc>
        <w:tc>
          <w:tcPr>
            <w:tcW w:w="2180" w:type="dxa"/>
            <w:vAlign w:val="bottom"/>
            <w:gridSpan w:val="6"/>
          </w:tcPr>
          <w:p>
            <w:pPr>
              <w:ind w:left="100"/>
              <w:spacing w:after="0" w:line="183" w:lineRule="exact"/>
              <w:rPr>
                <w:sz w:val="20"/>
                <w:szCs w:val="20"/>
                <w:color w:val="auto"/>
              </w:rPr>
            </w:pPr>
            <w:r>
              <w:rPr>
                <w:rFonts w:ascii="Arial" w:cs="Arial" w:eastAsia="Arial" w:hAnsi="Arial"/>
                <w:sz w:val="20"/>
                <w:szCs w:val="20"/>
                <w:color w:val="auto"/>
              </w:rPr>
              <w:t>Interest Rate Limitation</w:t>
            </w:r>
          </w:p>
        </w:tc>
        <w:tc>
          <w:tcPr>
            <w:tcW w:w="200" w:type="dxa"/>
            <w:vAlign w:val="bottom"/>
            <w:gridSpan w:val="3"/>
          </w:tcPr>
          <w:p>
            <w:pPr>
              <w:jc w:val="right"/>
              <w:spacing w:after="0" w:line="183" w:lineRule="exact"/>
              <w:rPr>
                <w:sz w:val="20"/>
                <w:szCs w:val="20"/>
                <w:color w:val="auto"/>
              </w:rPr>
            </w:pPr>
            <w:r>
              <w:rPr>
                <w:rFonts w:ascii="Arial" w:cs="Arial" w:eastAsia="Arial" w:hAnsi="Arial"/>
                <w:sz w:val="20"/>
                <w:szCs w:val="20"/>
                <w:color w:val="FF0000"/>
                <w:strike w:val="1"/>
                <w:w w:val="80"/>
              </w:rPr>
              <w:t>72</w:t>
            </w:r>
          </w:p>
        </w:tc>
        <w:tc>
          <w:tcPr>
            <w:tcW w:w="20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0"/>
                <w:szCs w:val="20"/>
                <w:color w:val="0000FF"/>
                <w:w w:val="80"/>
              </w:rPr>
              <w:t>73</w:t>
            </w:r>
          </w:p>
        </w:tc>
        <w:tc>
          <w:tcPr>
            <w:tcW w:w="5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1180" w:type="dxa"/>
            <w:vAlign w:val="bottom"/>
          </w:tcPr>
          <w:p>
            <w:pPr>
              <w:spacing w:after="0" w:line="169" w:lineRule="exact"/>
              <w:rPr>
                <w:sz w:val="20"/>
                <w:szCs w:val="20"/>
                <w:color w:val="auto"/>
              </w:rPr>
            </w:pPr>
            <w:r>
              <w:rPr>
                <w:rFonts w:ascii="Arial" w:cs="Arial" w:eastAsia="Arial" w:hAnsi="Arial"/>
                <w:sz w:val="19"/>
                <w:szCs w:val="19"/>
                <w:color w:val="auto"/>
                <w:w w:val="99"/>
              </w:rPr>
              <w:t>Section 10.15</w:t>
            </w:r>
          </w:p>
        </w:tc>
        <w:tc>
          <w:tcPr>
            <w:tcW w:w="1700" w:type="dxa"/>
            <w:vAlign w:val="bottom"/>
            <w:gridSpan w:val="2"/>
          </w:tcPr>
          <w:p>
            <w:pPr>
              <w:ind w:left="100"/>
              <w:spacing w:after="0" w:line="169" w:lineRule="exact"/>
              <w:rPr>
                <w:sz w:val="20"/>
                <w:szCs w:val="20"/>
                <w:color w:val="auto"/>
              </w:rPr>
            </w:pPr>
            <w:r>
              <w:rPr>
                <w:rFonts w:ascii="Arial" w:cs="Arial" w:eastAsia="Arial" w:hAnsi="Arial"/>
                <w:sz w:val="19"/>
                <w:szCs w:val="19"/>
                <w:color w:val="auto"/>
                <w:w w:val="95"/>
              </w:rPr>
              <w:t>Judgment Currency</w:t>
            </w:r>
          </w:p>
        </w:tc>
        <w:tc>
          <w:tcPr>
            <w:tcW w:w="360" w:type="dxa"/>
            <w:vAlign w:val="bottom"/>
            <w:gridSpan w:val="2"/>
          </w:tcPr>
          <w:p>
            <w:pPr>
              <w:jc w:val="right"/>
              <w:spacing w:after="0" w:line="169" w:lineRule="exact"/>
              <w:rPr>
                <w:sz w:val="20"/>
                <w:szCs w:val="20"/>
                <w:color w:val="auto"/>
              </w:rPr>
            </w:pPr>
            <w:r>
              <w:rPr>
                <w:rFonts w:ascii="Arial" w:cs="Arial" w:eastAsia="Arial" w:hAnsi="Arial"/>
                <w:sz w:val="19"/>
                <w:szCs w:val="19"/>
                <w:color w:val="FF0000"/>
                <w:strike w:val="1"/>
              </w:rPr>
              <w:t>72</w:t>
            </w:r>
          </w:p>
        </w:tc>
        <w:tc>
          <w:tcPr>
            <w:tcW w:w="220" w:type="dxa"/>
            <w:vAlign w:val="bottom"/>
            <w:gridSpan w:val="4"/>
          </w:tcPr>
          <w:p>
            <w:pPr>
              <w:jc w:val="right"/>
              <w:ind w:right="20"/>
              <w:spacing w:after="0" w:line="169" w:lineRule="exact"/>
              <w:rPr>
                <w:sz w:val="20"/>
                <w:szCs w:val="20"/>
                <w:color w:val="auto"/>
              </w:rPr>
            </w:pPr>
            <w:r>
              <w:rPr>
                <w:rFonts w:ascii="Arial" w:cs="Arial" w:eastAsia="Arial" w:hAnsi="Arial"/>
                <w:sz w:val="19"/>
                <w:szCs w:val="19"/>
                <w:color w:val="0000FF"/>
                <w:w w:val="84"/>
              </w:rPr>
              <w:t>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20"/>
                <w:szCs w:val="20"/>
                <w:color w:val="auto"/>
                <w:w w:val="94"/>
              </w:rPr>
              <w:t>Section 10.16</w:t>
            </w:r>
          </w:p>
        </w:tc>
        <w:tc>
          <w:tcPr>
            <w:tcW w:w="1700" w:type="dxa"/>
            <w:vAlign w:val="bottom"/>
            <w:gridSpan w:val="2"/>
          </w:tcPr>
          <w:p>
            <w:pPr>
              <w:ind w:left="100"/>
              <w:spacing w:after="0" w:line="176" w:lineRule="exact"/>
              <w:rPr>
                <w:sz w:val="20"/>
                <w:szCs w:val="20"/>
                <w:color w:val="auto"/>
              </w:rPr>
            </w:pPr>
            <w:r>
              <w:rPr>
                <w:rFonts w:ascii="Arial" w:cs="Arial" w:eastAsia="Arial" w:hAnsi="Arial"/>
                <w:sz w:val="20"/>
                <w:szCs w:val="20"/>
                <w:color w:val="auto"/>
                <w:w w:val="94"/>
              </w:rPr>
              <w:t>USA PATRIOT Act</w:t>
            </w:r>
          </w:p>
        </w:tc>
        <w:tc>
          <w:tcPr>
            <w:tcW w:w="360" w:type="dxa"/>
            <w:vAlign w:val="bottom"/>
            <w:gridSpan w:val="2"/>
          </w:tcPr>
          <w:p>
            <w:pPr>
              <w:jc w:val="right"/>
              <w:spacing w:after="0" w:line="176" w:lineRule="exact"/>
              <w:rPr>
                <w:sz w:val="20"/>
                <w:szCs w:val="20"/>
                <w:color w:val="auto"/>
              </w:rPr>
            </w:pPr>
            <w:r>
              <w:rPr>
                <w:rFonts w:ascii="Arial" w:cs="Arial" w:eastAsia="Arial" w:hAnsi="Arial"/>
                <w:sz w:val="20"/>
                <w:szCs w:val="20"/>
                <w:color w:val="FF0000"/>
                <w:strike w:val="1"/>
              </w:rPr>
              <w:t>72</w:t>
            </w: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bottom w:val="single" w:sz="8" w:color="0000FF"/>
            </w:tcBorders>
            <w:gridSpan w:val="2"/>
          </w:tcPr>
          <w:p>
            <w:pPr>
              <w:jc w:val="right"/>
              <w:spacing w:after="0" w:line="176" w:lineRule="exact"/>
              <w:rPr>
                <w:sz w:val="20"/>
                <w:szCs w:val="20"/>
                <w:color w:val="auto"/>
              </w:rPr>
            </w:pPr>
            <w:r>
              <w:rPr>
                <w:rFonts w:ascii="Arial" w:cs="Arial" w:eastAsia="Arial" w:hAnsi="Arial"/>
                <w:sz w:val="20"/>
                <w:szCs w:val="20"/>
                <w:color w:val="0000FF"/>
                <w:w w:val="71"/>
              </w:rPr>
              <w:t>74</w:t>
            </w:r>
          </w:p>
        </w:tc>
        <w:tc>
          <w:tcPr>
            <w:tcW w:w="20" w:type="dxa"/>
            <w:vAlign w:val="bottom"/>
            <w:tcBorders>
              <w:bottom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1180" w:type="dxa"/>
            <w:vAlign w:val="bottom"/>
          </w:tcPr>
          <w:p>
            <w:pPr>
              <w:spacing w:after="0" w:line="183" w:lineRule="exact"/>
              <w:rPr>
                <w:sz w:val="20"/>
                <w:szCs w:val="20"/>
                <w:color w:val="auto"/>
              </w:rPr>
            </w:pPr>
            <w:r>
              <w:rPr>
                <w:rFonts w:ascii="Arial" w:cs="Arial" w:eastAsia="Arial" w:hAnsi="Arial"/>
                <w:sz w:val="20"/>
                <w:szCs w:val="20"/>
                <w:color w:val="auto"/>
                <w:w w:val="94"/>
              </w:rPr>
              <w:t>Section 10.17</w:t>
            </w:r>
          </w:p>
        </w:tc>
        <w:tc>
          <w:tcPr>
            <w:tcW w:w="2080" w:type="dxa"/>
            <w:vAlign w:val="bottom"/>
            <w:gridSpan w:val="5"/>
          </w:tcPr>
          <w:p>
            <w:pPr>
              <w:ind w:left="100"/>
              <w:spacing w:after="0" w:line="183" w:lineRule="exact"/>
              <w:rPr>
                <w:sz w:val="20"/>
                <w:szCs w:val="20"/>
                <w:color w:val="auto"/>
              </w:rPr>
            </w:pPr>
            <w:r>
              <w:rPr>
                <w:rFonts w:ascii="Arial" w:cs="Arial" w:eastAsia="Arial" w:hAnsi="Arial"/>
                <w:sz w:val="20"/>
                <w:szCs w:val="20"/>
                <w:color w:val="auto"/>
                <w:w w:val="89"/>
              </w:rPr>
              <w:t>No Advisory or Fiduciary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6"/>
          </w:tcPr>
          <w:p>
            <w:pPr>
              <w:spacing w:after="0" w:line="183" w:lineRule="exact"/>
              <w:rPr>
                <w:sz w:val="20"/>
                <w:szCs w:val="20"/>
                <w:color w:val="auto"/>
              </w:rPr>
            </w:pPr>
            <w:r>
              <w:rPr>
                <w:rFonts w:ascii="Arial" w:cs="Arial" w:eastAsia="Arial" w:hAnsi="Arial"/>
                <w:sz w:val="20"/>
                <w:szCs w:val="20"/>
                <w:color w:val="auto"/>
              </w:rPr>
              <w:t>Responsibility</w:t>
            </w:r>
          </w:p>
        </w:tc>
        <w:tc>
          <w:tcPr>
            <w:tcW w:w="200" w:type="dxa"/>
            <w:vAlign w:val="bottom"/>
          </w:tcPr>
          <w:p>
            <w:pPr>
              <w:jc w:val="right"/>
              <w:spacing w:after="0" w:line="183" w:lineRule="exact"/>
              <w:rPr>
                <w:sz w:val="20"/>
                <w:szCs w:val="20"/>
                <w:color w:val="auto"/>
              </w:rPr>
            </w:pPr>
            <w:r>
              <w:rPr>
                <w:rFonts w:ascii="Arial" w:cs="Arial" w:eastAsia="Arial" w:hAnsi="Arial"/>
                <w:sz w:val="20"/>
                <w:szCs w:val="20"/>
                <w:color w:val="FF0000"/>
                <w:strike w:val="1"/>
                <w:w w:val="80"/>
              </w:rPr>
              <w:t>73</w:t>
            </w:r>
          </w:p>
        </w:tc>
        <w:tc>
          <w:tcPr>
            <w:tcW w:w="200" w:type="dxa"/>
            <w:vAlign w:val="bottom"/>
            <w:tcBorders>
              <w:bottom w:val="single" w:sz="8" w:color="0000FF"/>
            </w:tcBorders>
          </w:tcPr>
          <w:p>
            <w:pPr>
              <w:spacing w:after="0" w:line="183" w:lineRule="exact"/>
              <w:rPr>
                <w:sz w:val="20"/>
                <w:szCs w:val="20"/>
                <w:color w:val="auto"/>
              </w:rPr>
            </w:pPr>
            <w:r>
              <w:rPr>
                <w:rFonts w:ascii="Arial" w:cs="Arial" w:eastAsia="Arial" w:hAnsi="Arial"/>
                <w:sz w:val="20"/>
                <w:szCs w:val="20"/>
                <w:color w:val="0000FF"/>
                <w:w w:val="80"/>
              </w:rPr>
              <w:t>74</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1180" w:type="dxa"/>
            <w:vAlign w:val="bottom"/>
          </w:tcPr>
          <w:p>
            <w:pPr>
              <w:spacing w:after="0" w:line="169" w:lineRule="exact"/>
              <w:rPr>
                <w:sz w:val="20"/>
                <w:szCs w:val="20"/>
                <w:color w:val="auto"/>
              </w:rPr>
            </w:pPr>
            <w:r>
              <w:rPr>
                <w:rFonts w:ascii="Arial" w:cs="Arial" w:eastAsia="Arial" w:hAnsi="Arial"/>
                <w:sz w:val="19"/>
                <w:szCs w:val="19"/>
                <w:color w:val="auto"/>
                <w:w w:val="99"/>
              </w:rPr>
              <w:t>Section 10.18</w:t>
            </w:r>
          </w:p>
        </w:tc>
        <w:tc>
          <w:tcPr>
            <w:tcW w:w="3740" w:type="dxa"/>
            <w:vAlign w:val="bottom"/>
            <w:gridSpan w:val="15"/>
          </w:tcPr>
          <w:p>
            <w:pPr>
              <w:ind w:left="100"/>
              <w:spacing w:after="0" w:line="169" w:lineRule="exact"/>
              <w:rPr>
                <w:sz w:val="20"/>
                <w:szCs w:val="20"/>
                <w:color w:val="auto"/>
              </w:rPr>
            </w:pPr>
            <w:r>
              <w:rPr>
                <w:rFonts w:ascii="Arial" w:cs="Arial" w:eastAsia="Arial" w:hAnsi="Arial"/>
                <w:sz w:val="19"/>
                <w:szCs w:val="19"/>
                <w:color w:val="auto"/>
              </w:rPr>
              <w:t>Acknowledgment and Consent to Bail-In of</w:t>
            </w:r>
          </w:p>
        </w:tc>
        <w:tc>
          <w:tcPr>
            <w:tcW w:w="2480" w:type="dxa"/>
            <w:vAlign w:val="bottom"/>
            <w:gridSpan w:val="8"/>
          </w:tcPr>
          <w:p>
            <w:pPr>
              <w:spacing w:after="0" w:line="169" w:lineRule="exact"/>
              <w:rPr>
                <w:sz w:val="20"/>
                <w:szCs w:val="20"/>
                <w:color w:val="auto"/>
              </w:rPr>
            </w:pPr>
            <w:r>
              <w:rPr>
                <w:rFonts w:ascii="Arial" w:cs="Arial" w:eastAsia="Arial" w:hAnsi="Arial"/>
                <w:sz w:val="19"/>
                <w:szCs w:val="19"/>
                <w:color w:val="auto"/>
                <w:w w:val="99"/>
              </w:rPr>
              <w:t>Affected Financial Institutions</w:t>
            </w:r>
          </w:p>
        </w:tc>
        <w:tc>
          <w:tcPr>
            <w:tcW w:w="200" w:type="dxa"/>
            <w:vAlign w:val="bottom"/>
          </w:tcPr>
          <w:p>
            <w:pPr>
              <w:jc w:val="right"/>
              <w:spacing w:after="0" w:line="169" w:lineRule="exact"/>
              <w:rPr>
                <w:sz w:val="20"/>
                <w:szCs w:val="20"/>
                <w:color w:val="auto"/>
              </w:rPr>
            </w:pPr>
            <w:r>
              <w:rPr>
                <w:rFonts w:ascii="Arial" w:cs="Arial" w:eastAsia="Arial" w:hAnsi="Arial"/>
                <w:sz w:val="19"/>
                <w:szCs w:val="19"/>
                <w:color w:val="FF0000"/>
                <w:strike w:val="1"/>
                <w:w w:val="84"/>
              </w:rPr>
              <w:t>73</w:t>
            </w:r>
          </w:p>
        </w:tc>
        <w:tc>
          <w:tcPr>
            <w:tcW w:w="200" w:type="dxa"/>
            <w:vAlign w:val="bottom"/>
            <w:tcBorders>
              <w:bottom w:val="single" w:sz="8" w:color="0000FF"/>
            </w:tcBorders>
          </w:tcPr>
          <w:p>
            <w:pPr>
              <w:jc w:val="right"/>
              <w:spacing w:after="0" w:line="169" w:lineRule="exact"/>
              <w:rPr>
                <w:sz w:val="20"/>
                <w:szCs w:val="20"/>
                <w:color w:val="auto"/>
              </w:rPr>
            </w:pPr>
            <w:r>
              <w:rPr>
                <w:rFonts w:ascii="Arial" w:cs="Arial" w:eastAsia="Arial" w:hAnsi="Arial"/>
                <w:sz w:val="19"/>
                <w:szCs w:val="19"/>
                <w:color w:val="0000FF"/>
                <w:w w:val="84"/>
              </w:rPr>
              <w:t>74</w:t>
            </w:r>
          </w:p>
        </w:tc>
      </w:tr>
      <w:tr>
        <w:trPr>
          <w:trHeight w:val="176"/>
        </w:trPr>
        <w:tc>
          <w:tcPr>
            <w:tcW w:w="1180" w:type="dxa"/>
            <w:vAlign w:val="bottom"/>
          </w:tcPr>
          <w:p>
            <w:pPr>
              <w:spacing w:after="0" w:line="176" w:lineRule="exact"/>
              <w:rPr>
                <w:sz w:val="20"/>
                <w:szCs w:val="20"/>
                <w:color w:val="auto"/>
              </w:rPr>
            </w:pPr>
            <w:r>
              <w:rPr>
                <w:rFonts w:ascii="Arial" w:cs="Arial" w:eastAsia="Arial" w:hAnsi="Arial"/>
                <w:sz w:val="20"/>
                <w:szCs w:val="20"/>
                <w:color w:val="auto"/>
                <w:w w:val="94"/>
              </w:rPr>
              <w:t>Section 10.19</w:t>
            </w:r>
          </w:p>
        </w:tc>
        <w:tc>
          <w:tcPr>
            <w:tcW w:w="4420" w:type="dxa"/>
            <w:vAlign w:val="bottom"/>
            <w:gridSpan w:val="17"/>
          </w:tcPr>
          <w:p>
            <w:pPr>
              <w:ind w:left="100"/>
              <w:spacing w:after="0" w:line="176" w:lineRule="exact"/>
              <w:rPr>
                <w:sz w:val="20"/>
                <w:szCs w:val="20"/>
                <w:color w:val="auto"/>
              </w:rPr>
            </w:pPr>
            <w:r>
              <w:rPr>
                <w:rFonts w:ascii="Arial" w:cs="Arial" w:eastAsia="Arial" w:hAnsi="Arial"/>
                <w:sz w:val="20"/>
                <w:szCs w:val="20"/>
                <w:color w:val="auto"/>
                <w:w w:val="94"/>
              </w:rPr>
              <w:t>Acknowledgement Regarding Any Supported QFCs</w:t>
            </w:r>
          </w:p>
        </w:tc>
        <w:tc>
          <w:tcPr>
            <w:tcW w:w="200" w:type="dxa"/>
            <w:vAlign w:val="bottom"/>
          </w:tcPr>
          <w:p>
            <w:pPr>
              <w:jc w:val="right"/>
              <w:spacing w:after="0" w:line="176" w:lineRule="exact"/>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spacing w:after="0" w:line="176" w:lineRule="exact"/>
              <w:rPr>
                <w:sz w:val="20"/>
                <w:szCs w:val="20"/>
                <w:color w:val="auto"/>
              </w:rPr>
            </w:pPr>
            <w:r>
              <w:rPr>
                <w:rFonts w:ascii="Arial" w:cs="Arial" w:eastAsia="Arial" w:hAnsi="Arial"/>
                <w:sz w:val="20"/>
                <w:szCs w:val="20"/>
                <w:color w:val="0000FF"/>
                <w:w w:val="80"/>
              </w:rPr>
              <w:t>75</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1180" w:type="dxa"/>
            <w:vAlign w:val="bottom"/>
          </w:tcPr>
          <w:p>
            <w:pPr>
              <w:spacing w:after="0" w:line="183" w:lineRule="exact"/>
              <w:rPr>
                <w:sz w:val="20"/>
                <w:szCs w:val="20"/>
                <w:color w:val="auto"/>
              </w:rPr>
            </w:pPr>
            <w:r>
              <w:rPr>
                <w:rFonts w:ascii="Arial" w:cs="Arial" w:eastAsia="Arial" w:hAnsi="Arial"/>
                <w:sz w:val="20"/>
                <w:szCs w:val="20"/>
                <w:color w:val="auto"/>
                <w:w w:val="94"/>
              </w:rPr>
              <w:t>Section 10.20</w:t>
            </w:r>
          </w:p>
        </w:tc>
        <w:tc>
          <w:tcPr>
            <w:tcW w:w="4620" w:type="dxa"/>
            <w:vAlign w:val="bottom"/>
            <w:gridSpan w:val="18"/>
          </w:tcPr>
          <w:p>
            <w:pPr>
              <w:ind w:left="100"/>
              <w:spacing w:after="0" w:line="183" w:lineRule="exact"/>
              <w:rPr>
                <w:sz w:val="20"/>
                <w:szCs w:val="20"/>
                <w:color w:val="auto"/>
              </w:rPr>
            </w:pPr>
            <w:r>
              <w:rPr>
                <w:rFonts w:ascii="Arial" w:cs="Arial" w:eastAsia="Arial" w:hAnsi="Arial"/>
                <w:sz w:val="20"/>
                <w:szCs w:val="20"/>
                <w:color w:val="auto"/>
                <w:w w:val="92"/>
              </w:rPr>
              <w:t>Electronic Execution of Assignments and Certain Other</w:t>
            </w:r>
          </w:p>
        </w:tc>
        <w:tc>
          <w:tcPr>
            <w:tcW w:w="1040" w:type="dxa"/>
            <w:vAlign w:val="bottom"/>
            <w:gridSpan w:val="2"/>
          </w:tcPr>
          <w:p>
            <w:pPr>
              <w:spacing w:after="0" w:line="183" w:lineRule="exact"/>
              <w:rPr>
                <w:sz w:val="20"/>
                <w:szCs w:val="20"/>
                <w:color w:val="auto"/>
              </w:rPr>
            </w:pPr>
            <w:r>
              <w:rPr>
                <w:rFonts w:ascii="Arial" w:cs="Arial" w:eastAsia="Arial" w:hAnsi="Arial"/>
                <w:sz w:val="20"/>
                <w:szCs w:val="20"/>
                <w:color w:val="auto"/>
              </w:rPr>
              <w:t>Documents</w:t>
            </w:r>
          </w:p>
        </w:tc>
        <w:tc>
          <w:tcPr>
            <w:tcW w:w="200" w:type="dxa"/>
            <w:vAlign w:val="bottom"/>
          </w:tcPr>
          <w:p>
            <w:pPr>
              <w:jc w:val="right"/>
              <w:spacing w:after="0" w:line="183" w:lineRule="exact"/>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jc w:val="right"/>
              <w:spacing w:after="0" w:line="183" w:lineRule="exact"/>
              <w:rPr>
                <w:sz w:val="20"/>
                <w:szCs w:val="20"/>
                <w:color w:val="auto"/>
              </w:rPr>
            </w:pPr>
            <w:r>
              <w:rPr>
                <w:rFonts w:ascii="Arial" w:cs="Arial" w:eastAsia="Arial" w:hAnsi="Arial"/>
                <w:sz w:val="20"/>
                <w:szCs w:val="20"/>
                <w:color w:val="0000FF"/>
                <w:w w:val="80"/>
              </w:rPr>
              <w:t>76</w:t>
            </w:r>
          </w:p>
        </w:tc>
        <w:tc>
          <w:tcPr>
            <w:tcW w:w="560" w:type="dxa"/>
            <w:vAlign w:val="bottom"/>
            <w:gridSpan w:val="3"/>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480"/>
          </w:cols>
          <w:pgMar w:left="980" w:top="98" w:right="4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SCHEDULES:</w:t>
      </w:r>
    </w:p>
    <w:p>
      <w:pPr>
        <w:spacing w:after="0" w:line="197" w:lineRule="auto"/>
        <w:rPr>
          <w:sz w:val="20"/>
          <w:szCs w:val="20"/>
          <w:color w:val="auto"/>
        </w:rPr>
      </w:pPr>
      <w:r>
        <w:rPr>
          <w:rFonts w:ascii="Arial" w:cs="Arial" w:eastAsia="Arial" w:hAnsi="Arial"/>
          <w:sz w:val="20"/>
          <w:szCs w:val="20"/>
          <w:color w:val="auto"/>
        </w:rPr>
        <w:t>Schedule 1.01(a) – Lenders and Commitments</w:t>
      </w:r>
    </w:p>
    <w:p>
      <w:pPr>
        <w:spacing w:after="0" w:line="211" w:lineRule="auto"/>
        <w:rPr>
          <w:sz w:val="20"/>
          <w:szCs w:val="20"/>
          <w:color w:val="auto"/>
        </w:rPr>
      </w:pPr>
      <w:r>
        <w:rPr>
          <w:rFonts w:ascii="Arial" w:cs="Arial" w:eastAsia="Arial" w:hAnsi="Arial"/>
          <w:sz w:val="20"/>
          <w:szCs w:val="20"/>
          <w:color w:val="auto"/>
        </w:rPr>
        <w:t>Schedule 1.01(b) – Subsidiary Guarantors</w:t>
      </w:r>
    </w:p>
    <w:p>
      <w:pPr>
        <w:spacing w:after="0" w:line="211" w:lineRule="auto"/>
        <w:rPr>
          <w:sz w:val="20"/>
          <w:szCs w:val="20"/>
          <w:color w:val="auto"/>
        </w:rPr>
      </w:pPr>
      <w:r>
        <w:rPr>
          <w:rFonts w:ascii="Arial" w:cs="Arial" w:eastAsia="Arial" w:hAnsi="Arial"/>
          <w:sz w:val="20"/>
          <w:szCs w:val="20"/>
          <w:color w:val="auto"/>
        </w:rPr>
        <w:t>Schedule 3.14 – Subsidiaries</w:t>
      </w:r>
    </w:p>
    <w:p>
      <w:pPr>
        <w:spacing w:after="0" w:line="198" w:lineRule="auto"/>
        <w:rPr>
          <w:sz w:val="20"/>
          <w:szCs w:val="20"/>
          <w:color w:val="auto"/>
        </w:rPr>
      </w:pPr>
      <w:r>
        <w:rPr>
          <w:rFonts w:ascii="Arial" w:cs="Arial" w:eastAsia="Arial" w:hAnsi="Arial"/>
          <w:sz w:val="20"/>
          <w:szCs w:val="20"/>
          <w:color w:val="auto"/>
        </w:rPr>
        <w:t>Schedule 6.03 – Existing Liens</w:t>
      </w:r>
    </w:p>
    <w:p>
      <w:pPr>
        <w:spacing w:after="0"/>
        <w:rPr>
          <w:sz w:val="20"/>
          <w:szCs w:val="20"/>
          <w:color w:val="auto"/>
        </w:rPr>
      </w:pPr>
      <w:r>
        <w:rPr>
          <w:rFonts w:ascii="Arial" w:cs="Arial" w:eastAsia="Arial" w:hAnsi="Arial"/>
          <w:sz w:val="20"/>
          <w:szCs w:val="20"/>
          <w:color w:val="auto"/>
        </w:rPr>
        <w:t>Schedule 6.04 – Existing Indebtedness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197" w:lineRule="auto"/>
        <w:rPr>
          <w:sz w:val="20"/>
          <w:szCs w:val="20"/>
          <w:color w:val="auto"/>
        </w:rPr>
      </w:pPr>
      <w:r>
        <w:rPr>
          <w:rFonts w:ascii="Arial" w:cs="Arial" w:eastAsia="Arial" w:hAnsi="Arial"/>
          <w:sz w:val="20"/>
          <w:szCs w:val="20"/>
          <w:color w:val="auto"/>
        </w:rPr>
        <w:t>Exhibit A – Form of Assignment and Assumption</w:t>
      </w:r>
    </w:p>
    <w:p>
      <w:pPr>
        <w:spacing w:after="0" w:line="211" w:lineRule="auto"/>
        <w:rPr>
          <w:sz w:val="20"/>
          <w:szCs w:val="20"/>
          <w:color w:val="auto"/>
        </w:rPr>
      </w:pPr>
      <w:r>
        <w:rPr>
          <w:rFonts w:ascii="Arial" w:cs="Arial" w:eastAsia="Arial" w:hAnsi="Arial"/>
          <w:sz w:val="20"/>
          <w:szCs w:val="20"/>
          <w:color w:val="auto"/>
        </w:rPr>
        <w:t>Exhibit B – Form of Compliance Certificate</w:t>
      </w:r>
    </w:p>
    <w:p>
      <w:pPr>
        <w:spacing w:after="0" w:line="235" w:lineRule="auto"/>
        <w:rPr>
          <w:sz w:val="20"/>
          <w:szCs w:val="20"/>
          <w:color w:val="auto"/>
        </w:rPr>
      </w:pPr>
      <w:r>
        <w:rPr>
          <w:rFonts w:ascii="Arial" w:cs="Arial" w:eastAsia="Arial" w:hAnsi="Arial"/>
          <w:sz w:val="18"/>
          <w:szCs w:val="18"/>
          <w:color w:val="auto"/>
        </w:rPr>
        <w:t xml:space="preserve">Exhibit C-1 – U.S. Tax Certificate (For Non-U.S. Lenders that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Partnerships for U.S. Federal Income Tax Purposes)</w:t>
      </w:r>
    </w:p>
    <w:p>
      <w:pPr>
        <w:spacing w:after="0" w:line="219" w:lineRule="auto"/>
        <w:rPr>
          <w:sz w:val="20"/>
          <w:szCs w:val="20"/>
          <w:color w:val="auto"/>
        </w:rPr>
      </w:pPr>
      <w:r>
        <w:rPr>
          <w:rFonts w:ascii="Arial" w:cs="Arial" w:eastAsia="Arial" w:hAnsi="Arial"/>
          <w:sz w:val="18"/>
          <w:szCs w:val="18"/>
          <w:color w:val="auto"/>
        </w:rPr>
        <w:t xml:space="preserve">Exhibit C-2 – U.S. Tax Certificate (For Non-U.S. Participants that </w:t>
      </w:r>
      <w:r>
        <w:rPr>
          <w:rFonts w:ascii="Arial" w:cs="Arial" w:eastAsia="Arial" w:hAnsi="Arial"/>
          <w:sz w:val="18"/>
          <w:szCs w:val="18"/>
          <w:u w:val="single" w:color="auto"/>
          <w:color w:val="auto"/>
        </w:rPr>
        <w:t>are</w:t>
      </w:r>
      <w:r>
        <w:rPr>
          <w:rFonts w:ascii="Arial" w:cs="Arial" w:eastAsia="Arial" w:hAnsi="Arial"/>
          <w:sz w:val="18"/>
          <w:szCs w:val="18"/>
          <w:color w:val="auto"/>
        </w:rPr>
        <w:t xml:space="preserve"> Partnerships for U.S. Federal Income Tax Purposes)</w:t>
      </w:r>
    </w:p>
    <w:p>
      <w:pPr>
        <w:spacing w:after="0"/>
        <w:rPr>
          <w:sz w:val="20"/>
          <w:szCs w:val="20"/>
          <w:color w:val="auto"/>
        </w:rPr>
      </w:pPr>
      <w:r>
        <w:rPr>
          <w:rFonts w:ascii="Arial" w:cs="Arial" w:eastAsia="Arial" w:hAnsi="Arial"/>
          <w:sz w:val="16"/>
          <w:szCs w:val="16"/>
          <w:color w:val="auto"/>
        </w:rPr>
        <w:t xml:space="preserve">Exhibit C-3 – U.S. Tax Certificate (For Non-U.S. Participants that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Partnerships for U.S. Federal Income Tax Purposes)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Exhibit C-4 – U.S. Tax Certificate (For Non-U.S. Lenders that </w:t>
      </w:r>
      <w:r>
        <w:rPr>
          <w:rFonts w:ascii="Arial" w:cs="Arial" w:eastAsia="Arial" w:hAnsi="Arial"/>
          <w:sz w:val="19"/>
          <w:szCs w:val="19"/>
          <w:u w:val="single" w:color="auto"/>
          <w:color w:val="auto"/>
        </w:rPr>
        <w:t>are</w:t>
      </w:r>
      <w:r>
        <w:rPr>
          <w:rFonts w:ascii="Arial" w:cs="Arial" w:eastAsia="Arial" w:hAnsi="Arial"/>
          <w:sz w:val="19"/>
          <w:szCs w:val="19"/>
          <w:color w:val="auto"/>
        </w:rPr>
        <w:t xml:space="preserve"> Partnerships for U.S. Federal Income Tax Purposes)</w:t>
      </w:r>
    </w:p>
    <w:p>
      <w:pPr>
        <w:spacing w:after="0" w:line="197" w:lineRule="auto"/>
        <w:rPr>
          <w:sz w:val="20"/>
          <w:szCs w:val="20"/>
          <w:color w:val="auto"/>
        </w:rPr>
      </w:pPr>
      <w:r>
        <w:rPr>
          <w:rFonts w:ascii="Arial" w:cs="Arial" w:eastAsia="Arial" w:hAnsi="Arial"/>
          <w:sz w:val="20"/>
          <w:szCs w:val="20"/>
          <w:color w:val="auto"/>
        </w:rPr>
        <w:t>Exhibit D – Form of Note</w:t>
      </w:r>
    </w:p>
    <w:p>
      <w:pPr>
        <w:spacing w:after="0" w:line="211" w:lineRule="auto"/>
        <w:rPr>
          <w:sz w:val="20"/>
          <w:szCs w:val="20"/>
          <w:color w:val="auto"/>
        </w:rPr>
      </w:pPr>
      <w:r>
        <w:rPr>
          <w:rFonts w:ascii="Arial" w:cs="Arial" w:eastAsia="Arial" w:hAnsi="Arial"/>
          <w:sz w:val="20"/>
          <w:szCs w:val="20"/>
          <w:color w:val="auto"/>
        </w:rPr>
        <w:t>Exhibit E – Form of Borrowing Request</w:t>
      </w:r>
    </w:p>
    <w:p>
      <w:pPr>
        <w:spacing w:after="0" w:line="211" w:lineRule="auto"/>
        <w:rPr>
          <w:sz w:val="20"/>
          <w:szCs w:val="20"/>
          <w:color w:val="auto"/>
        </w:rPr>
      </w:pPr>
      <w:r>
        <w:rPr>
          <w:rFonts w:ascii="Arial" w:cs="Arial" w:eastAsia="Arial" w:hAnsi="Arial"/>
          <w:sz w:val="20"/>
          <w:szCs w:val="20"/>
          <w:color w:val="auto"/>
        </w:rPr>
        <w:t>Exhibit F – Form of Solvency Certificate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Exhibit G – Form of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0139"/>
          </w:cols>
          <w:pgMar w:left="320" w:top="1394"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This TERM LOAN AGREEMENT is entered into as of December 17, 2021, among THE COOPER COMPANIES, INC., a Delaware</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Lenders from time to time party hereto and PNC BANK, NATIONAL ASSOCIATION, as Administrative Agent (each, as defined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18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I</w:t>
      </w:r>
    </w:p>
    <w:p>
      <w:pPr>
        <w:spacing w:after="0" w:line="14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DEFINITIONS</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means any transaction or series of related transactions for the purpose of or resulting, directly or indirectly, in (i)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acquisition of all or substantially all of the assets of any Person, or any business line or unit or division of any Person, or (ii) the acquisition or ownership of in excess of 50% of the Equity Interests of any Person, in each case whether by purchase, merger, consolidation,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amalgamation or any other combination with such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Commitment Lender</w:t>
      </w:r>
      <w:r>
        <w:rPr>
          <w:rFonts w:ascii="Arial" w:cs="Arial" w:eastAsia="Arial" w:hAnsi="Arial"/>
          <w:sz w:val="20"/>
          <w:szCs w:val="20"/>
          <w:color w:val="auto"/>
        </w:rPr>
        <w:t>” has the meaning assigned to such term in Section 2.22(d).</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Credit Extension Amendment</w:t>
      </w:r>
      <w:r>
        <w:rPr>
          <w:rFonts w:ascii="Arial" w:cs="Arial" w:eastAsia="Arial" w:hAnsi="Arial"/>
          <w:sz w:val="20"/>
          <w:szCs w:val="20"/>
          <w:color w:val="auto"/>
        </w:rPr>
        <w:t>” means an amendment to this Agreement providing for any Incremental Term Loans which shall be consistent with the applicable provisions of this Agreement relating to Incremental Term Loans and otherwise satisfactory to the Administrative Agent and the Borrower.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Adjusted LIBO Rate</w:t>
      </w:r>
      <w:r>
        <w:rPr>
          <w:rFonts w:ascii="Arial" w:cs="Arial" w:eastAsia="Arial" w:hAnsi="Arial"/>
          <w:sz w:val="18"/>
          <w:szCs w:val="18"/>
          <w:color w:val="FF0000"/>
          <w:strike w:val="1"/>
        </w:rPr>
        <w:t>” means with respect to each Interest Period for a Eurodollar Loan, the interest rate per annum determined by</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the Administrative Agent by dividing (the resulting quotient rounded upwards to the nearest 1/100,000 of 1% (i.e., the fifth digit after the decimal)) (a) the rate which appears on the Bloomberg Page BBAM1 (or on such other substitute Bloomberg page that displays rates at</w:t>
      </w:r>
    </w:p>
    <w:p>
      <w:pPr>
        <w:spacing w:after="0" w:line="236" w:lineRule="auto"/>
        <w:rPr>
          <w:sz w:val="20"/>
          <w:szCs w:val="20"/>
          <w:color w:val="auto"/>
        </w:rPr>
      </w:pPr>
      <w:r>
        <w:rPr>
          <w:rFonts w:ascii="Arial" w:cs="Arial" w:eastAsia="Arial" w:hAnsi="Arial"/>
          <w:sz w:val="18"/>
          <w:szCs w:val="18"/>
          <w:color w:val="FF0000"/>
          <w:strike w:val="1"/>
        </w:rPr>
        <w:t>which Dollar deposits are offered by leading banks in the London interbank deposit market), or the rate which is quoted by another source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selected by the Administrative Agent as an authorized information vendor for the purpose of displaying rates at which Dollar deposits are offered by leading banks in the London interbank deposit market (an “</w:t>
      </w:r>
      <w:r>
        <w:rPr>
          <w:rFonts w:ascii="Arial" w:cs="Arial" w:eastAsia="Arial" w:hAnsi="Arial"/>
          <w:sz w:val="18"/>
          <w:szCs w:val="18"/>
          <w:b w:val="1"/>
          <w:bCs w:val="1"/>
          <w:i w:val="1"/>
          <w:iCs w:val="1"/>
          <w:color w:val="FF0000"/>
          <w:strike w:val="1"/>
        </w:rPr>
        <w:t>Alternate Source</w:t>
      </w:r>
      <w:r>
        <w:rPr>
          <w:rFonts w:ascii="Arial" w:cs="Arial" w:eastAsia="Arial" w:hAnsi="Arial"/>
          <w:sz w:val="18"/>
          <w:szCs w:val="18"/>
          <w:color w:val="FF0000"/>
          <w:strike w:val="1"/>
        </w:rPr>
        <w:t>”), at approximately 11:00 a.m., London time, two (2)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Business Days prior to the commencement of such Interest Period as the London interbank offered rate for Dollars for an amount comparable</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to such Eurodollar Loan and having a borrowing date and a maturity comparable to such Interest Period (or if there shall at any time, for any reason, no longer exist a Bloomberg Page BBAM1 (or any substitute page) or any Alternate Source, a comparable replacement rate</w:t>
      </w:r>
    </w:p>
    <w:p>
      <w:pPr>
        <w:spacing w:after="0" w:line="236" w:lineRule="auto"/>
        <w:rPr>
          <w:sz w:val="20"/>
          <w:szCs w:val="20"/>
          <w:color w:val="auto"/>
        </w:rPr>
      </w:pPr>
      <w:r>
        <w:rPr>
          <w:rFonts w:ascii="Arial" w:cs="Arial" w:eastAsia="Arial" w:hAnsi="Arial"/>
          <w:sz w:val="18"/>
          <w:szCs w:val="18"/>
          <w:color w:val="FF0000"/>
          <w:strike w:val="1"/>
        </w:rPr>
        <w:t>determined by the Administrative Agent at such time (which determination shall be conclusive absent manifest error)), by (b) a number equal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to 1.00 minus the LIBOR Reserve Percentage. Notwithstanding the foregoing, if the Adjusted LIBO Rate as determined under any method above would be less than zero percent (0.00%), such rate shall be deemed to be zero percent (0.00%) for purposes of this Agreement. The</w:t>
      </w:r>
    </w:p>
    <w:p>
      <w:pPr>
        <w:spacing w:after="0" w:line="236" w:lineRule="auto"/>
        <w:rPr>
          <w:sz w:val="20"/>
          <w:szCs w:val="20"/>
          <w:color w:val="auto"/>
        </w:rPr>
      </w:pPr>
      <w:r>
        <w:rPr>
          <w:rFonts w:ascii="Arial" w:cs="Arial" w:eastAsia="Arial" w:hAnsi="Arial"/>
          <w:sz w:val="18"/>
          <w:szCs w:val="18"/>
          <w:color w:val="FF0000"/>
          <w:strike w:val="1"/>
        </w:rPr>
        <w:t>Adjusted LIBO Rate shall be adjusted with respect to any Eurodollar Loan that is outstanding on the effective date of any change in the</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FF0000"/>
          <w:strike w:val="1"/>
        </w:rPr>
        <w:t>LIBOR Reserve Percentage as of such effective date. The Administrative Agent shall give prompt notice to the Borrower of the Adjusted LIBO Rate as determined or adjusted in accordance herewith, which determination shall be conclusive absent manifest error.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Adjusted Term SOFR</w:t>
      </w:r>
      <w:r>
        <w:rPr>
          <w:rFonts w:ascii="Arial" w:cs="Arial" w:eastAsia="Arial" w:hAnsi="Arial"/>
          <w:sz w:val="18"/>
          <w:szCs w:val="18"/>
          <w:u w:val="single" w:color="auto"/>
          <w:color w:val="0000FF"/>
        </w:rPr>
        <w:t>” means for any Interest Period with respect to a Term SOFR Loan, a rate per annum equal to the sum of (a)</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u w:val="single" w:color="auto"/>
          <w:color w:val="0000FF"/>
        </w:rPr>
        <w:t xml:space="preserve">Term SOFR for such Interest Period and (b) the SOFR Index Adjustment; </w:t>
      </w:r>
      <w:r>
        <w:rPr>
          <w:rFonts w:ascii="Arial" w:cs="Arial" w:eastAsia="Arial" w:hAnsi="Arial"/>
          <w:sz w:val="20"/>
          <w:szCs w:val="20"/>
          <w:i w:val="1"/>
          <w:iCs w:val="1"/>
          <w:u w:val="single" w:color="auto"/>
          <w:color w:val="0000FF"/>
        </w:rPr>
        <w:t>provided</w:t>
      </w:r>
      <w:r>
        <w:rPr>
          <w:rFonts w:ascii="Arial" w:cs="Arial" w:eastAsia="Arial" w:hAnsi="Arial"/>
          <w:sz w:val="20"/>
          <w:szCs w:val="20"/>
          <w:u w:val="single" w:color="auto"/>
          <w:color w:val="0000FF"/>
        </w:rPr>
        <w:t xml:space="preserve">, </w:t>
      </w:r>
      <w:r>
        <w:rPr>
          <w:rFonts w:ascii="Arial" w:cs="Arial" w:eastAsia="Arial" w:hAnsi="Arial"/>
          <w:sz w:val="20"/>
          <w:szCs w:val="20"/>
          <w:i w:val="1"/>
          <w:iCs w:val="1"/>
          <w:u w:val="single" w:color="auto"/>
          <w:color w:val="0000FF"/>
        </w:rPr>
        <w:t>however</w:t>
      </w:r>
      <w:r>
        <w:rPr>
          <w:rFonts w:ascii="Arial" w:cs="Arial" w:eastAsia="Arial" w:hAnsi="Arial"/>
          <w:sz w:val="20"/>
          <w:szCs w:val="20"/>
          <w:u w:val="single" w:color="auto"/>
          <w:color w:val="0000FF"/>
        </w:rPr>
        <w:t>, that if Adjusted Term SOFR as determined above would be less than 0%, Adjusted Term SOFR shall be deemed to be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42" w:name="page43"/>
    <w:bookmarkEnd w:id="42"/>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means PNC Bank, National Association, in its capacity as administrative agent for the Lenders hereunder, and any successor thereto appointed pursuant to Article VIII.</w:t>
      </w:r>
    </w:p>
    <w:p>
      <w:pPr>
        <w:spacing w:after="0" w:line="155"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Agent Fee Letter</w:t>
      </w:r>
      <w:r>
        <w:rPr>
          <w:rFonts w:ascii="Arial" w:cs="Arial" w:eastAsia="Arial" w:hAnsi="Arial"/>
          <w:sz w:val="18"/>
          <w:szCs w:val="18"/>
          <w:color w:val="auto"/>
        </w:rPr>
        <w:t>” means the Administrative Agent Fee Letter, dated as of November 12, 2021 (as amended, restated, supplemented or otherwise modified), among the Borrower, the Administrative Agent and PNC Capital Markets LLC.</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Party</w:t>
      </w:r>
      <w:r>
        <w:rPr>
          <w:rFonts w:ascii="Arial" w:cs="Arial" w:eastAsia="Arial" w:hAnsi="Arial"/>
          <w:sz w:val="20"/>
          <w:szCs w:val="20"/>
          <w:color w:val="auto"/>
        </w:rPr>
        <w:t>” has the meaning assigned to such term in Section 10.01(d).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means this Term Loan Agreement, dated as of December 17, 2021, and as further amended, restated, supplemented or otherwise modified from time to time.</w:t>
      </w:r>
    </w:p>
    <w:p>
      <w:pPr>
        <w:spacing w:after="0" w:line="155"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plus ½ of 1% and (c) </w:t>
      </w:r>
      <w:r>
        <w:rPr>
          <w:rFonts w:ascii="Arial" w:cs="Arial" w:eastAsia="Arial" w:hAnsi="Arial"/>
          <w:sz w:val="16"/>
          <w:szCs w:val="16"/>
          <w:color w:val="FF0000"/>
          <w:strike w:val="1"/>
        </w:rPr>
        <w:t>the</w:t>
      </w:r>
      <w:r>
        <w:rPr>
          <w:rFonts w:ascii="Arial" w:cs="Arial" w:eastAsia="Arial" w:hAnsi="Arial"/>
          <w:sz w:val="16"/>
          <w:szCs w:val="16"/>
          <w:color w:val="auto"/>
        </w:rPr>
        <w:t xml:space="preserve"> Adjusted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for a one month Interest Period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in effect</w:t>
      </w:r>
      <w:r>
        <w:rPr>
          <w:rFonts w:ascii="Arial" w:cs="Arial" w:eastAsia="Arial" w:hAnsi="Arial"/>
          <w:sz w:val="18"/>
          <w:szCs w:val="18"/>
          <w:color w:val="0000FF"/>
        </w:rPr>
        <w:t xml:space="preserve"> </w:t>
      </w:r>
      <w:r>
        <w:rPr>
          <w:rFonts w:ascii="Arial" w:cs="Arial" w:eastAsia="Arial" w:hAnsi="Arial"/>
          <w:sz w:val="18"/>
          <w:szCs w:val="18"/>
          <w:color w:val="000000"/>
        </w:rPr>
        <w:t>on such day (or if such day is not a Business Day, the immediately preceding Business Day) plus</w:t>
      </w:r>
      <w:r>
        <w:rPr>
          <w:rFonts w:ascii="Arial" w:cs="Arial" w:eastAsia="Arial" w:hAnsi="Arial"/>
          <w:sz w:val="18"/>
          <w:szCs w:val="18"/>
          <w:color w:val="0000FF"/>
        </w:rPr>
        <w:t xml:space="preserve"> </w:t>
      </w:r>
      <w:r>
        <w:rPr>
          <w:rFonts w:ascii="Arial" w:cs="Arial" w:eastAsia="Arial" w:hAnsi="Arial"/>
          <w:sz w:val="18"/>
          <w:szCs w:val="18"/>
          <w:color w:val="FF0000"/>
          <w:strike w:val="1"/>
        </w:rPr>
        <w:t>1.00%,</w:t>
      </w:r>
      <w:r>
        <w:rPr>
          <w:rFonts w:ascii="Arial" w:cs="Arial" w:eastAsia="Arial" w:hAnsi="Arial"/>
          <w:sz w:val="18"/>
          <w:szCs w:val="18"/>
          <w:color w:val="0000FF"/>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color w:val="0000FF"/>
        </w:rPr>
        <w:t xml:space="preserve"> </w:t>
      </w:r>
      <w:r>
        <w:rPr>
          <w:rFonts w:ascii="Arial" w:cs="Arial" w:eastAsia="Arial" w:hAnsi="Arial"/>
          <w:sz w:val="18"/>
          <w:szCs w:val="18"/>
          <w:color w:val="FF0000"/>
          <w:strike w:val="1"/>
        </w:rPr>
        <w:t>that, for the</w:t>
      </w:r>
      <w:r>
        <w:rPr>
          <w:rFonts w:ascii="Arial" w:cs="Arial" w:eastAsia="Arial" w:hAnsi="Arial"/>
          <w:sz w:val="18"/>
          <w:szCs w:val="18"/>
          <w:color w:val="0000FF"/>
        </w:rPr>
        <w:t xml:space="preserve"> </w:t>
      </w:r>
      <w:r>
        <w:rPr>
          <w:rFonts w:ascii="Arial" w:cs="Arial" w:eastAsia="Arial" w:hAnsi="Arial"/>
          <w:sz w:val="18"/>
          <w:szCs w:val="18"/>
          <w:color w:val="FF0000"/>
          <w:strike w:val="1"/>
        </w:rPr>
        <w:t>avoidance of doubt, the Adjusted LIBO Rate for any day shall be based on the rate appearing on the Bloomberg Page BBAM1 (or on such</w:t>
      </w:r>
    </w:p>
    <w:p>
      <w:pPr>
        <w:spacing w:after="0" w:line="236" w:lineRule="auto"/>
        <w:rPr>
          <w:sz w:val="20"/>
          <w:szCs w:val="20"/>
          <w:color w:val="auto"/>
        </w:rPr>
      </w:pPr>
      <w:r>
        <w:rPr>
          <w:rFonts w:ascii="Arial" w:cs="Arial" w:eastAsia="Arial" w:hAnsi="Arial"/>
          <w:sz w:val="18"/>
          <w:szCs w:val="18"/>
          <w:color w:val="FF0000"/>
          <w:strike w:val="1"/>
        </w:rPr>
        <w:t>other substitute Bloomberg page that displays rates at which Dollar deposits are offered by leading banks in the London interbank deposit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FF0000"/>
          <w:strike w:val="1"/>
        </w:rPr>
        <w:t>market), or the rate quoted by any Alternate Source, at approximately 11:00 a.m. London time on such day</w:t>
      </w:r>
      <w:r>
        <w:rPr>
          <w:rFonts w:ascii="Arial" w:cs="Arial" w:eastAsia="Arial" w:hAnsi="Arial"/>
          <w:sz w:val="16"/>
          <w:szCs w:val="16"/>
          <w:u w:val="single" w:color="auto"/>
          <w:color w:val="0000FF"/>
        </w:rPr>
        <w:t>1%</w:t>
      </w:r>
      <w:r>
        <w:rPr>
          <w:rFonts w:ascii="Arial" w:cs="Arial" w:eastAsia="Arial" w:hAnsi="Arial"/>
          <w:sz w:val="16"/>
          <w:szCs w:val="16"/>
          <w:color w:val="000000"/>
        </w:rPr>
        <w:t>. Any change in the Alternate</w:t>
      </w:r>
      <w:r>
        <w:rPr>
          <w:rFonts w:ascii="Arial" w:cs="Arial" w:eastAsia="Arial" w:hAnsi="Arial"/>
          <w:sz w:val="16"/>
          <w:szCs w:val="16"/>
          <w:color w:val="FF0000"/>
        </w:rPr>
        <w:t xml:space="preserve"> </w:t>
      </w:r>
      <w:r>
        <w:rPr>
          <w:rFonts w:ascii="Arial" w:cs="Arial" w:eastAsia="Arial" w:hAnsi="Arial"/>
          <w:sz w:val="16"/>
          <w:szCs w:val="16"/>
          <w:color w:val="000000"/>
        </w:rPr>
        <w:t xml:space="preserve">Base Rate due to a change in the Prime Rate, the Federal Funds Effective Rate or </w:t>
      </w:r>
      <w:r>
        <w:rPr>
          <w:rFonts w:ascii="Arial" w:cs="Arial" w:eastAsia="Arial" w:hAnsi="Arial"/>
          <w:sz w:val="16"/>
          <w:szCs w:val="16"/>
          <w:color w:val="FF0000"/>
          <w:strike w:val="1"/>
        </w:rPr>
        <w:t>the</w:t>
      </w:r>
      <w:r>
        <w:rPr>
          <w:rFonts w:ascii="Arial" w:cs="Arial" w:eastAsia="Arial" w:hAnsi="Arial"/>
          <w:sz w:val="16"/>
          <w:szCs w:val="16"/>
          <w:color w:val="000000"/>
        </w:rPr>
        <w:t xml:space="preserve"> Adjusted </w:t>
      </w:r>
      <w:r>
        <w:rPr>
          <w:rFonts w:ascii="Arial" w:cs="Arial" w:eastAsia="Arial" w:hAnsi="Arial"/>
          <w:sz w:val="16"/>
          <w:szCs w:val="16"/>
          <w:color w:val="FF0000"/>
          <w:strike w:val="1"/>
        </w:rPr>
        <w:t>LIBO Rate</w:t>
      </w:r>
      <w:r>
        <w:rPr>
          <w:rFonts w:ascii="Arial" w:cs="Arial" w:eastAsia="Arial" w:hAnsi="Arial"/>
          <w:sz w:val="16"/>
          <w:szCs w:val="16"/>
          <w:u w:val="single" w:color="auto"/>
          <w:color w:val="0000FF"/>
        </w:rPr>
        <w:t>Term SOFR</w:t>
      </w:r>
      <w:r>
        <w:rPr>
          <w:rFonts w:ascii="Arial" w:cs="Arial" w:eastAsia="Arial" w:hAnsi="Arial"/>
          <w:sz w:val="16"/>
          <w:szCs w:val="16"/>
          <w:color w:val="000000"/>
        </w:rPr>
        <w:t xml:space="preserve"> shall be effective from</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and including the effective date of such change in the Prime Rate, the Federal Funds Effective Rate or </w:t>
      </w:r>
      <w:r>
        <w:rPr>
          <w:rFonts w:ascii="Arial" w:cs="Arial" w:eastAsia="Arial" w:hAnsi="Arial"/>
          <w:sz w:val="20"/>
          <w:szCs w:val="20"/>
          <w:color w:val="FF0000"/>
          <w:strike w:val="1"/>
        </w:rPr>
        <w:t>the</w:t>
      </w:r>
      <w:r>
        <w:rPr>
          <w:rFonts w:ascii="Arial" w:cs="Arial" w:eastAsia="Arial" w:hAnsi="Arial"/>
          <w:sz w:val="20"/>
          <w:szCs w:val="20"/>
          <w:color w:val="auto"/>
        </w:rPr>
        <w:t xml:space="preserve"> Adjusted </w:t>
      </w:r>
      <w:r>
        <w:rPr>
          <w:rFonts w:ascii="Arial" w:cs="Arial" w:eastAsia="Arial" w:hAnsi="Arial"/>
          <w:sz w:val="20"/>
          <w:szCs w:val="20"/>
          <w:color w:val="FF0000"/>
          <w:strike w:val="1"/>
        </w:rPr>
        <w:t>LIBO Rate</w:t>
      </w:r>
      <w:r>
        <w:rPr>
          <w:rFonts w:ascii="Arial" w:cs="Arial" w:eastAsia="Arial" w:hAnsi="Arial"/>
          <w:sz w:val="20"/>
          <w:szCs w:val="20"/>
          <w:u w:val="single" w:color="auto"/>
          <w:color w:val="0000FF"/>
        </w:rPr>
        <w:t>Term SOFR</w:t>
      </w:r>
      <w:r>
        <w:rPr>
          <w:rFonts w:ascii="Arial" w:cs="Arial" w:eastAsia="Arial" w:hAnsi="Arial"/>
          <w:sz w:val="20"/>
          <w:szCs w:val="20"/>
          <w:color w:val="auto"/>
        </w:rPr>
        <w:t>,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Maturity Date</w:t>
      </w:r>
      <w:r>
        <w:rPr>
          <w:rFonts w:ascii="Arial" w:cs="Arial" w:eastAsia="Arial" w:hAnsi="Arial"/>
          <w:sz w:val="20"/>
          <w:szCs w:val="20"/>
          <w:color w:val="auto"/>
        </w:rPr>
        <w:t>” has the meaning assigned to such term in Section 2.22(a).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Rate</w:t>
      </w:r>
      <w:r>
        <w:rPr>
          <w:rFonts w:ascii="Arial" w:cs="Arial" w:eastAsia="Arial" w:hAnsi="Arial"/>
          <w:sz w:val="20"/>
          <w:szCs w:val="20"/>
          <w:color w:val="auto"/>
        </w:rPr>
        <w:t>” means, as of any date of determination:</w:t>
      </w:r>
    </w:p>
    <w:p>
      <w:pPr>
        <w:spacing w:after="0" w:line="175" w:lineRule="exact"/>
        <w:rPr>
          <w:sz w:val="20"/>
          <w:szCs w:val="20"/>
          <w:color w:val="auto"/>
        </w:rPr>
      </w:pPr>
    </w:p>
    <w:p>
      <w:pPr>
        <w:ind w:left="180" w:firstLine="644"/>
        <w:spacing w:after="0" w:line="236" w:lineRule="auto"/>
        <w:tabs>
          <w:tab w:leader="none" w:pos="125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on the Closing Date and thereafter until changed in accordance with the provisions set forth in this definition, the applicable rate per annum applicable to Level I in the table set forth below; and</w:t>
      </w:r>
    </w:p>
    <w:p>
      <w:pPr>
        <w:spacing w:after="0" w:line="168" w:lineRule="exact"/>
        <w:rPr>
          <w:rFonts w:ascii="Arial" w:cs="Arial" w:eastAsia="Arial" w:hAnsi="Arial"/>
          <w:sz w:val="20"/>
          <w:szCs w:val="20"/>
          <w:color w:val="auto"/>
        </w:rPr>
      </w:pPr>
    </w:p>
    <w:p>
      <w:pPr>
        <w:jc w:val="both"/>
        <w:ind w:left="180" w:firstLine="644"/>
        <w:spacing w:after="0" w:line="223" w:lineRule="auto"/>
        <w:tabs>
          <w:tab w:leader="none" w:pos="1286"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commencing on the date on which a Compliance Certificate is delivered with respect to the fiscal quarter ending January 31, 2022 and continuing with each fiscal quarter thereafter, the applicable rate per annum determined in accordance with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43" w:name="page44"/>
    <w:bookmarkEnd w:id="43"/>
    <w:p>
      <w:pPr>
        <w:spacing w:after="0" w:line="3" w:lineRule="exact"/>
        <w:rPr>
          <w:sz w:val="20"/>
          <w:szCs w:val="20"/>
          <w:color w:val="auto"/>
        </w:rPr>
      </w:pPr>
    </w:p>
    <w:tbl>
      <w:tblPr>
        <w:tblLayout w:type="fixed"/>
        <w:tblInd w:w="550" w:type="dxa"/>
        <w:tblCellMar>
          <w:top w:w="0" w:type="dxa"/>
          <w:left w:w="0" w:type="dxa"/>
          <w:bottom w:w="0" w:type="dxa"/>
          <w:right w:w="0" w:type="dxa"/>
        </w:tblCellMar>
      </w:tblPr>
      <w:tr>
        <w:trPr>
          <w:trHeight w:val="216"/>
        </w:trPr>
        <w:tc>
          <w:tcPr>
            <w:tcW w:w="212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Ratio Level</w:t>
            </w:r>
          </w:p>
        </w:tc>
        <w:tc>
          <w:tcPr>
            <w:tcW w:w="260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20"/>
                <w:szCs w:val="20"/>
                <w:b w:val="1"/>
                <w:bCs w:val="1"/>
                <w:color w:val="auto"/>
              </w:rPr>
              <w:t>Total Leverage Ratio</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line="216" w:lineRule="exact"/>
              <w:rPr>
                <w:sz w:val="20"/>
                <w:szCs w:val="20"/>
                <w:color w:val="auto"/>
              </w:rPr>
            </w:pPr>
            <w:r>
              <w:rPr>
                <w:rFonts w:ascii="Arial" w:cs="Arial" w:eastAsia="Arial" w:hAnsi="Arial"/>
                <w:sz w:val="20"/>
                <w:szCs w:val="20"/>
                <w:b w:val="1"/>
                <w:bCs w:val="1"/>
                <w:color w:val="FF0000"/>
                <w:strike w:val="1"/>
                <w:w w:val="89"/>
              </w:rPr>
              <w:t>Eurodollar</w:t>
            </w:r>
          </w:p>
        </w:tc>
        <w:tc>
          <w:tcPr>
            <w:tcW w:w="1420" w:type="dxa"/>
            <w:vAlign w:val="bottom"/>
            <w:tcBorders>
              <w:top w:val="single" w:sz="8" w:color="auto"/>
              <w:right w:val="single" w:sz="8" w:color="auto"/>
            </w:tcBorders>
            <w:gridSpan w:val="2"/>
          </w:tcPr>
          <w:p>
            <w:pPr>
              <w:spacing w:after="0" w:line="216" w:lineRule="exact"/>
              <w:rPr>
                <w:sz w:val="20"/>
                <w:szCs w:val="20"/>
                <w:color w:val="auto"/>
              </w:rPr>
            </w:pPr>
            <w:r>
              <w:rPr>
                <w:rFonts w:ascii="Arial" w:cs="Arial" w:eastAsia="Arial" w:hAnsi="Arial"/>
                <w:sz w:val="20"/>
                <w:szCs w:val="20"/>
                <w:b w:val="1"/>
                <w:bCs w:val="1"/>
                <w:color w:val="0000FF"/>
              </w:rPr>
              <w:t>Term SOFR</w:t>
            </w:r>
            <w:r>
              <w:rPr>
                <w:rFonts w:ascii="Arial" w:cs="Arial" w:eastAsia="Arial" w:hAnsi="Arial"/>
                <w:sz w:val="20"/>
                <w:szCs w:val="20"/>
                <w:b w:val="1"/>
                <w:bCs w:val="1"/>
                <w:color w:val="000000"/>
              </w:rPr>
              <w:t>—</w:t>
            </w:r>
          </w:p>
        </w:tc>
        <w:tc>
          <w:tcPr>
            <w:tcW w:w="2180" w:type="dxa"/>
            <w:vAlign w:val="bottom"/>
            <w:tcBorders>
              <w:top w:val="single" w:sz="8" w:color="auto"/>
              <w:right w:val="single" w:sz="8" w:color="auto"/>
            </w:tcBorders>
            <w:vMerge w:val="restart"/>
          </w:tcPr>
          <w:p>
            <w:pPr>
              <w:jc w:val="right"/>
              <w:ind w:right="21"/>
              <w:spacing w:after="0"/>
              <w:rPr>
                <w:sz w:val="20"/>
                <w:szCs w:val="20"/>
                <w:color w:val="auto"/>
              </w:rPr>
            </w:pPr>
            <w:r>
              <w:rPr>
                <w:rFonts w:ascii="Arial" w:cs="Arial" w:eastAsia="Arial" w:hAnsi="Arial"/>
                <w:sz w:val="20"/>
                <w:szCs w:val="20"/>
                <w:b w:val="1"/>
                <w:bCs w:val="1"/>
                <w:color w:val="auto"/>
                <w:w w:val="94"/>
              </w:rPr>
              <w:t>ABR – Applicable Rate</w:t>
            </w:r>
          </w:p>
        </w:tc>
        <w:tc>
          <w:tcPr>
            <w:tcW w:w="0" w:type="dxa"/>
            <w:vAlign w:val="bottom"/>
          </w:tcPr>
          <w:p>
            <w:pPr>
              <w:spacing w:after="0"/>
              <w:rPr>
                <w:sz w:val="1"/>
                <w:szCs w:val="1"/>
                <w:color w:val="auto"/>
              </w:rPr>
            </w:pPr>
          </w:p>
        </w:tc>
      </w:tr>
      <w:tr>
        <w:trPr>
          <w:trHeight w:val="20"/>
        </w:trPr>
        <w:tc>
          <w:tcPr>
            <w:tcW w:w="2120" w:type="dxa"/>
            <w:vAlign w:val="bottom"/>
            <w:tcBorders>
              <w:left w:val="single" w:sz="8" w:color="auto"/>
              <w:right w:val="single" w:sz="8" w:color="auto"/>
            </w:tcBorders>
            <w:vMerge w:val="continue"/>
          </w:tcPr>
          <w:p>
            <w:pPr>
              <w:spacing w:after="0" w:line="20" w:lineRule="exact"/>
              <w:rPr>
                <w:sz w:val="1"/>
                <w:szCs w:val="1"/>
                <w:color w:val="auto"/>
              </w:rPr>
            </w:pPr>
          </w:p>
        </w:tc>
        <w:tc>
          <w:tcPr>
            <w:tcW w:w="2600" w:type="dxa"/>
            <w:vAlign w:val="bottom"/>
            <w:tcBorders>
              <w:right w:val="single" w:sz="8" w:color="auto"/>
            </w:tcBorders>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1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20" w:type="dxa"/>
            <w:vAlign w:val="bottom"/>
            <w:tcBorders>
              <w:left w:val="single" w:sz="8" w:color="auto"/>
              <w:right w:val="single" w:sz="8" w:color="auto"/>
            </w:tcBorders>
            <w:vMerge w:val="continue"/>
          </w:tcPr>
          <w:p>
            <w:pPr>
              <w:spacing w:after="0"/>
              <w:rPr>
                <w:sz w:val="10"/>
                <w:szCs w:val="10"/>
                <w:color w:val="auto"/>
              </w:rPr>
            </w:pPr>
          </w:p>
        </w:tc>
        <w:tc>
          <w:tcPr>
            <w:tcW w:w="260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Borders>
              <w:right w:val="single" w:sz="8" w:color="auto"/>
            </w:tcBorders>
            <w:gridSpan w:val="3"/>
            <w:vMerge w:val="restart"/>
          </w:tcPr>
          <w:p>
            <w:pPr>
              <w:ind w:left="400"/>
              <w:spacing w:after="0" w:line="223" w:lineRule="exact"/>
              <w:rPr>
                <w:sz w:val="20"/>
                <w:szCs w:val="20"/>
                <w:color w:val="auto"/>
              </w:rPr>
            </w:pPr>
            <w:r>
              <w:rPr>
                <w:rFonts w:ascii="Arial" w:cs="Arial" w:eastAsia="Arial" w:hAnsi="Arial"/>
                <w:sz w:val="20"/>
                <w:szCs w:val="20"/>
                <w:b w:val="1"/>
                <w:bCs w:val="1"/>
                <w:color w:val="auto"/>
              </w:rPr>
              <w:t>Applicable Rate</w:t>
            </w:r>
          </w:p>
        </w:tc>
        <w:tc>
          <w:tcPr>
            <w:tcW w:w="2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1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right w:val="single" w:sz="8" w:color="auto"/>
            </w:tcBorders>
            <w:gridSpan w:val="3"/>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120" w:type="dxa"/>
            <w:vAlign w:val="bottom"/>
            <w:tcBorders>
              <w:left w:val="single" w:sz="8" w:color="auto"/>
              <w:bottom w:val="single" w:sz="8" w:color="auto"/>
              <w:right w:val="single" w:sz="8" w:color="auto"/>
            </w:tcBorders>
          </w:tcPr>
          <w:p>
            <w:pPr>
              <w:jc w:val="center"/>
              <w:ind w:left="541"/>
              <w:spacing w:after="0"/>
              <w:rPr>
                <w:sz w:val="20"/>
                <w:szCs w:val="20"/>
                <w:color w:val="auto"/>
              </w:rPr>
            </w:pPr>
            <w:r>
              <w:rPr>
                <w:rFonts w:ascii="Arial" w:cs="Arial" w:eastAsia="Arial" w:hAnsi="Arial"/>
                <w:sz w:val="20"/>
                <w:szCs w:val="20"/>
                <w:color w:val="auto"/>
                <w:w w:val="94"/>
              </w:rPr>
              <w:t>Level I</w:t>
            </w:r>
          </w:p>
        </w:tc>
        <w:tc>
          <w:tcPr>
            <w:tcW w:w="2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20"/>
                <w:szCs w:val="20"/>
                <w:color w:val="auto"/>
                <w:w w:val="93"/>
              </w:rPr>
              <w:t>Less than 1.50 to 1.00</w:t>
            </w:r>
          </w:p>
        </w:tc>
        <w:tc>
          <w:tcPr>
            <w:tcW w:w="212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20"/>
                <w:szCs w:val="20"/>
                <w:color w:val="auto"/>
                <w:w w:val="91"/>
              </w:rPr>
              <w:t>0.75%</w:t>
            </w:r>
          </w:p>
        </w:tc>
        <w:tc>
          <w:tcPr>
            <w:tcW w:w="3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ind w:left="700"/>
              <w:spacing w:after="0" w:line="196" w:lineRule="exact"/>
              <w:rPr>
                <w:sz w:val="20"/>
                <w:szCs w:val="20"/>
                <w:color w:val="auto"/>
              </w:rPr>
            </w:pPr>
            <w:r>
              <w:rPr>
                <w:rFonts w:ascii="Arial" w:cs="Arial" w:eastAsia="Arial" w:hAnsi="Arial"/>
                <w:sz w:val="20"/>
                <w:szCs w:val="20"/>
                <w:color w:val="auto"/>
                <w:w w:val="97"/>
              </w:rPr>
              <w:t>Greater than or equal</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120" w:type="dxa"/>
            <w:vAlign w:val="bottom"/>
            <w:tcBorders>
              <w:left w:val="single" w:sz="8" w:color="auto"/>
              <w:right w:val="single" w:sz="8" w:color="auto"/>
            </w:tcBorders>
            <w:vMerge w:val="restart"/>
          </w:tcPr>
          <w:p>
            <w:pPr>
              <w:jc w:val="center"/>
              <w:ind w:left="541"/>
              <w:spacing w:after="0"/>
              <w:rPr>
                <w:sz w:val="20"/>
                <w:szCs w:val="20"/>
                <w:color w:val="auto"/>
              </w:rPr>
            </w:pPr>
            <w:r>
              <w:rPr>
                <w:rFonts w:ascii="Arial" w:cs="Arial" w:eastAsia="Arial" w:hAnsi="Arial"/>
                <w:sz w:val="20"/>
                <w:szCs w:val="20"/>
                <w:color w:val="auto"/>
                <w:w w:val="99"/>
              </w:rPr>
              <w:t>Level II</w:t>
            </w:r>
          </w:p>
        </w:tc>
        <w:tc>
          <w:tcPr>
            <w:tcW w:w="260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0"/>
                <w:szCs w:val="20"/>
                <w:color w:val="auto"/>
                <w:w w:val="99"/>
              </w:rPr>
              <w:t>to 1.50 to 1.00, but less than</w:t>
            </w:r>
          </w:p>
        </w:tc>
        <w:tc>
          <w:tcPr>
            <w:tcW w:w="2120" w:type="dxa"/>
            <w:vAlign w:val="bottom"/>
            <w:gridSpan w:val="3"/>
            <w:vMerge w:val="restart"/>
          </w:tcPr>
          <w:p>
            <w:pPr>
              <w:jc w:val="center"/>
              <w:ind w:left="901"/>
              <w:spacing w:after="0"/>
              <w:rPr>
                <w:sz w:val="20"/>
                <w:szCs w:val="20"/>
                <w:color w:val="auto"/>
              </w:rPr>
            </w:pPr>
            <w:r>
              <w:rPr>
                <w:rFonts w:ascii="Arial" w:cs="Arial" w:eastAsia="Arial" w:hAnsi="Arial"/>
                <w:sz w:val="20"/>
                <w:szCs w:val="20"/>
                <w:color w:val="auto"/>
                <w:w w:val="88"/>
              </w:rPr>
              <w:t>0.875%</w:t>
            </w:r>
          </w:p>
        </w:tc>
        <w:tc>
          <w:tcPr>
            <w:tcW w:w="38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2.00 to 1.00</w:t>
            </w:r>
          </w:p>
        </w:tc>
        <w:tc>
          <w:tcPr>
            <w:tcW w:w="2120" w:type="dxa"/>
            <w:vAlign w:val="bottom"/>
            <w:tcBorders>
              <w:bottom w:val="single" w:sz="8" w:color="auto"/>
            </w:tcBorders>
            <w:gridSpan w:val="3"/>
            <w:vMerge w:val="continue"/>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ind w:left="700"/>
              <w:spacing w:after="0" w:line="196" w:lineRule="exact"/>
              <w:rPr>
                <w:sz w:val="20"/>
                <w:szCs w:val="20"/>
                <w:color w:val="auto"/>
              </w:rPr>
            </w:pPr>
            <w:r>
              <w:rPr>
                <w:rFonts w:ascii="Arial" w:cs="Arial" w:eastAsia="Arial" w:hAnsi="Arial"/>
                <w:sz w:val="20"/>
                <w:szCs w:val="20"/>
                <w:color w:val="auto"/>
                <w:w w:val="97"/>
              </w:rPr>
              <w:t>Greater than or equal</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120" w:type="dxa"/>
            <w:vAlign w:val="bottom"/>
            <w:tcBorders>
              <w:left w:val="single" w:sz="8" w:color="auto"/>
              <w:right w:val="single" w:sz="8" w:color="auto"/>
            </w:tcBorders>
            <w:vMerge w:val="restart"/>
          </w:tcPr>
          <w:p>
            <w:pPr>
              <w:jc w:val="center"/>
              <w:ind w:left="521"/>
              <w:spacing w:after="0"/>
              <w:rPr>
                <w:sz w:val="20"/>
                <w:szCs w:val="20"/>
                <w:color w:val="auto"/>
              </w:rPr>
            </w:pPr>
            <w:r>
              <w:rPr>
                <w:rFonts w:ascii="Arial" w:cs="Arial" w:eastAsia="Arial" w:hAnsi="Arial"/>
                <w:sz w:val="20"/>
                <w:szCs w:val="20"/>
                <w:color w:val="auto"/>
                <w:w w:val="99"/>
              </w:rPr>
              <w:t>Level III</w:t>
            </w:r>
          </w:p>
        </w:tc>
        <w:tc>
          <w:tcPr>
            <w:tcW w:w="260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0"/>
                <w:szCs w:val="20"/>
                <w:color w:val="auto"/>
                <w:w w:val="99"/>
              </w:rPr>
              <w:t>to 2.00 to 1.00, but less than</w:t>
            </w:r>
          </w:p>
        </w:tc>
        <w:tc>
          <w:tcPr>
            <w:tcW w:w="2120" w:type="dxa"/>
            <w:vAlign w:val="bottom"/>
            <w:gridSpan w:val="3"/>
            <w:vMerge w:val="restart"/>
          </w:tcPr>
          <w:p>
            <w:pPr>
              <w:jc w:val="center"/>
              <w:ind w:left="901"/>
              <w:spacing w:after="0"/>
              <w:rPr>
                <w:sz w:val="20"/>
                <w:szCs w:val="20"/>
                <w:color w:val="auto"/>
              </w:rPr>
            </w:pPr>
            <w:r>
              <w:rPr>
                <w:rFonts w:ascii="Arial" w:cs="Arial" w:eastAsia="Arial" w:hAnsi="Arial"/>
                <w:sz w:val="20"/>
                <w:szCs w:val="20"/>
                <w:color w:val="auto"/>
                <w:w w:val="91"/>
              </w:rPr>
              <w:t>1.00%</w:t>
            </w:r>
          </w:p>
        </w:tc>
        <w:tc>
          <w:tcPr>
            <w:tcW w:w="38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2.50 to 1.00</w:t>
            </w:r>
          </w:p>
        </w:tc>
        <w:tc>
          <w:tcPr>
            <w:tcW w:w="2120" w:type="dxa"/>
            <w:vAlign w:val="bottom"/>
            <w:tcBorders>
              <w:bottom w:val="single" w:sz="8" w:color="auto"/>
            </w:tcBorders>
            <w:gridSpan w:val="3"/>
            <w:vMerge w:val="continue"/>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ind w:left="700"/>
              <w:spacing w:after="0" w:line="196" w:lineRule="exact"/>
              <w:rPr>
                <w:sz w:val="20"/>
                <w:szCs w:val="20"/>
                <w:color w:val="auto"/>
              </w:rPr>
            </w:pPr>
            <w:r>
              <w:rPr>
                <w:rFonts w:ascii="Arial" w:cs="Arial" w:eastAsia="Arial" w:hAnsi="Arial"/>
                <w:sz w:val="20"/>
                <w:szCs w:val="20"/>
                <w:color w:val="auto"/>
                <w:w w:val="97"/>
              </w:rPr>
              <w:t>Greater than or equal</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12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0"/>
                <w:szCs w:val="20"/>
                <w:color w:val="auto"/>
                <w:w w:val="99"/>
              </w:rPr>
              <w:t>to 2.50 to 1.00, but less than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166"/>
        </w:trPr>
        <w:tc>
          <w:tcPr>
            <w:tcW w:w="2120" w:type="dxa"/>
            <w:vAlign w:val="bottom"/>
            <w:tcBorders>
              <w:left w:val="single" w:sz="8" w:color="auto"/>
              <w:right w:val="single" w:sz="8" w:color="auto"/>
            </w:tcBorders>
            <w:vMerge w:val="restart"/>
          </w:tcPr>
          <w:p>
            <w:pPr>
              <w:jc w:val="center"/>
              <w:ind w:left="521"/>
              <w:spacing w:after="0"/>
              <w:rPr>
                <w:sz w:val="20"/>
                <w:szCs w:val="20"/>
                <w:color w:val="auto"/>
              </w:rPr>
            </w:pPr>
            <w:r>
              <w:rPr>
                <w:rFonts w:ascii="Arial" w:cs="Arial" w:eastAsia="Arial" w:hAnsi="Arial"/>
                <w:sz w:val="20"/>
                <w:szCs w:val="20"/>
                <w:color w:val="auto"/>
                <w:w w:val="96"/>
              </w:rPr>
              <w:t>Level IV</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3.00 to 1.00</w:t>
            </w:r>
          </w:p>
        </w:tc>
        <w:tc>
          <w:tcPr>
            <w:tcW w:w="2120" w:type="dxa"/>
            <w:vAlign w:val="bottom"/>
            <w:gridSpan w:val="3"/>
            <w:vMerge w:val="restart"/>
          </w:tcPr>
          <w:p>
            <w:pPr>
              <w:jc w:val="center"/>
              <w:ind w:left="901"/>
              <w:spacing w:after="0"/>
              <w:rPr>
                <w:sz w:val="20"/>
                <w:szCs w:val="20"/>
                <w:color w:val="auto"/>
              </w:rPr>
            </w:pPr>
            <w:r>
              <w:rPr>
                <w:rFonts w:ascii="Arial" w:cs="Arial" w:eastAsia="Arial" w:hAnsi="Arial"/>
                <w:sz w:val="20"/>
                <w:szCs w:val="20"/>
                <w:color w:val="auto"/>
                <w:w w:val="91"/>
              </w:rPr>
              <w:t>1.25%</w:t>
            </w:r>
          </w:p>
        </w:tc>
        <w:tc>
          <w:tcPr>
            <w:tcW w:w="38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1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600" w:type="dxa"/>
            <w:vAlign w:val="bottom"/>
            <w:tcBorders>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tcBorders>
            <w:gridSpan w:val="3"/>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right w:val="single" w:sz="8" w:color="auto"/>
            </w:tcBorders>
            <w:vMerge w:val="restart"/>
          </w:tcPr>
          <w:p>
            <w:pPr>
              <w:jc w:val="center"/>
              <w:ind w:left="541"/>
              <w:spacing w:after="0"/>
              <w:rPr>
                <w:sz w:val="20"/>
                <w:szCs w:val="20"/>
                <w:color w:val="auto"/>
              </w:rPr>
            </w:pPr>
            <w:r>
              <w:rPr>
                <w:rFonts w:ascii="Arial" w:cs="Arial" w:eastAsia="Arial" w:hAnsi="Arial"/>
                <w:sz w:val="20"/>
                <w:szCs w:val="20"/>
                <w:color w:val="auto"/>
                <w:w w:val="95"/>
              </w:rPr>
              <w:t>Level V</w:t>
            </w:r>
          </w:p>
        </w:tc>
        <w:tc>
          <w:tcPr>
            <w:tcW w:w="2600" w:type="dxa"/>
            <w:vAlign w:val="bottom"/>
            <w:tcBorders>
              <w:right w:val="single" w:sz="8" w:color="auto"/>
            </w:tcBorders>
          </w:tcPr>
          <w:p>
            <w:pPr>
              <w:ind w:left="700"/>
              <w:spacing w:after="0" w:line="196" w:lineRule="exact"/>
              <w:rPr>
                <w:sz w:val="20"/>
                <w:szCs w:val="20"/>
                <w:color w:val="auto"/>
              </w:rPr>
            </w:pPr>
            <w:r>
              <w:rPr>
                <w:rFonts w:ascii="Arial" w:cs="Arial" w:eastAsia="Arial" w:hAnsi="Arial"/>
                <w:sz w:val="20"/>
                <w:szCs w:val="20"/>
                <w:color w:val="auto"/>
                <w:w w:val="97"/>
              </w:rPr>
              <w:t>Greater than or equal</w:t>
            </w:r>
          </w:p>
        </w:tc>
        <w:tc>
          <w:tcPr>
            <w:tcW w:w="2120" w:type="dxa"/>
            <w:vAlign w:val="bottom"/>
            <w:gridSpan w:val="3"/>
            <w:vMerge w:val="restart"/>
          </w:tcPr>
          <w:p>
            <w:pPr>
              <w:jc w:val="center"/>
              <w:ind w:left="901"/>
              <w:spacing w:after="0"/>
              <w:rPr>
                <w:sz w:val="20"/>
                <w:szCs w:val="20"/>
                <w:color w:val="auto"/>
              </w:rPr>
            </w:pPr>
            <w:r>
              <w:rPr>
                <w:rFonts w:ascii="Arial" w:cs="Arial" w:eastAsia="Arial" w:hAnsi="Arial"/>
                <w:sz w:val="20"/>
                <w:szCs w:val="20"/>
                <w:color w:val="auto"/>
                <w:w w:val="91"/>
              </w:rPr>
              <w:t>1.50%</w:t>
            </w:r>
          </w:p>
        </w:tc>
        <w:tc>
          <w:tcPr>
            <w:tcW w:w="3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20"/>
                <w:szCs w:val="20"/>
                <w:color w:val="auto"/>
              </w:rPr>
              <w:t>0.50%</w:t>
            </w:r>
          </w:p>
        </w:tc>
        <w:tc>
          <w:tcPr>
            <w:tcW w:w="0" w:type="dxa"/>
            <w:vAlign w:val="bottom"/>
          </w:tcPr>
          <w:p>
            <w:pPr>
              <w:spacing w:after="0"/>
              <w:rPr>
                <w:sz w:val="1"/>
                <w:szCs w:val="1"/>
                <w:color w:val="auto"/>
              </w:rPr>
            </w:pPr>
          </w:p>
        </w:tc>
      </w:tr>
      <w:tr>
        <w:trPr>
          <w:trHeight w:val="246"/>
        </w:trPr>
        <w:tc>
          <w:tcPr>
            <w:tcW w:w="21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to 3.00 to 1.00</w:t>
            </w:r>
          </w:p>
        </w:tc>
        <w:tc>
          <w:tcPr>
            <w:tcW w:w="2120" w:type="dxa"/>
            <w:vAlign w:val="bottom"/>
            <w:tcBorders>
              <w:bottom w:val="single" w:sz="8" w:color="auto"/>
            </w:tcBorders>
            <w:gridSpan w:val="3"/>
            <w:vMerge w:val="continue"/>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Any increase or decrease in the Applicable Rate resulting from a change in the Total Leverage Ratio shall become effective as of the first Business Day immediately following the date a Compliance Certificate is delivered in accordance with Section 5.01(c); provided,</w:t>
      </w:r>
    </w:p>
    <w:p>
      <w:pPr>
        <w:spacing w:after="0" w:line="235" w:lineRule="auto"/>
        <w:rPr>
          <w:sz w:val="20"/>
          <w:szCs w:val="20"/>
          <w:color w:val="auto"/>
        </w:rPr>
      </w:pPr>
      <w:r>
        <w:rPr>
          <w:rFonts w:ascii="Arial" w:cs="Arial" w:eastAsia="Arial" w:hAnsi="Arial"/>
          <w:sz w:val="18"/>
          <w:szCs w:val="18"/>
          <w:color w:val="auto"/>
        </w:rPr>
        <w:t>however, that if such Compliance Certificate is not delivered when due in accordance with Section 5.01(c), then the Applicable Rate shall be</w:t>
      </w:r>
    </w:p>
    <w:p>
      <w:pPr>
        <w:spacing w:after="0" w:line="226" w:lineRule="auto"/>
        <w:rPr>
          <w:sz w:val="20"/>
          <w:szCs w:val="20"/>
          <w:color w:val="auto"/>
        </w:rPr>
      </w:pPr>
      <w:r>
        <w:rPr>
          <w:rFonts w:ascii="Arial" w:cs="Arial" w:eastAsia="Arial" w:hAnsi="Arial"/>
          <w:sz w:val="18"/>
          <w:szCs w:val="18"/>
          <w:color w:val="auto"/>
        </w:rPr>
        <w:t>the percentage that would apply to Level V above and it shall apply as of the first Business Day after the date on which such Compliance Certificate was required to have been delivered until the date on which such Compliance Certificate is delivered (on which date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Applicable Rate shall be set at the margin based upon the calculations in such Compliance Certificate).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If at any time the financial statements upon which the Applicable Rate was determined were incorrect (whether based on a restatement, fraud or otherwise) and as a result thereof, the Total Leverage Ratio was determined incorrectly for any period, the Borrower</w:t>
      </w:r>
    </w:p>
    <w:p>
      <w:pPr>
        <w:spacing w:after="0" w:line="235" w:lineRule="auto"/>
        <w:rPr>
          <w:sz w:val="20"/>
          <w:szCs w:val="20"/>
          <w:color w:val="auto"/>
        </w:rPr>
      </w:pPr>
      <w:r>
        <w:rPr>
          <w:rFonts w:ascii="Arial" w:cs="Arial" w:eastAsia="Arial" w:hAnsi="Arial"/>
          <w:sz w:val="18"/>
          <w:szCs w:val="18"/>
          <w:color w:val="auto"/>
        </w:rPr>
        <w:t>shall be required to retroactively pay any additional amount that the Borrower would have been required to pay if such financial statements</w:t>
      </w:r>
    </w:p>
    <w:p>
      <w:pPr>
        <w:spacing w:after="0" w:line="215" w:lineRule="auto"/>
        <w:rPr>
          <w:sz w:val="20"/>
          <w:szCs w:val="20"/>
          <w:color w:val="auto"/>
        </w:rPr>
      </w:pPr>
      <w:r>
        <w:rPr>
          <w:rFonts w:ascii="Arial" w:cs="Arial" w:eastAsia="Arial" w:hAnsi="Arial"/>
          <w:sz w:val="19"/>
          <w:szCs w:val="19"/>
          <w:color w:val="auto"/>
        </w:rPr>
        <w:t>had been accurate at the time they were delivered (or, to the extent that the Borrower paid any amounts in excess of the amounts the Borrower should have paid, then the Lenders shall credit such over-payment to the Indebtedness owing by the Borrower to each such</w:t>
      </w:r>
    </w:p>
    <w:p>
      <w:pPr>
        <w:spacing w:after="0"/>
        <w:rPr>
          <w:sz w:val="20"/>
          <w:szCs w:val="20"/>
          <w:color w:val="auto"/>
        </w:rPr>
      </w:pPr>
      <w:r>
        <w:rPr>
          <w:rFonts w:ascii="Arial" w:cs="Arial" w:eastAsia="Arial" w:hAnsi="Arial"/>
          <w:sz w:val="20"/>
          <w:szCs w:val="20"/>
          <w:color w:val="auto"/>
        </w:rPr>
        <w:t>Lender).</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w:t>
      </w:r>
    </w:p>
    <w:p>
      <w:pPr>
        <w:spacing w:after="0"/>
        <w:rPr>
          <w:sz w:val="20"/>
          <w:szCs w:val="20"/>
          <w:color w:val="auto"/>
        </w:rPr>
      </w:pPr>
      <w:r>
        <w:rPr>
          <w:rFonts w:ascii="Arial" w:cs="Arial" w:eastAsia="Arial" w:hAnsi="Arial"/>
          <w:sz w:val="20"/>
          <w:szCs w:val="20"/>
          <w:color w:val="auto"/>
        </w:rPr>
        <w:t>Affiliate of a Lender or (c) an entity or an Affiliate of an entity that administers or manages a Lender.</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Articles 55 BRRD</w:t>
      </w:r>
      <w:r>
        <w:rPr>
          <w:rFonts w:ascii="Arial" w:cs="Arial" w:eastAsia="Arial" w:hAnsi="Arial"/>
          <w:sz w:val="20"/>
          <w:szCs w:val="20"/>
          <w:color w:val="auto"/>
        </w:rPr>
        <w:t>” means Article 55 of Directive 2014/59/EU establishing a framework for the recovery and resolution of credit institutions and investment firms.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means the sale, lease, transfer or other disposition (including by means of Sale and Lease-Back Transactions, and by means of mergers, consolidations, amalgamations and liquidations of a corporation, partnership or limited liability company of the interests</w:t>
      </w:r>
    </w:p>
    <w:p>
      <w:pPr>
        <w:spacing w:after="0"/>
        <w:rPr>
          <w:sz w:val="20"/>
          <w:szCs w:val="20"/>
          <w:color w:val="auto"/>
        </w:rPr>
      </w:pPr>
      <w:r>
        <w:rPr>
          <w:rFonts w:ascii="Arial" w:cs="Arial" w:eastAsia="Arial" w:hAnsi="Arial"/>
          <w:sz w:val="20"/>
          <w:szCs w:val="20"/>
          <w:color w:val="auto"/>
        </w:rPr>
        <w:t>therein of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Subsidiary) by the Borrower or any Subsidiary to any Person of any of the Borrower’s or such Subsidiary’s respective assets.</w:t>
      </w:r>
    </w:p>
    <w:p>
      <w:pPr>
        <w:spacing w:after="0" w:line="18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Assignment and Assumption</w:t>
      </w:r>
      <w:r>
        <w:rPr>
          <w:rFonts w:ascii="Arial" w:cs="Arial" w:eastAsia="Arial" w:hAnsi="Arial"/>
          <w:sz w:val="16"/>
          <w:szCs w:val="16"/>
          <w:color w:val="auto"/>
        </w:rPr>
        <w:t xml:space="preserve">” means an assignment and assumption entered into by a Lender and an assignee (with the consent of any party whose consent is required by Section 10.04), and accepted by the Administrative Agent,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any other form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approved by the Administrative Agent.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Authorized Officer</w:t>
      </w:r>
      <w:r>
        <w:rPr>
          <w:rFonts w:ascii="Arial" w:cs="Arial" w:eastAsia="Arial" w:hAnsi="Arial"/>
          <w:sz w:val="20"/>
          <w:szCs w:val="20"/>
          <w:color w:val="auto"/>
        </w:rPr>
        <w:t>” means any of the Chief Executive Officer, President, Chief Operating Officer, Executive Vice President, Senior Vice President, Vice President, Financial Officer or General Counsel of the applicable Loan Party.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means the exercise of any Write-Down and Conversion Powers.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b w:val="1"/>
          <w:bCs w:val="1"/>
          <w:i w:val="1"/>
          <w:iCs w:val="1"/>
          <w:color w:val="auto"/>
        </w:rPr>
        <w:t>“Bail-In Legislation</w:t>
      </w:r>
      <w:r>
        <w:rPr>
          <w:rFonts w:ascii="Arial" w:cs="Arial" w:eastAsia="Arial" w:hAnsi="Arial"/>
          <w:sz w:val="19"/>
          <w:szCs w:val="19"/>
          <w:color w:val="auto"/>
        </w:rPr>
        <w:t>” means (a) with respect to any EEA Member Country which has implemented, or which at any time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implements, Article 55 BRRD, the implementing law, regulation, rule or requirement for such EEA Member Country from time to time</w:t>
      </w:r>
    </w:p>
    <w:p>
      <w:pPr>
        <w:spacing w:after="0" w:line="224" w:lineRule="auto"/>
        <w:rPr>
          <w:sz w:val="20"/>
          <w:szCs w:val="20"/>
          <w:color w:val="auto"/>
        </w:rPr>
      </w:pPr>
      <w:r>
        <w:rPr>
          <w:rFonts w:ascii="Arial" w:cs="Arial" w:eastAsia="Arial" w:hAnsi="Arial"/>
          <w:sz w:val="19"/>
          <w:szCs w:val="19"/>
          <w:color w:val="auto"/>
        </w:rPr>
        <w:t>which is described in the EU Bail-In Legislation Schedule from time to time and (b) in relation to the United Kingdom, the UK Bail-In</w:t>
      </w:r>
    </w:p>
    <w:p>
      <w:pPr>
        <w:spacing w:after="0" w:line="215" w:lineRule="auto"/>
        <w:rPr>
          <w:sz w:val="20"/>
          <w:szCs w:val="20"/>
          <w:color w:val="auto"/>
        </w:rPr>
      </w:pPr>
      <w:r>
        <w:rPr>
          <w:rFonts w:ascii="Arial" w:cs="Arial" w:eastAsia="Arial" w:hAnsi="Arial"/>
          <w:sz w:val="19"/>
          <w:szCs w:val="19"/>
          <w:color w:val="auto"/>
        </w:rPr>
        <w:t>Legislation and (c) in relation to any state other than such an EEA Member Country and the United Kingdom, any analogous law or regulation from time to time which requires contractual recognition of any Write-Down and Conversion Powers contained in that law or</w:t>
      </w:r>
    </w:p>
    <w:p>
      <w:pPr>
        <w:spacing w:after="0"/>
        <w:rPr>
          <w:sz w:val="20"/>
          <w:szCs w:val="20"/>
          <w:color w:val="auto"/>
        </w:rPr>
      </w:pPr>
      <w:r>
        <w:rPr>
          <w:rFonts w:ascii="Arial" w:cs="Arial" w:eastAsia="Arial" w:hAnsi="Arial"/>
          <w:sz w:val="20"/>
          <w:szCs w:val="20"/>
          <w:color w:val="auto"/>
        </w:rPr>
        <w:t>regulation.</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Bankruptcy Event</w:t>
      </w:r>
      <w:r>
        <w:rPr>
          <w:rFonts w:ascii="Arial" w:cs="Arial" w:eastAsia="Arial" w:hAnsi="Arial"/>
          <w:sz w:val="16"/>
          <w:szCs w:val="16"/>
          <w:color w:val="auto"/>
        </w:rPr>
        <w:t>” means, with respect to any Person, such Person becomes the subject of a bankruptcy or insolvency proceeding, or has had a receiver, conservator, trustee, administrator, administrative receiver, compulsory manager, monitor, custodian, assignee for the</w:t>
      </w:r>
    </w:p>
    <w:p>
      <w:pPr>
        <w:spacing w:after="0" w:line="236" w:lineRule="auto"/>
        <w:rPr>
          <w:sz w:val="20"/>
          <w:szCs w:val="20"/>
          <w:color w:val="auto"/>
        </w:rPr>
      </w:pPr>
      <w:r>
        <w:rPr>
          <w:rFonts w:ascii="Arial" w:cs="Arial" w:eastAsia="Arial" w:hAnsi="Arial"/>
          <w:sz w:val="18"/>
          <w:szCs w:val="18"/>
          <w:color w:val="auto"/>
        </w:rPr>
        <w:t>benefit of creditors or similar Person charged with the reorganization, winding up, dissolution, restructuring, restructuring plan, adjustments,</w:t>
      </w:r>
    </w:p>
    <w:p>
      <w:pPr>
        <w:jc w:val="both"/>
        <w:spacing w:after="0" w:line="226" w:lineRule="auto"/>
        <w:rPr>
          <w:sz w:val="20"/>
          <w:szCs w:val="20"/>
          <w:color w:val="auto"/>
        </w:rPr>
      </w:pPr>
      <w:r>
        <w:rPr>
          <w:rFonts w:ascii="Arial" w:cs="Arial" w:eastAsia="Arial" w:hAnsi="Arial"/>
          <w:sz w:val="18"/>
          <w:szCs w:val="18"/>
          <w:color w:val="auto"/>
        </w:rPr>
        <w:t>protection, relief, composition or liquidation of its business appointed for it, or, in the good faith determination of the Administrative Agent, has taken any action in furtherance of, or indicating its consent to, approval of, or acquiescence in, any such proceeding or appointment,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Bankruptcy Event shall not result solely by virtue of any ownership interest, or the acquisition of any ownership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Person by a Governmental Authority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such ownership interest does not result in or</w:t>
      </w:r>
    </w:p>
    <w:p>
      <w:pPr>
        <w:spacing w:after="0" w:line="236" w:lineRule="auto"/>
        <w:rPr>
          <w:sz w:val="20"/>
          <w:szCs w:val="20"/>
          <w:color w:val="auto"/>
        </w:rPr>
      </w:pPr>
      <w:r>
        <w:rPr>
          <w:rFonts w:ascii="Arial" w:cs="Arial" w:eastAsia="Arial" w:hAnsi="Arial"/>
          <w:sz w:val="18"/>
          <w:szCs w:val="18"/>
          <w:color w:val="auto"/>
        </w:rPr>
        <w:t>provide such Person with immunity from the jurisdiction of courts within the United States or from the enforcement of judgments or writs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attachment on its assets or permit such Person (or such Governmental Authority or instrumentality) to reject, repudiate, disavow or disaffirm any contracts or agreements made by such Person.</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means 31 C.F.R. § 1010.230.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Bloomberg</w:t>
      </w:r>
      <w:r>
        <w:rPr>
          <w:rFonts w:ascii="Arial" w:cs="Arial" w:eastAsia="Arial" w:hAnsi="Arial"/>
          <w:sz w:val="20"/>
          <w:szCs w:val="20"/>
          <w:color w:val="FF0000"/>
          <w:strike w:val="1"/>
        </w:rPr>
        <w:t>” means Bloomberg Index Services Limited.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Governors of the Federal Reserve System of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means, The Cooper Companies, Inc., a Delaware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 Guaranteed Obligations</w:t>
      </w:r>
      <w:r>
        <w:rPr>
          <w:rFonts w:ascii="Arial" w:cs="Arial" w:eastAsia="Arial" w:hAnsi="Arial"/>
          <w:sz w:val="20"/>
          <w:szCs w:val="20"/>
          <w:color w:val="auto"/>
        </w:rPr>
        <w:t>” has the meaning assigned to such term in Section 9.01.</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w:t>
      </w:r>
      <w:r>
        <w:rPr>
          <w:rFonts w:ascii="Arial" w:cs="Arial" w:eastAsia="Arial" w:hAnsi="Arial"/>
          <w:sz w:val="20"/>
          <w:szCs w:val="20"/>
          <w:color w:val="auto"/>
        </w:rPr>
        <w:t xml:space="preserve">” means Loans (or each portion thereof) of the same Type, made, converted or continued on the same date and, in the case of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Loans (or each portion thereof) as to which a single Interest Period is in effect.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Request</w:t>
      </w:r>
      <w:r>
        <w:rPr>
          <w:rFonts w:ascii="Arial" w:cs="Arial" w:eastAsia="Arial" w:hAnsi="Arial"/>
          <w:sz w:val="20"/>
          <w:szCs w:val="20"/>
          <w:color w:val="auto"/>
        </w:rPr>
        <w:t>” has the meaning assigned to such term in Section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any day that is not a Saturday, Sunday or other day on which commercial banks in New York City are</w:t>
      </w:r>
    </w:p>
    <w:p>
      <w:pPr>
        <w:jc w:val="both"/>
        <w:spacing w:after="0" w:line="226" w:lineRule="auto"/>
        <w:rPr>
          <w:sz w:val="20"/>
          <w:szCs w:val="20"/>
          <w:color w:val="auto"/>
        </w:rPr>
      </w:pPr>
      <w:r>
        <w:rPr>
          <w:rFonts w:ascii="Arial" w:cs="Arial" w:eastAsia="Arial" w:hAnsi="Arial"/>
          <w:sz w:val="18"/>
          <w:szCs w:val="18"/>
          <w:color w:val="auto"/>
        </w:rPr>
        <w:t xml:space="preserve">authorized or required by law to remain closed;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when used in connection with a </w:t>
      </w:r>
      <w:r>
        <w:rPr>
          <w:rFonts w:ascii="Arial" w:cs="Arial" w:eastAsia="Arial" w:hAnsi="Arial"/>
          <w:sz w:val="18"/>
          <w:szCs w:val="18"/>
          <w:color w:val="FF0000"/>
          <w:strike w:val="1"/>
        </w:rPr>
        <w:t>Eurodollar Loan,</w:t>
      </w:r>
      <w:r>
        <w:rPr>
          <w:rFonts w:ascii="Arial" w:cs="Arial" w:eastAsia="Arial" w:hAnsi="Arial"/>
          <w:sz w:val="18"/>
          <w:szCs w:val="18"/>
          <w:u w:val="single" w:color="auto"/>
          <w:color w:val="0000FF"/>
        </w:rPr>
        <w:t>Term SOFR Loan or 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calculation with respect to an ABR Loan based on clause (c) of the definition of “Alternate Base Rate,”</w:t>
      </w:r>
      <w:r>
        <w:rPr>
          <w:rFonts w:ascii="Arial" w:cs="Arial" w:eastAsia="Arial" w:hAnsi="Arial"/>
          <w:sz w:val="18"/>
          <w:szCs w:val="18"/>
          <w:color w:val="0000FF"/>
        </w:rPr>
        <w:t xml:space="preserve"> </w:t>
      </w:r>
      <w:r>
        <w:rPr>
          <w:rFonts w:ascii="Arial" w:cs="Arial" w:eastAsia="Arial" w:hAnsi="Arial"/>
          <w:sz w:val="18"/>
          <w:szCs w:val="18"/>
          <w:color w:val="000000"/>
        </w:rPr>
        <w:t>the term “Business Day” shall also</w:t>
      </w:r>
    </w:p>
    <w:p>
      <w:pPr>
        <w:spacing w:after="0" w:line="236" w:lineRule="auto"/>
        <w:rPr>
          <w:sz w:val="20"/>
          <w:szCs w:val="20"/>
          <w:color w:val="auto"/>
        </w:rPr>
      </w:pPr>
      <w:r>
        <w:rPr>
          <w:rFonts w:ascii="Arial" w:cs="Arial" w:eastAsia="Arial" w:hAnsi="Arial"/>
          <w:sz w:val="18"/>
          <w:szCs w:val="18"/>
          <w:color w:val="auto"/>
        </w:rPr>
        <w:t xml:space="preserve">exclude any day </w:t>
      </w:r>
      <w:r>
        <w:rPr>
          <w:rFonts w:ascii="Arial" w:cs="Arial" w:eastAsia="Arial" w:hAnsi="Arial"/>
          <w:sz w:val="18"/>
          <w:szCs w:val="18"/>
          <w:color w:val="FF0000"/>
          <w:strike w:val="1"/>
        </w:rPr>
        <w:t>on which banks are not open for dealings in Dollar deposits in the London interbank market</w:t>
      </w:r>
      <w:r>
        <w:rPr>
          <w:rFonts w:ascii="Arial" w:cs="Arial" w:eastAsia="Arial" w:hAnsi="Arial"/>
          <w:sz w:val="18"/>
          <w:szCs w:val="18"/>
          <w:u w:val="single" w:color="auto"/>
          <w:color w:val="0000FF"/>
        </w:rPr>
        <w:t>that is not a SOFR Business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Day</w:t>
      </w:r>
      <w:r>
        <w:rPr>
          <w:rFonts w:ascii="Arial" w:cs="Arial" w:eastAsia="Arial" w:hAnsi="Arial"/>
          <w:sz w:val="20"/>
          <w:szCs w:val="20"/>
          <w:color w:val="000000"/>
        </w:rPr>
        <w:t>.</w:t>
      </w:r>
    </w:p>
    <w:p>
      <w:pPr>
        <w:spacing w:after="0" w:line="159"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Lease</w:t>
      </w:r>
      <w:r>
        <w:rPr>
          <w:rFonts w:ascii="Arial" w:cs="Arial" w:eastAsia="Arial" w:hAnsi="Arial"/>
          <w:sz w:val="16"/>
          <w:szCs w:val="16"/>
          <w:color w:val="auto"/>
        </w:rPr>
        <w:t>” as applied to any Person means any lease of any property (whether real, personal or mixed) by that Person as lessee that, in conformity with GAAP, should be accounted for as a capital lease on the balance sheet of that Person, subject to Section 1.04.</w:t>
      </w:r>
    </w:p>
    <w:p>
      <w:pPr>
        <w:spacing w:after="0" w:line="8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Lease Obligations</w:t>
      </w:r>
      <w:r>
        <w:rPr>
          <w:rFonts w:ascii="Arial" w:cs="Arial" w:eastAsia="Arial" w:hAnsi="Arial"/>
          <w:sz w:val="19"/>
          <w:szCs w:val="19"/>
          <w:color w:val="auto"/>
        </w:rPr>
        <w:t>” of any Person means the obligations of such Person to pay rent or other amounts under any Capital Lease, and the amount of such obligations shall be the capitalized amount thereof determined in accordance with GAAP.</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acquisition of ownership or voting control, directly or indirectly, beneficially or of record, on or</w:t>
      </w:r>
    </w:p>
    <w:p>
      <w:pPr>
        <w:jc w:val="both"/>
        <w:spacing w:after="0" w:line="226" w:lineRule="auto"/>
        <w:rPr>
          <w:sz w:val="20"/>
          <w:szCs w:val="20"/>
          <w:color w:val="auto"/>
        </w:rPr>
      </w:pPr>
      <w:r>
        <w:rPr>
          <w:rFonts w:ascii="Arial" w:cs="Arial" w:eastAsia="Arial" w:hAnsi="Arial"/>
          <w:sz w:val="18"/>
          <w:szCs w:val="18"/>
          <w:color w:val="auto"/>
        </w:rPr>
        <w:t>after the Closing Date, by any person or group (within the meaning of Rule 13d-3 of the SEC under the Securities Exchange Act of 1934, as then in effect), of shares representing more than 35% of the aggregate ordinary Voting Power represented by the issued and outstanding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capital stock of the Borrower.</w:t>
      </w:r>
    </w:p>
    <w:p>
      <w:pPr>
        <w:spacing w:after="0" w:line="173"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means the occurrence after the date of this Agreement (or, with respect to any Lender, such later date on which such Lender becomes a party to this Agreement) of any of the following: (a) the adoption or taking effect of any law, rule, regulation or</w:t>
      </w:r>
    </w:p>
    <w:p>
      <w:pPr>
        <w:spacing w:after="0" w:line="211" w:lineRule="auto"/>
        <w:rPr>
          <w:sz w:val="20"/>
          <w:szCs w:val="20"/>
          <w:color w:val="auto"/>
        </w:rPr>
      </w:pPr>
      <w:r>
        <w:rPr>
          <w:rFonts w:ascii="Arial" w:cs="Arial" w:eastAsia="Arial" w:hAnsi="Arial"/>
          <w:sz w:val="20"/>
          <w:szCs w:val="20"/>
          <w:color w:val="auto"/>
        </w:rPr>
        <w:t>treaty, (b) any change in any law, rule, regulation or treaty or in the interpretation, implementation or application thereof by any</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Governmental Authority or (c) compliance by any Lender (or, for purposes of Section 2.15(b), by any lending office of such Lender or by such Lender’s holding company, if any) with any request, guideline or directive (whether or not having the force of law) of any</w:t>
      </w:r>
    </w:p>
    <w:p>
      <w:pPr>
        <w:jc w:val="both"/>
        <w:ind w:right="20"/>
        <w:spacing w:after="0" w:line="226" w:lineRule="auto"/>
        <w:rPr>
          <w:sz w:val="20"/>
          <w:szCs w:val="20"/>
          <w:color w:val="auto"/>
        </w:rPr>
      </w:pPr>
      <w:r>
        <w:rPr>
          <w:rFonts w:ascii="Arial" w:cs="Arial" w:eastAsia="Arial" w:hAnsi="Arial"/>
          <w:sz w:val="18"/>
          <w:szCs w:val="18"/>
          <w:color w:val="auto"/>
        </w:rPr>
        <w:t xml:space="preserve">Governmental Authority made or issued after the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w:t>
      </w:r>
    </w:p>
    <w:p>
      <w:pPr>
        <w:spacing w:after="0" w:line="236" w:lineRule="auto"/>
        <w:rPr>
          <w:sz w:val="20"/>
          <w:szCs w:val="20"/>
          <w:color w:val="auto"/>
        </w:rPr>
      </w:pPr>
      <w:r>
        <w:rPr>
          <w:rFonts w:ascii="Arial" w:cs="Arial" w:eastAsia="Arial" w:hAnsi="Arial"/>
          <w:sz w:val="18"/>
          <w:szCs w:val="18"/>
          <w:color w:val="auto"/>
        </w:rPr>
        <w:t>connection therewith and (y) all requests, rules, guidelines or directives promulgated by the Bank for International Settlements, the Basel</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6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means the date on which the conditions specified in Section 4.01 are satisfied (or waived in accordance with Section 10.02).</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Fee Letter</w:t>
      </w:r>
      <w:r>
        <w:rPr>
          <w:rFonts w:ascii="Arial" w:cs="Arial" w:eastAsia="Arial" w:hAnsi="Arial"/>
          <w:sz w:val="20"/>
          <w:szCs w:val="20"/>
          <w:color w:val="auto"/>
        </w:rPr>
        <w:t>” means the Closing Fee Letter, dated as of the Closing Date, between the Borrower and the Administrative Agent, for the benefit of the Lenders.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CME</w:t>
      </w:r>
      <w:r>
        <w:rPr>
          <w:rFonts w:ascii="Arial" w:cs="Arial" w:eastAsia="Arial" w:hAnsi="Arial"/>
          <w:sz w:val="20"/>
          <w:szCs w:val="20"/>
          <w:u w:val="single" w:color="auto"/>
          <w:color w:val="0000FF"/>
        </w:rPr>
        <w:t>” means CME Group Benchmark Administration Ltd.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means, with respect to each Lender, its Term A-1 Loan Commitment and/or any Incremental Term Loan Commitment, as the context may require.</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Commodities Hedge Agreement</w:t>
      </w:r>
      <w:r>
        <w:rPr>
          <w:rFonts w:ascii="Arial" w:cs="Arial" w:eastAsia="Arial" w:hAnsi="Arial"/>
          <w:sz w:val="20"/>
          <w:szCs w:val="20"/>
          <w:color w:val="auto"/>
        </w:rPr>
        <w:t>” means a commodities contract purchased by the Borrower or any of its Subsidiaries in the ordinary course of business, and not for speculative purposes, with respect to raw materials necessary to the manufacturing or production of goods in connection with the business of the Borrower and its Subsidiaries.</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Communications</w:t>
      </w:r>
      <w:r>
        <w:rPr>
          <w:rFonts w:ascii="Arial" w:cs="Arial" w:eastAsia="Arial" w:hAnsi="Arial"/>
          <w:sz w:val="20"/>
          <w:szCs w:val="20"/>
          <w:color w:val="auto"/>
        </w:rPr>
        <w:t>” has the meaning assigned to such term in Section 10.01(d).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means those Persons that are competitors of the Borrower and its Subsidiaries, which Persons are identified by name in</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writing by the Borrower to the Administrative Agent prior to the Closing Date, as such list may be supplemented after the Closing Date by the Borrower from time to time as reasonably agreed by the Administrative Agent, it being agreed that any successor-in-interest to any</w:t>
      </w:r>
    </w:p>
    <w:p>
      <w:pPr>
        <w:spacing w:after="0" w:line="236" w:lineRule="auto"/>
        <w:rPr>
          <w:sz w:val="20"/>
          <w:szCs w:val="20"/>
          <w:color w:val="auto"/>
        </w:rPr>
      </w:pPr>
      <w:r>
        <w:rPr>
          <w:rFonts w:ascii="Arial" w:cs="Arial" w:eastAsia="Arial" w:hAnsi="Arial"/>
          <w:sz w:val="18"/>
          <w:szCs w:val="18"/>
          <w:color w:val="auto"/>
        </w:rPr>
        <w:t>Competitor shall be deemed to be reasonably agreed to by the Administrative Agent. Any such supplement to the list of Competitors after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Closing Date will become effective two Business Days after such supplement is delivered to the Administrative Agent. The list of such Persons submitted to the Administrative Agent shall be made available to the Lenders upon request. In no event shall a supplement apply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retroactively to disqualify any Lender as of the date of such supplement.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has the meaning assigned to such term in Section 5.01(c).</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Depreciation and Amortization Expense</w:t>
      </w:r>
      <w:r>
        <w:rPr>
          <w:rFonts w:ascii="Arial" w:cs="Arial" w:eastAsia="Arial" w:hAnsi="Arial"/>
          <w:sz w:val="18"/>
          <w:szCs w:val="18"/>
          <w:color w:val="auto"/>
        </w:rPr>
        <w:t>” means, for any period, all depreciation and amortization expenses of the Borrower and its Subsidiaries, all as determined for the Borrower and its Subsidiaries on a consolidated basis in accordance with GAAP.</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means, for any period, Consolidated Net Income for such period plus (a) without duplication, the aggregate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amounts deducted in determining such Consolidated Net Income in respect of (i) Consolidated Interest Expense, (ii) Consolidated Income Tax Expense, (iii) Consolidated Depreciation and Amortization Expense, (iv) any extraordinary, unusual or non-recurring expenses, losses</w:t>
      </w:r>
    </w:p>
    <w:p>
      <w:pPr>
        <w:spacing w:after="0" w:line="236" w:lineRule="auto"/>
        <w:rPr>
          <w:sz w:val="20"/>
          <w:szCs w:val="20"/>
          <w:color w:val="auto"/>
        </w:rPr>
      </w:pPr>
      <w:r>
        <w:rPr>
          <w:rFonts w:ascii="Arial" w:cs="Arial" w:eastAsia="Arial" w:hAnsi="Arial"/>
          <w:sz w:val="18"/>
          <w:szCs w:val="18"/>
          <w:color w:val="auto"/>
        </w:rPr>
        <w:t>and charges, including (A) impairment charges, (B) any loss from dispositions or the sales of assets outside the ordinary course of business,</w:t>
      </w:r>
    </w:p>
    <w:p>
      <w:pPr>
        <w:spacing w:after="0" w:line="1" w:lineRule="exact"/>
        <w:rPr>
          <w:sz w:val="20"/>
          <w:szCs w:val="20"/>
          <w:color w:val="auto"/>
        </w:rPr>
      </w:pPr>
    </w:p>
    <w:p>
      <w:pPr>
        <w:jc w:val="both"/>
        <w:ind w:firstLine="8"/>
        <w:spacing w:after="0" w:line="23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costs and charges associated with any Acquisitions and any related restructurings and investments, including charges for the sale of inventories revalued at the date of acquisition and in-process research and development acquired, and the amortization of acquisition related intangible assets, (D) facility start-up costs and (E) amortization or write-off of debt discount and debt issuance costs and commissions, discounts, debt refinancing costs and commissions and other fees and charges associated with Indebtedness, (v) restricted stock expense and stock option expense (but only to the extent deducted from the determination of Consolidated Net Income for such period), (vi) fees, costs and expenses incurred and paid by the Borrower or any of the Borrower’s Subsidiaries in connection with any litigation, judgment or settlement for any actual or threatened claim, action, suit or proceeding, including any out-of-court agreement or settlement, (vii) restructuring charges and reserves (whether or not classified as such under GAAP), including any fees, expenses or losses related to product line exits or the reconstruction, recommissioning or reconfiguration of fixed assets for alternate uses or the disposal, abandonment, transfer, closing or discontinuing of operations or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all such charges made in cash does not exceed the greater of $80,000,000 or 1.25% of Consolidated Total Assets during any twelve-month period, (viii) any non-cash impairment charge or asset write-off or write-down related to intangible assets, goodwill, long-lived assets, and investments in debt and equity securities pursuant to GAAP, (ix) all non-cash losses from investments recorded using the cost or equity method, (x) non-cash stock-based awards compensation expense, (xi) non-cash mark to market and other non-cash charges or non-cash expenses related to Hedge Agreement obligations, (xii) other non-cash charges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non-cash charges referred to in this clause (xii) represent an accrual or reserve for potential cash items in any future period, the cash payment in respect thereof in such future period shall be subtracted from Consolidated EBITDA to such extent), (xiii) (A) any charges, costs, expenses, accruals or reserves incurred pursuant to any management equity plan, profits interest or stock option plan, any equity-based compensation or equity-based incentive plan, or any other management or employee benefit plan, agreement or pension plan and (B) any charges, costs, expenses, accruals or reserves in connection with the rollover, acceleration or payout of Equity Interests of the Borrower held by management of the Borrower or any of its Subsidiaries, and (xiv) fees, costs, premiums and expenses incurred and paid by the Borrower or any of the Borrower’s Subsidiaries during any period in connection with any acquisition, investment, asset disposition, issuance, prepayment, or redemption of any Indebtedness permitted to be incurred pursuant to Section 6.04, issuance of equity securities, refinancing transaction or amendment or modification of any debt instrument (in each case, whether or not consummated) minus (b) any extraordinary gains, all as determined for the Borrower and its Subsidiaries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Income Tax Expense</w:t>
      </w:r>
      <w:r>
        <w:rPr>
          <w:rFonts w:ascii="Arial" w:cs="Arial" w:eastAsia="Arial" w:hAnsi="Arial"/>
          <w:sz w:val="18"/>
          <w:szCs w:val="18"/>
          <w:color w:val="auto"/>
        </w:rPr>
        <w:t>” means, for any period, all provisions for taxes based on Consolidated Net Income (including,</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without limitation, any additions to such taxes, and any penalties and interest with respect thereto), all as determined for the Borrower and its Subsidiaries on a consolidated basis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Interest Expense</w:t>
      </w:r>
      <w:r>
        <w:rPr>
          <w:rFonts w:ascii="Arial" w:cs="Arial" w:eastAsia="Arial" w:hAnsi="Arial"/>
          <w:sz w:val="19"/>
          <w:szCs w:val="19"/>
          <w:color w:val="auto"/>
        </w:rPr>
        <w:t>” means, for any period, total interest expense (including, without limitation, that which is</w:t>
      </w:r>
    </w:p>
    <w:p>
      <w:pPr>
        <w:spacing w:after="0" w:line="220" w:lineRule="auto"/>
        <w:rPr>
          <w:sz w:val="20"/>
          <w:szCs w:val="20"/>
          <w:color w:val="auto"/>
        </w:rPr>
      </w:pPr>
      <w:r>
        <w:rPr>
          <w:rFonts w:ascii="Arial" w:cs="Arial" w:eastAsia="Arial" w:hAnsi="Arial"/>
          <w:sz w:val="20"/>
          <w:szCs w:val="20"/>
          <w:color w:val="auto"/>
        </w:rPr>
        <w:t>capitalized and that which is attributable to Capital Leases or Synthetic Leases) of the Borrower and its Subsidiaries on a consolidated basis with respect to all outstanding Indebtedness of the Borrower and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Income</w:t>
      </w:r>
      <w:r>
        <w:rPr>
          <w:rFonts w:ascii="Arial" w:cs="Arial" w:eastAsia="Arial" w:hAnsi="Arial"/>
          <w:sz w:val="18"/>
          <w:szCs w:val="18"/>
          <w:color w:val="auto"/>
        </w:rPr>
        <w:t>” means, for any period, the net income (or loss) of the Borrower and its Subsidiaries on a consolidated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basis for such period taken as a single accounting period determined in conformity with GAAP, but excluding the cumulative effect of a change in accounting principles.</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Net Indebtedness</w:t>
      </w:r>
      <w:r>
        <w:rPr>
          <w:rFonts w:ascii="Arial" w:cs="Arial" w:eastAsia="Arial" w:hAnsi="Arial"/>
          <w:sz w:val="20"/>
          <w:szCs w:val="20"/>
          <w:color w:val="auto"/>
        </w:rPr>
        <w:t>” means, on any date, the difference of (a) Consolidated Total Indebtedness as of such date, minus (b) the aggregate amount of all Unrestricted Cash.</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Assets</w:t>
      </w:r>
      <w:r>
        <w:rPr>
          <w:rFonts w:ascii="Arial" w:cs="Arial" w:eastAsia="Arial" w:hAnsi="Arial"/>
          <w:sz w:val="20"/>
          <w:szCs w:val="20"/>
          <w:color w:val="auto"/>
        </w:rPr>
        <w:t>” means, on any date, all amounts that, in conformity with GAAP, would be included under the caption “total assets” (or any like caption) on a consolidated balance sheet of the Borrower at such time.</w:t>
      </w:r>
    </w:p>
    <w:p>
      <w:pPr>
        <w:spacing w:after="0" w:line="16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Indebtedness</w:t>
      </w:r>
      <w:r>
        <w:rPr>
          <w:rFonts w:ascii="Arial" w:cs="Arial" w:eastAsia="Arial" w:hAnsi="Arial"/>
          <w:sz w:val="20"/>
          <w:szCs w:val="20"/>
          <w:color w:val="auto"/>
        </w:rPr>
        <w:t>” means the sum (without duplication) of all Indebtedness of the Borrower and of its Subsidiaries, all as determined on a consolidated basis.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Total Tangible Assets</w:t>
      </w:r>
      <w:r>
        <w:rPr>
          <w:rFonts w:ascii="Arial" w:cs="Arial" w:eastAsia="Arial" w:hAnsi="Arial"/>
          <w:sz w:val="18"/>
          <w:szCs w:val="18"/>
          <w:color w:val="auto"/>
        </w:rPr>
        <w:t>” means, on any date, all amounts that, in conformity with GAAP, would be included under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caption “total assets” (or any like caption) on a consolidated balance sheet of the Borrower at such time excluding the net book value of intangible assets.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has a meaning correlative thereto.</w:t>
      </w:r>
    </w:p>
    <w:p>
      <w:pPr>
        <w:spacing w:after="0" w:line="144"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Credit Party</w:t>
      </w:r>
      <w:r>
        <w:rPr>
          <w:rFonts w:ascii="Arial" w:cs="Arial" w:eastAsia="Arial" w:hAnsi="Arial"/>
          <w:sz w:val="20"/>
          <w:szCs w:val="20"/>
          <w:color w:val="auto"/>
        </w:rPr>
        <w:t>” means the Administrative Agent, each Lender, each Designated Hedge Creditor and the respective successors and assigns of each of the foregoing.</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means any Lender that (a) has failed, within two Business Days of the date required to be funded or paid, to (i) fund any portion of its Loans or (ii) pay over to any Credit Party any other amount required to be paid by it hereunder, unless, in the case of</w:t>
      </w:r>
    </w:p>
    <w:p>
      <w:pPr>
        <w:jc w:val="both"/>
        <w:spacing w:after="0" w:line="226" w:lineRule="auto"/>
        <w:rPr>
          <w:sz w:val="20"/>
          <w:szCs w:val="20"/>
          <w:color w:val="auto"/>
        </w:rPr>
      </w:pPr>
      <w:r>
        <w:rPr>
          <w:rFonts w:ascii="Arial" w:cs="Arial" w:eastAsia="Arial" w:hAnsi="Arial"/>
          <w:sz w:val="18"/>
          <w:szCs w:val="18"/>
          <w:color w:val="auto"/>
        </w:rPr>
        <w:t>clause (i)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spacing w:after="0" w:line="2" w:lineRule="exact"/>
        <w:rPr>
          <w:sz w:val="20"/>
          <w:szCs w:val="20"/>
          <w:color w:val="auto"/>
        </w:rPr>
      </w:pPr>
    </w:p>
    <w:p>
      <w:pPr>
        <w:jc w:val="both"/>
        <w:ind w:firstLine="8"/>
        <w:spacing w:after="0" w:line="235" w:lineRule="auto"/>
        <w:tabs>
          <w:tab w:leader="none" w:pos="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such certification) to fund prospective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cease to be a Defaulting Lender pursuant to this clause (c) upon such Credit Party’s receipt of such certification in form and substance satisfactory to it and the Administrative Agent, (d) has become the subject of a Bail-In Action or (e) has become the subject of a Bankruptcy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Hedge Agreement</w:t>
      </w:r>
      <w:r>
        <w:rPr>
          <w:rFonts w:ascii="Arial" w:cs="Arial" w:eastAsia="Arial" w:hAnsi="Arial"/>
          <w:sz w:val="16"/>
          <w:szCs w:val="16"/>
          <w:color w:val="auto"/>
        </w:rPr>
        <w:t>” means any Hedge Agreement (other than a Commodities Hedge Agreement) to which the Borrower</w:t>
      </w:r>
    </w:p>
    <w:p>
      <w:pPr>
        <w:spacing w:after="0" w:line="35"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or any Subsidiary is a party and as to which, at the time such Hedge Agreement is entered into, a Lender or any of its Affiliates is a counterparty.</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Hedge Creditor</w:t>
      </w:r>
      <w:r>
        <w:rPr>
          <w:rFonts w:ascii="Arial" w:cs="Arial" w:eastAsia="Arial" w:hAnsi="Arial"/>
          <w:sz w:val="20"/>
          <w:szCs w:val="20"/>
          <w:color w:val="auto"/>
        </w:rPr>
        <w:t>” means each Person that participates as a counterparty to the Borrower or any Subsidiary pursuant to any Designated Hedge Agreement.</w:t>
      </w:r>
    </w:p>
    <w:p>
      <w:pPr>
        <w:spacing w:after="0" w:line="15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Persons</w:t>
      </w:r>
      <w:r>
        <w:rPr>
          <w:rFonts w:ascii="Arial" w:cs="Arial" w:eastAsia="Arial" w:hAnsi="Arial"/>
          <w:sz w:val="16"/>
          <w:szCs w:val="16"/>
          <w:color w:val="auto"/>
        </w:rPr>
        <w:t xml:space="preserve">” means, at any time, (a) any Person listed in any sanctions-related list of designated Persons maintained by OFAC, the U.S. Department of State, the United Nations Security Council, the European Union, </w:t>
      </w:r>
      <w:r>
        <w:rPr>
          <w:rFonts w:ascii="Arial" w:cs="Arial" w:eastAsia="Arial" w:hAnsi="Arial"/>
          <w:sz w:val="16"/>
          <w:szCs w:val="16"/>
          <w:color w:val="FF0000"/>
          <w:strike w:val="1"/>
        </w:rPr>
        <w:t>Her</w:t>
      </w:r>
      <w:r>
        <w:rPr>
          <w:rFonts w:ascii="Arial" w:cs="Arial" w:eastAsia="Arial" w:hAnsi="Arial"/>
          <w:sz w:val="16"/>
          <w:szCs w:val="16"/>
          <w:u w:val="single" w:color="auto"/>
          <w:color w:val="0000FF"/>
        </w:rPr>
        <w:t>His</w:t>
      </w:r>
      <w:r>
        <w:rPr>
          <w:rFonts w:ascii="Arial" w:cs="Arial" w:eastAsia="Arial" w:hAnsi="Arial"/>
          <w:sz w:val="16"/>
          <w:szCs w:val="16"/>
          <w:color w:val="auto"/>
        </w:rPr>
        <w:t xml:space="preserve"> Majesty’s Treasury, the Government of Canada, or other relevant sanctions authority, or (b) any Person owned or controlled by any such Person or Persons described in clause (a).</w:t>
      </w:r>
    </w:p>
    <w:p>
      <w:pPr>
        <w:spacing w:after="0" w:line="10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Disclosed Matters</w:t>
      </w:r>
      <w:r>
        <w:rPr>
          <w:rFonts w:ascii="Arial" w:cs="Arial" w:eastAsia="Arial" w:hAnsi="Arial"/>
          <w:sz w:val="20"/>
          <w:szCs w:val="20"/>
          <w:color w:val="auto"/>
        </w:rPr>
        <w:t>” means the actions, suits and proceedings, the environmental matters or other fact or circumstance disclosed in the Borrower’s annual report on Form 10-K for the fiscal year ended October 31, 2021, or any other reports filed prior to the Closing Date (including Form 8-K), in each case, as filed with the SEC.</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Documentation Agent</w:t>
      </w:r>
      <w:r>
        <w:rPr>
          <w:rFonts w:ascii="Arial" w:cs="Arial" w:eastAsia="Arial" w:hAnsi="Arial"/>
          <w:sz w:val="19"/>
          <w:szCs w:val="19"/>
          <w:color w:val="auto"/>
        </w:rPr>
        <w:t>” means each of Bank of America, N.A., Citibank, N.A., Citizens Bank, N.A., DNB Bank ASA, New York Branch, Mizuho Bank, Ltd. and Wells Fargo Bank, National Association, as documentation agents under this Agreement.</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 Equivalent</w:t>
      </w:r>
      <w:r>
        <w:rPr>
          <w:rFonts w:ascii="Arial" w:cs="Arial" w:eastAsia="Arial" w:hAnsi="Arial"/>
          <w:sz w:val="18"/>
          <w:szCs w:val="18"/>
          <w:color w:val="auto"/>
        </w:rPr>
        <w:t>” means, (i) with respect to any amount denominated in Dollars, such amount and (ii) with respect to any other amount not denominated in Dollars, the Dollar equivalent of such amount determined by the Administrative Agent on the basis of its spot</w:t>
      </w:r>
    </w:p>
    <w:p>
      <w:pPr>
        <w:jc w:val="both"/>
        <w:spacing w:after="0" w:line="227" w:lineRule="auto"/>
        <w:rPr>
          <w:sz w:val="20"/>
          <w:szCs w:val="20"/>
          <w:color w:val="auto"/>
        </w:rPr>
      </w:pPr>
      <w:r>
        <w:rPr>
          <w:rFonts w:ascii="Arial" w:cs="Arial" w:eastAsia="Arial" w:hAnsi="Arial"/>
          <w:sz w:val="20"/>
          <w:szCs w:val="20"/>
          <w:color w:val="auto"/>
        </w:rPr>
        <w:t>rate at approximately 11:00 A.M. London time on the date for which the Dollar equivalent amount of such amount is being determined, for the purchase of the relevant foreign currency with Dollars for delivery on such date.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refers to lawful money of the United States of America.</w:t>
      </w:r>
    </w:p>
    <w:p>
      <w:pPr>
        <w:spacing w:after="0" w:line="18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means any Subsidiary organized under the laws of the United States of America, any State thereof, or the District of Columbia, excluding any FSHCO and any subsidiary of either a FSHCO or a Foreign Subsidiary.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Financial Institution</w:t>
      </w:r>
      <w:r>
        <w:rPr>
          <w:rFonts w:ascii="Arial" w:cs="Arial" w:eastAsia="Arial" w:hAnsi="Arial"/>
          <w:sz w:val="18"/>
          <w:szCs w:val="18"/>
          <w:color w:val="auto"/>
        </w:rPr>
        <w:t>” means (a) any credit institution or investment firm established in any EEA Member Country or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United Kingdom which is subject to the supervision of a Resolution Authority, (b) any entity established in an EEA Member Country or the United Kingdom which is a parent of an institution described in clause (a) of this definition, or (c) any financial institution established in an</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EEA Member Country or the United Kingdom which is a subsidiary of an institution described in clauses (a) or (b) of this definition and is subject to consolidated supervision with its parent.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89"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Electronic System</w:t>
      </w:r>
      <w:r>
        <w:rPr>
          <w:rFonts w:ascii="Arial" w:cs="Arial" w:eastAsia="Arial" w:hAnsi="Arial"/>
          <w:sz w:val="20"/>
          <w:szCs w:val="20"/>
          <w:color w:val="auto"/>
        </w:rPr>
        <w:t>” means any electronic system, including e-mail, e-fax, Intralinks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ClearPar® and any other Internet or extranet-based site, whether such electronic system is owned, operated or hosted by the Administrative Agent and any of its Related Parties or any other Person, providing for access to data protected by passcodes or other security systems.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Assignee</w:t>
      </w:r>
      <w:r>
        <w:rPr>
          <w:rFonts w:ascii="Arial" w:cs="Arial" w:eastAsia="Arial" w:hAnsi="Arial"/>
          <w:sz w:val="18"/>
          <w:szCs w:val="18"/>
          <w:color w:val="auto"/>
        </w:rPr>
        <w:t>” means (i) a Lender (other than a Defaulting Lender), (ii) an Affiliate of a Lender, (iii) an Approved Fund, and</w:t>
      </w:r>
    </w:p>
    <w:p>
      <w:pPr>
        <w:spacing w:after="0" w:line="12" w:lineRule="exact"/>
        <w:rPr>
          <w:sz w:val="20"/>
          <w:szCs w:val="20"/>
          <w:color w:val="auto"/>
        </w:rPr>
      </w:pPr>
    </w:p>
    <w:p>
      <w:pPr>
        <w:ind w:right="20" w:firstLine="8"/>
        <w:spacing w:after="0" w:line="266"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Person (other than a natural Person) approved by (A) the Administrative Agent and (B) unless an Event of Default under Section 7.01(a), (b), (h) or (i) has occurred and is continuing, the Borrower (each such approval not to be unreasonably withheld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49" w:name="page50"/>
    <w:bookmarkEnd w:id="49"/>
    <w:p>
      <w:pPr>
        <w:spacing w:after="0" w:line="236" w:lineRule="auto"/>
        <w:rPr>
          <w:sz w:val="20"/>
          <w:szCs w:val="20"/>
          <w:color w:val="auto"/>
        </w:rPr>
      </w:pPr>
      <w:r>
        <w:rPr>
          <w:rFonts w:ascii="Arial" w:cs="Arial" w:eastAsia="Arial" w:hAnsi="Arial"/>
          <w:sz w:val="20"/>
          <w:szCs w:val="20"/>
          <w:color w:val="auto"/>
        </w:rPr>
        <w:t xml:space="preserve">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notwithstanding the foregoing, “Eligible Assignee” shall not include (a) the Borrower or any of the Borrower’s Affiliates or Subsidiaries, (b) any Defaulting Lender or (c) any Competitor.</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means all laws, rules, regulations, codes, ordinances, orders, decrees, or other binding requirements issued, promulgated or entered into by any Governmental Authority, relating to pollution, the preservation or protection of the environment or</w:t>
      </w:r>
    </w:p>
    <w:p>
      <w:pPr>
        <w:ind w:right="20"/>
        <w:spacing w:after="0" w:line="220" w:lineRule="auto"/>
        <w:rPr>
          <w:sz w:val="20"/>
          <w:szCs w:val="20"/>
          <w:color w:val="auto"/>
        </w:rPr>
      </w:pPr>
      <w:r>
        <w:rPr>
          <w:rFonts w:ascii="Arial" w:cs="Arial" w:eastAsia="Arial" w:hAnsi="Arial"/>
          <w:sz w:val="20"/>
          <w:szCs w:val="20"/>
          <w:color w:val="auto"/>
        </w:rPr>
        <w:t>natural resources, the generation, manufacture, use, labeling, treatment, storage, handling, transportation or Release of any Hazardous Material or, to the extent involving or related to any of the foregoing, health and safety matters.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Liability</w:t>
      </w:r>
      <w:r>
        <w:rPr>
          <w:rFonts w:ascii="Arial" w:cs="Arial" w:eastAsia="Arial" w:hAnsi="Arial"/>
          <w:sz w:val="19"/>
          <w:szCs w:val="19"/>
          <w:color w:val="auto"/>
        </w:rPr>
        <w:t>” means any liability (including any liability for damages, costs of environmental remediation, fines,</w:t>
      </w:r>
    </w:p>
    <w:p>
      <w:pPr>
        <w:spacing w:after="0" w:line="255" w:lineRule="auto"/>
        <w:rPr>
          <w:sz w:val="20"/>
          <w:szCs w:val="20"/>
          <w:color w:val="auto"/>
        </w:rPr>
      </w:pPr>
      <w:r>
        <w:rPr>
          <w:rFonts w:ascii="Arial" w:cs="Arial" w:eastAsia="Arial" w:hAnsi="Arial"/>
          <w:sz w:val="16"/>
          <w:szCs w:val="16"/>
          <w:color w:val="auto"/>
        </w:rPr>
        <w:t>penalties or indemnities), of the Borrower or any Subsidiary directly or indirectly resulting from or based upon (a) noncompliance with any Environmental Law, (b) the generation, use, handling, transportation, storage, treatment or disposal of any Hazardous Materials, (c) exposure</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w:t>
      </w:r>
      <w:r>
        <w:rPr>
          <w:rFonts w:ascii="Arial" w:cs="Arial" w:eastAsia="Arial" w:hAnsi="Arial"/>
          <w:sz w:val="18"/>
          <w:szCs w:val="18"/>
          <w:color w:val="auto"/>
        </w:rPr>
        <w:t>” means, with respect to any Person, any and all shares, interests, participations or other equivalents, including membership interests (however designated, whether voting or non-voting), of equity of such Person, including, if such Person is a</w:t>
      </w:r>
    </w:p>
    <w:p>
      <w:pPr>
        <w:spacing w:after="0" w:line="226" w:lineRule="auto"/>
        <w:rPr>
          <w:sz w:val="20"/>
          <w:szCs w:val="20"/>
          <w:color w:val="auto"/>
        </w:rPr>
      </w:pPr>
      <w:r>
        <w:rPr>
          <w:rFonts w:ascii="Arial" w:cs="Arial" w:eastAsia="Arial" w:hAnsi="Arial"/>
          <w:sz w:val="18"/>
          <w:szCs w:val="18"/>
          <w:color w:val="auto"/>
        </w:rPr>
        <w:t>partnership, partnership interests (whether general or limited) or any other interest or participation that confers on a Person the right to receive a share of the profits and losses of, or distributions of assets of, such partnership, but in no event will Equity Interest include any debt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securities convertible or exchangeable into equity unless and until actually converted or exchanged.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means the Employee Retirement Income Security Act of 1974, as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any trade or business (whether or not incorporated) that, together with the Borrower, is treated as a single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employer under Section 414(b) or (c) of the Code or, solely for purposes of Section 302 of ERISA and Section 412 of the Code, is treated as a single employer under Section 414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means (a) any “reportable event”, as defined in Section 4043 of ERISA or the regulations issued thereunder with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 to a Plan (other than an event for which the 30 day notice period is waived); (b) the failure of the Borrower or any of its ERISA Affiliates to satisfy the minimum funding standard of Section 412 and 430 of the Code or Sections 302 or 303 of ERISA with respect to any</w:t>
      </w:r>
    </w:p>
    <w:p>
      <w:pPr>
        <w:spacing w:after="0" w:line="236" w:lineRule="auto"/>
        <w:rPr>
          <w:sz w:val="20"/>
          <w:szCs w:val="20"/>
          <w:color w:val="auto"/>
        </w:rPr>
      </w:pPr>
      <w:r>
        <w:rPr>
          <w:rFonts w:ascii="Arial" w:cs="Arial" w:eastAsia="Arial" w:hAnsi="Arial"/>
          <w:sz w:val="18"/>
          <w:szCs w:val="18"/>
          <w:color w:val="auto"/>
        </w:rPr>
        <w:t>Plan, whether or not waived; (c) the filing pursuant to Section 412(c) of the Code or Section 303(c) of ERISA of an application for a waiver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minimum funding standard with respect to any Plan; (d) the incurrence by the Borrower or any of its ERISA Affiliates of any liability under Title IV of ERISA (other than for PBGC premiums due but not delinquent under Section 4007 of ERISA) with respect to the</w:t>
      </w:r>
    </w:p>
    <w:p>
      <w:pPr>
        <w:spacing w:after="0" w:line="224" w:lineRule="auto"/>
        <w:rPr>
          <w:sz w:val="20"/>
          <w:szCs w:val="20"/>
          <w:color w:val="auto"/>
        </w:rPr>
      </w:pPr>
      <w:r>
        <w:rPr>
          <w:rFonts w:ascii="Arial" w:cs="Arial" w:eastAsia="Arial" w:hAnsi="Arial"/>
          <w:sz w:val="19"/>
          <w:szCs w:val="19"/>
          <w:color w:val="auto"/>
        </w:rPr>
        <w:t>termination of any Plan; (e) the receipt by the Borrower or any ERISA Affiliate from the PBGC or a plan administrator of any notice of</w:t>
      </w:r>
    </w:p>
    <w:p>
      <w:pPr>
        <w:jc w:val="both"/>
        <w:spacing w:after="0" w:line="226" w:lineRule="auto"/>
        <w:rPr>
          <w:sz w:val="20"/>
          <w:szCs w:val="20"/>
          <w:color w:val="auto"/>
        </w:rPr>
      </w:pPr>
      <w:r>
        <w:rPr>
          <w:rFonts w:ascii="Arial" w:cs="Arial" w:eastAsia="Arial" w:hAnsi="Arial"/>
          <w:sz w:val="18"/>
          <w:szCs w:val="18"/>
          <w:color w:val="auto"/>
        </w:rPr>
        <w:t>intent to terminate any Plan or Plans or to appoint a trustee to administer any Plan; (f) the incurrence by the Borrower or any of its ERISA Affiliates of any liability with respect to the withdrawal or partial withdrawal (within the meanings of Sections 4203 and 4205 of ERISA)</w:t>
      </w:r>
    </w:p>
    <w:p>
      <w:pPr>
        <w:spacing w:after="0" w:line="236" w:lineRule="auto"/>
        <w:rPr>
          <w:sz w:val="20"/>
          <w:szCs w:val="20"/>
          <w:color w:val="auto"/>
        </w:rPr>
      </w:pPr>
      <w:r>
        <w:rPr>
          <w:rFonts w:ascii="Arial" w:cs="Arial" w:eastAsia="Arial" w:hAnsi="Arial"/>
          <w:sz w:val="18"/>
          <w:szCs w:val="18"/>
          <w:color w:val="auto"/>
        </w:rPr>
        <w:t>from any Multiemployer Plan; or (g) the receipt by the Borrower or any ERISA Affiliate of any notice, or the receipt by any Multiemployer</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w:t>
      </w:r>
      <w:r>
        <w:rPr>
          <w:rFonts w:ascii="Arial" w:cs="Arial" w:eastAsia="Arial" w:hAnsi="Arial"/>
          <w:sz w:val="20"/>
          <w:szCs w:val="20"/>
          <w:color w:val="auto"/>
        </w:rPr>
        <w:t>” has the meaning assigned to it in Section 8.02(a).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Notice</w:t>
      </w:r>
      <w:r>
        <w:rPr>
          <w:rFonts w:ascii="Arial" w:cs="Arial" w:eastAsia="Arial" w:hAnsi="Arial"/>
          <w:sz w:val="20"/>
          <w:szCs w:val="20"/>
          <w:color w:val="auto"/>
        </w:rPr>
        <w:t>” has the meaning assigned to it in Section 8.02(a).</w:t>
      </w:r>
    </w:p>
    <w:p>
      <w:pPr>
        <w:spacing w:after="0" w:line="17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0" w:name="page51"/>
    <w:bookmarkEnd w:id="50"/>
    <w:p>
      <w:pPr>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Eurodollar</w:t>
      </w:r>
      <w:r>
        <w:rPr>
          <w:rFonts w:ascii="Arial" w:cs="Arial" w:eastAsia="Arial" w:hAnsi="Arial"/>
          <w:sz w:val="20"/>
          <w:szCs w:val="20"/>
          <w:color w:val="FF0000"/>
          <w:strike w:val="1"/>
        </w:rPr>
        <w:t>”, when used in reference to any Loan or Borrowing, refers to whether such Loan, or the Loans comprising such Borrowing, are bearing interest at a rate determined by reference to the Adjusted LIBO Rate.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has the meaning assigned to such term in Section 7.01.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Loss</w:t>
      </w:r>
      <w:r>
        <w:rPr>
          <w:rFonts w:ascii="Arial" w:cs="Arial" w:eastAsia="Arial" w:hAnsi="Arial"/>
          <w:sz w:val="18"/>
          <w:szCs w:val="18"/>
          <w:color w:val="auto"/>
        </w:rPr>
        <w:t>” means, with respect to any property, (i) the actual or constructive total loss of such property or the use thereof,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resulting from destruction, damage beyond repair, or the rendition of such property permanently unfit for normal use from any casualty or similar occurrence whatsoever, (ii) the destruction or damage of a portion of such property from any casualty or similar occurrence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whatsoever under circumstances in which such damage cannot reasonably be expected to be repaired, or such property cannot reasonably be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expected to be restored to its condition immediately prior to such destruction or damage, within 90 days after the occurrence of such destruction or damage, (iii) the condemnation, confiscation or seizure of, or requisition of title to or use of, any property, or (iv) in the case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property located upon a leasehold, the termination or expiration of such leasehold.</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Subsidiary</w:t>
      </w:r>
      <w:r>
        <w:rPr>
          <w:rFonts w:ascii="Arial" w:cs="Arial" w:eastAsia="Arial" w:hAnsi="Arial"/>
          <w:sz w:val="18"/>
          <w:szCs w:val="18"/>
          <w:color w:val="auto"/>
        </w:rPr>
        <w:t>” means (a) any Foreign Subsidiary, (b) any non-wholly owned Subsidiary, (c) any Domestic Subsidiary that is not a Material Subsidiary, (d) any captive insurance company that is a Subsidiary, (e) any special purpose entity created or acquired in</w:t>
      </w:r>
    </w:p>
    <w:p>
      <w:pPr>
        <w:spacing w:after="0" w:line="239" w:lineRule="auto"/>
        <w:rPr>
          <w:sz w:val="20"/>
          <w:szCs w:val="20"/>
          <w:color w:val="auto"/>
        </w:rPr>
      </w:pPr>
      <w:r>
        <w:rPr>
          <w:rFonts w:ascii="Arial" w:cs="Arial" w:eastAsia="Arial" w:hAnsi="Arial"/>
          <w:sz w:val="19"/>
          <w:szCs w:val="19"/>
          <w:color w:val="auto"/>
        </w:rPr>
        <w:t>connection with, or which issues Indebtedness under, any Permitted Securitization Transaction and (f) any Subsidiary a guarantee by which would cause adverse tax consequences to the Borrower or any of its Subsidiaries as reasonably determined by the Borrower.</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Swap Obligation</w:t>
      </w:r>
      <w:r>
        <w:rPr>
          <w:rFonts w:ascii="Arial" w:cs="Arial" w:eastAsia="Arial" w:hAnsi="Arial"/>
          <w:sz w:val="18"/>
          <w:szCs w:val="18"/>
          <w:color w:val="auto"/>
        </w:rPr>
        <w:t>” means, with respect to the Borrower or any Subsidiary Guarantor, (x) as it relates to all or a portion of the Subsidiary Guaranty of such Subsidiary Guarantor or the Guaranty in Article IX hereof of the Borrower, any Swap Obligation if, and to</w:t>
      </w:r>
    </w:p>
    <w:p>
      <w:pPr>
        <w:spacing w:after="0" w:line="226" w:lineRule="auto"/>
        <w:rPr>
          <w:sz w:val="20"/>
          <w:szCs w:val="20"/>
          <w:color w:val="auto"/>
        </w:rPr>
      </w:pPr>
      <w:r>
        <w:rPr>
          <w:rFonts w:ascii="Arial" w:cs="Arial" w:eastAsia="Arial" w:hAnsi="Arial"/>
          <w:sz w:val="18"/>
          <w:szCs w:val="18"/>
          <w:color w:val="auto"/>
        </w:rPr>
        <w:t>the extent that, such Swap Obligation (or any guarantee thereof) is or becomes illegal under the Commodity Exchange Act or any rule, regulation or order of the Commodity Futures Trading Commission (or the application or official interpretation of any thereof) by virtue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Subsidiary Guarantor’s or the Borrower’s failure for any reason to constitute an “eligible contract participant” as defined in the Commodity Exchange Act and the regulations thereunder at the time the guarantee of such Subsidiary Guarantor or the Borrower becomes</w:t>
      </w:r>
    </w:p>
    <w:p>
      <w:pPr>
        <w:spacing w:after="0" w:line="224" w:lineRule="auto"/>
        <w:rPr>
          <w:sz w:val="20"/>
          <w:szCs w:val="20"/>
          <w:color w:val="auto"/>
        </w:rPr>
      </w:pPr>
      <w:r>
        <w:rPr>
          <w:rFonts w:ascii="Arial" w:cs="Arial" w:eastAsia="Arial" w:hAnsi="Arial"/>
          <w:sz w:val="19"/>
          <w:szCs w:val="19"/>
          <w:color w:val="auto"/>
        </w:rPr>
        <w:t>effective with respect to such Swap Obligation or (y) as it relates to all or a portion of the grant by such Subsidiary Guarantor or the</w:t>
      </w:r>
    </w:p>
    <w:p>
      <w:pPr>
        <w:ind w:right="20"/>
        <w:spacing w:after="0" w:line="226" w:lineRule="auto"/>
        <w:rPr>
          <w:sz w:val="20"/>
          <w:szCs w:val="20"/>
          <w:color w:val="auto"/>
        </w:rPr>
      </w:pPr>
      <w:r>
        <w:rPr>
          <w:rFonts w:ascii="Arial" w:cs="Arial" w:eastAsia="Arial" w:hAnsi="Arial"/>
          <w:sz w:val="18"/>
          <w:szCs w:val="18"/>
          <w:color w:val="auto"/>
        </w:rPr>
        <w:t>Borrower of a security interest, any Swap Obligation if, and to the extent that, such Swap Obligation (or such security interest in respect thereof) is or becomes illegal under the Commodity Exchange Act or any rule, regulation or order of the Commodity Futures Trading</w:t>
      </w:r>
    </w:p>
    <w:p>
      <w:pPr>
        <w:spacing w:after="0" w:line="236" w:lineRule="auto"/>
        <w:rPr>
          <w:sz w:val="20"/>
          <w:szCs w:val="20"/>
          <w:color w:val="auto"/>
        </w:rPr>
      </w:pPr>
      <w:r>
        <w:rPr>
          <w:rFonts w:ascii="Arial" w:cs="Arial" w:eastAsia="Arial" w:hAnsi="Arial"/>
          <w:sz w:val="18"/>
          <w:szCs w:val="18"/>
          <w:color w:val="auto"/>
        </w:rPr>
        <w:t>Commission (or the application or official interpretation of any thereof) by virtue of such Subsidiary Guarantor’s or the Borrower’s failure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 any reason to constitute an “eligible contract participant” as defined in the Commodity Exchange Act and the regulations thereunder at the time the security interest of such Subsidiary Guarantor or the Borrower becomes effective with respect to such Swap Obligation. If a</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w:t>
      </w:r>
    </w:p>
    <w:p>
      <w:pPr>
        <w:jc w:val="both"/>
        <w:spacing w:after="0" w:line="226" w:lineRule="auto"/>
        <w:rPr>
          <w:sz w:val="20"/>
          <w:szCs w:val="20"/>
          <w:color w:val="auto"/>
        </w:rPr>
      </w:pPr>
      <w:r>
        <w:rPr>
          <w:rFonts w:ascii="Arial" w:cs="Arial" w:eastAsia="Arial" w:hAnsi="Arial"/>
          <w:sz w:val="18"/>
          <w:szCs w:val="18"/>
          <w:color w:val="auto"/>
        </w:rPr>
        <w:t>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or (ii) that are Other Connection Taxes, (b) in the case of a Recipient, U.S. federal Taxes imposed on amounts payable to or for the account of</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Recipient pursuant to a law in effect on the date on which (i) such Recipient acquires such interest in the Loan or Commitment or becomes a party to this Agreement (other than pursuant to an assignment request by the Borrower under Section 2.19(b)) or (ii) such</w:t>
      </w:r>
    </w:p>
    <w:p>
      <w:pPr>
        <w:spacing w:after="0" w:line="236" w:lineRule="auto"/>
        <w:rPr>
          <w:sz w:val="20"/>
          <w:szCs w:val="20"/>
          <w:color w:val="auto"/>
        </w:rPr>
      </w:pPr>
      <w:r>
        <w:rPr>
          <w:rFonts w:ascii="Arial" w:cs="Arial" w:eastAsia="Arial" w:hAnsi="Arial"/>
          <w:sz w:val="18"/>
          <w:szCs w:val="18"/>
          <w:color w:val="auto"/>
        </w:rPr>
        <w:t>Recipient (if the Recipient is a Lender) changes its lending office, except in each case to the extent that, pursuant to Section 2.17, amounts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respect to such Taxes were payable either to such Recipient’s assignor immediately before such Recipient acquired such interest in the Loan or Commitment or became a party hereto or to such Recipient immediately before it changed its lending office, (c) Taxes attributable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Recipient’s failure to comply with Section 2.17(f) and (g), and (d) any U.S. federal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Extended Maturity Date</w:t>
      </w:r>
      <w:r>
        <w:rPr>
          <w:rFonts w:ascii="Arial" w:cs="Arial" w:eastAsia="Arial" w:hAnsi="Arial"/>
          <w:sz w:val="20"/>
          <w:szCs w:val="20"/>
          <w:color w:val="auto"/>
        </w:rPr>
        <w:t>” has the meaning assigned to such term in Section 2.22(a).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Extending Lender</w:t>
      </w:r>
      <w:r>
        <w:rPr>
          <w:rFonts w:ascii="Arial" w:cs="Arial" w:eastAsia="Arial" w:hAnsi="Arial"/>
          <w:sz w:val="20"/>
          <w:szCs w:val="20"/>
          <w:color w:val="auto"/>
        </w:rPr>
        <w:t>” has the meaning assigned to such term in Section 2.22(b).</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Extension Date</w:t>
      </w:r>
      <w:r>
        <w:rPr>
          <w:rFonts w:ascii="Arial" w:cs="Arial" w:eastAsia="Arial" w:hAnsi="Arial"/>
          <w:sz w:val="20"/>
          <w:szCs w:val="20"/>
          <w:color w:val="auto"/>
        </w:rPr>
        <w:t>” has the meaning assigned to such term in Section 2.22(a).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means the Commitments to make the Loans contemplated hereunder.</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w:t>
      </w:r>
    </w:p>
    <w:p>
      <w:pPr>
        <w:spacing w:after="0" w:line="235" w:lineRule="auto"/>
        <w:rPr>
          <w:sz w:val="20"/>
          <w:szCs w:val="20"/>
          <w:color w:val="auto"/>
        </w:rPr>
      </w:pPr>
      <w:r>
        <w:rPr>
          <w:rFonts w:ascii="Arial" w:cs="Arial" w:eastAsia="Arial" w:hAnsi="Arial"/>
          <w:sz w:val="18"/>
          <w:szCs w:val="18"/>
          <w:color w:val="auto"/>
        </w:rPr>
        <w:t>thereof, any agreements entered into pursuant to Section 1471(b)(1) of the Code and any fiscal or regulatory legislation, rules or official</w:t>
      </w:r>
    </w:p>
    <w:p>
      <w:pPr>
        <w:spacing w:after="0" w:line="220" w:lineRule="auto"/>
        <w:rPr>
          <w:sz w:val="20"/>
          <w:szCs w:val="20"/>
          <w:color w:val="auto"/>
        </w:rPr>
      </w:pPr>
      <w:r>
        <w:rPr>
          <w:rFonts w:ascii="Arial" w:cs="Arial" w:eastAsia="Arial" w:hAnsi="Arial"/>
          <w:sz w:val="20"/>
          <w:szCs w:val="20"/>
          <w:color w:val="auto"/>
        </w:rPr>
        <w:t>practices adopted pursuant to any intergovernmental agreement, treaty or convention among Governmental Authorities and implementing such Sections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FCPA</w:t>
      </w:r>
      <w:r>
        <w:rPr>
          <w:rFonts w:ascii="Arial" w:cs="Arial" w:eastAsia="Arial" w:hAnsi="Arial"/>
          <w:sz w:val="20"/>
          <w:szCs w:val="20"/>
          <w:color w:val="auto"/>
        </w:rPr>
        <w:t>” means the Foreign Corrupt Practices Act of 1977, as amended, and the rules and regulations thereunder.</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Federal Funds Effective Rate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means,</w:t>
      </w:r>
      <w:r>
        <w:rPr>
          <w:rFonts w:ascii="Arial" w:cs="Arial" w:eastAsia="Arial" w:hAnsi="Arial"/>
          <w:sz w:val="18"/>
          <w:szCs w:val="18"/>
          <w:color w:val="auto"/>
        </w:rPr>
        <w:t xml:space="preserve"> for any day </w:t>
      </w:r>
      <w:r>
        <w:rPr>
          <w:rFonts w:ascii="Arial" w:cs="Arial" w:eastAsia="Arial" w:hAnsi="Arial"/>
          <w:sz w:val="18"/>
          <w:szCs w:val="18"/>
          <w:color w:val="FF0000"/>
        </w:rPr>
        <w:t>shall mean</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rate per annum (based on a year of 360 days and actual days elapsed and rounded upward to the nearest 1/100 of 1%) announced by the Federal Reserve Bank of New York (or any successor) 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-178435</wp:posOffset>
            </wp:positionV>
            <wp:extent cx="5892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89280" cy="8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day as being the weighted average of the rates on overnight federal funds transactions arranged by federal funds brokers on the previous</w:t>
      </w:r>
    </w:p>
    <w:p>
      <w:pPr>
        <w:spacing w:after="0" w:line="226" w:lineRule="auto"/>
        <w:rPr>
          <w:sz w:val="20"/>
          <w:szCs w:val="20"/>
          <w:color w:val="auto"/>
        </w:rPr>
      </w:pPr>
      <w:r>
        <w:rPr>
          <w:rFonts w:ascii="Arial" w:cs="Arial" w:eastAsia="Arial" w:hAnsi="Arial"/>
          <w:sz w:val="18"/>
          <w:szCs w:val="18"/>
          <w:color w:val="auto"/>
        </w:rPr>
        <w:t>trading day, as computed and announced by such Federal Reserve Bank (or any successor) in substantially the same manner as such Federal Reserve Bank computes and announces the weighted average it refers to as the “Federal Funds Effective Rate” as of the date of this</w:t>
      </w:r>
    </w:p>
    <w:p>
      <w:pPr>
        <w:spacing w:after="0" w:line="236" w:lineRule="auto"/>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provided</w:t>
      </w:r>
      <w:r>
        <w:rPr>
          <w:rFonts w:ascii="Arial" w:cs="Arial" w:eastAsia="Arial" w:hAnsi="Arial"/>
          <w:sz w:val="18"/>
          <w:szCs w:val="18"/>
          <w:color w:val="auto"/>
        </w:rPr>
        <w:t>, if such Federal Reserve Bank (or its successor) does not announce such rate on any day, the “Federal Funds Effective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Rate” for such day shall be the Federal Funds Effective Rate for the last day on which such rate was announced. Notwithstanding the foregoing, if the Federal Funds Effective Rate shall be less than zero, such rate shall be deemed to be zero for purposes of this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Financial Covenants</w:t>
      </w:r>
      <w:r>
        <w:rPr>
          <w:rFonts w:ascii="Arial" w:cs="Arial" w:eastAsia="Arial" w:hAnsi="Arial"/>
          <w:sz w:val="20"/>
          <w:szCs w:val="20"/>
          <w:color w:val="auto"/>
        </w:rPr>
        <w:t>” means the financial covenants set forth in Section 6.06.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Financial Officer</w:t>
      </w:r>
      <w:r>
        <w:rPr>
          <w:rFonts w:ascii="Arial" w:cs="Arial" w:eastAsia="Arial" w:hAnsi="Arial"/>
          <w:sz w:val="20"/>
          <w:szCs w:val="20"/>
          <w:color w:val="auto"/>
        </w:rPr>
        <w:t>” means the chief financial officer, principal accounting officer, treasurer or controller of the Borrower.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Lender</w:t>
      </w:r>
      <w:r>
        <w:rPr>
          <w:rFonts w:ascii="Arial" w:cs="Arial" w:eastAsia="Arial" w:hAnsi="Arial"/>
          <w:sz w:val="20"/>
          <w:szCs w:val="20"/>
          <w:color w:val="auto"/>
        </w:rPr>
        <w:t>” means a Recipient that is not a U.S.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means any Subsidiary that is not a Domestic Subsidiary.</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FSHCO</w:t>
      </w:r>
      <w:r>
        <w:rPr>
          <w:rFonts w:ascii="Arial" w:cs="Arial" w:eastAsia="Arial" w:hAnsi="Arial"/>
          <w:sz w:val="20"/>
          <w:szCs w:val="20"/>
          <w:color w:val="auto"/>
        </w:rPr>
        <w:t>” means any Subsidiary substantially all of the assets of which consist of Equity Interests and/or Indebtedness of one or more Foreign Subsidiaries.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GAAP</w:t>
      </w:r>
      <w:r>
        <w:rPr>
          <w:rFonts w:ascii="Arial" w:cs="Arial" w:eastAsia="Arial" w:hAnsi="Arial"/>
          <w:sz w:val="20"/>
          <w:szCs w:val="20"/>
          <w:color w:val="auto"/>
        </w:rPr>
        <w:t>” means generally accepted accounting principles in the United States of America.</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w:t>
      </w:r>
    </w:p>
    <w:p>
      <w:pPr>
        <w:spacing w:after="0" w:line="220" w:lineRule="auto"/>
        <w:rPr>
          <w:sz w:val="20"/>
          <w:szCs w:val="20"/>
          <w:color w:val="auto"/>
        </w:rPr>
      </w:pPr>
      <w:r>
        <w:rPr>
          <w:rFonts w:ascii="Arial" w:cs="Arial" w:eastAsia="Arial" w:hAnsi="Arial"/>
          <w:sz w:val="20"/>
          <w:szCs w:val="20"/>
          <w:color w:val="auto"/>
        </w:rPr>
        <w:t>executive, legislative, judicial, taxing, regulatory or administrative powers or functions of or pertaining to government (including any supra-national bodies exercising such powers or functions, such as the European Union or European Central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 Obligation</w:t>
      </w:r>
      <w:r>
        <w:rPr>
          <w:rFonts w:ascii="Arial" w:cs="Arial" w:eastAsia="Arial" w:hAnsi="Arial"/>
          <w:sz w:val="19"/>
          <w:szCs w:val="19"/>
          <w:color w:val="auto"/>
        </w:rPr>
        <w:t>” of or by any Person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means any obligation, contingent or otherwise, of the guarantor</w:t>
      </w:r>
    </w:p>
    <w:p>
      <w:pPr>
        <w:spacing w:after="0" w:line="255" w:lineRule="auto"/>
        <w:rPr>
          <w:sz w:val="20"/>
          <w:szCs w:val="20"/>
          <w:color w:val="auto"/>
        </w:rPr>
      </w:pPr>
      <w:r>
        <w:rPr>
          <w:rFonts w:ascii="Arial" w:cs="Arial" w:eastAsia="Arial" w:hAnsi="Arial"/>
          <w:sz w:val="16"/>
          <w:szCs w:val="16"/>
          <w:color w:val="auto"/>
        </w:rPr>
        <w:t>guaranteeing or having the economic effect of guaranteeing any Indebtedness or other obligation of any other Person (the “</w:t>
      </w:r>
      <w:r>
        <w:rPr>
          <w:rFonts w:ascii="Arial" w:cs="Arial" w:eastAsia="Arial" w:hAnsi="Arial"/>
          <w:sz w:val="16"/>
          <w:szCs w:val="16"/>
          <w:b w:val="1"/>
          <w:bCs w:val="1"/>
          <w:i w:val="1"/>
          <w:iCs w:val="1"/>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advance or supply funds for the purchase or payment of) such Indebtedness or other obligation or to purchase (or to advance or supply funds for the purchase of) any security for the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2" w:name="page53"/>
    <w:bookmarkEnd w:id="52"/>
    <w:p>
      <w:pPr>
        <w:jc w:val="both"/>
        <w:ind w:firstLine="8"/>
        <w:spacing w:after="0" w:line="218" w:lineRule="auto"/>
        <w:tabs>
          <w:tab w:leader="none" w:pos="288"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term Guaranty Obligation shall not include endorsements for collection or deposit in the ordinary course of business.</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Hazardous Materials</w:t>
      </w:r>
      <w:r>
        <w:rPr>
          <w:rFonts w:ascii="Arial" w:cs="Arial" w:eastAsia="Arial" w:hAnsi="Arial"/>
          <w:sz w:val="20"/>
          <w:szCs w:val="20"/>
          <w:color w:val="auto"/>
        </w:rPr>
        <w:t>” means any material, substance or waste that is listed, regulated, or otherwise defined as hazardous, toxic or radioactive (or words of similar regulatory intent or meaning) under applicable Environmental Law, or the exposure to which or the Release of which could give rise to liability under any Environmental Law.</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Hedge Agreement</w:t>
      </w:r>
      <w:r>
        <w:rPr>
          <w:rFonts w:ascii="Arial" w:cs="Arial" w:eastAsia="Arial" w:hAnsi="Arial"/>
          <w:sz w:val="18"/>
          <w:szCs w:val="18"/>
          <w:color w:val="auto"/>
        </w:rPr>
        <w:t>” means (i) any and all rate swap transactions, basis swaps, credit derivative transactions, forward rate transactions, commodity swaps, commodity options, forward commodity contracts, equity or equity index swaps or options, bond or bond</w:t>
      </w:r>
    </w:p>
    <w:p>
      <w:pPr>
        <w:jc w:val="both"/>
        <w:spacing w:after="0" w:line="226" w:lineRule="auto"/>
        <w:rPr>
          <w:sz w:val="20"/>
          <w:szCs w:val="20"/>
          <w:color w:val="auto"/>
        </w:rPr>
      </w:pPr>
      <w:r>
        <w:rPr>
          <w:rFonts w:ascii="Arial" w:cs="Arial" w:eastAsia="Arial" w:hAnsi="Arial"/>
          <w:sz w:val="18"/>
          <w:szCs w:val="18"/>
          <w:color w:val="auto"/>
        </w:rPr>
        <w:t>price or bond index swaps or options or forward bond or forward bond price or forward bond index transactions, interest rate options, forward foreign exchange transactions, cap transactions, floor transactions, collar transactions, currency swap transactions, cross-currency</w:t>
      </w:r>
    </w:p>
    <w:p>
      <w:pPr>
        <w:spacing w:after="0" w:line="224" w:lineRule="auto"/>
        <w:rPr>
          <w:sz w:val="20"/>
          <w:szCs w:val="20"/>
          <w:color w:val="auto"/>
        </w:rPr>
      </w:pPr>
      <w:r>
        <w:rPr>
          <w:rFonts w:ascii="Arial" w:cs="Arial" w:eastAsia="Arial" w:hAnsi="Arial"/>
          <w:sz w:val="19"/>
          <w:szCs w:val="19"/>
          <w:color w:val="auto"/>
        </w:rPr>
        <w:t>rate swap transactions, currency options, spot contracts, or any other similar transactions or any combination of any of the foregoing</w:t>
      </w:r>
    </w:p>
    <w:p>
      <w:pPr>
        <w:jc w:val="both"/>
        <w:spacing w:after="0" w:line="226" w:lineRule="auto"/>
        <w:rPr>
          <w:sz w:val="20"/>
          <w:szCs w:val="20"/>
          <w:color w:val="auto"/>
        </w:rPr>
      </w:pPr>
      <w:r>
        <w:rPr>
          <w:rFonts w:ascii="Arial" w:cs="Arial" w:eastAsia="Arial" w:hAnsi="Arial"/>
          <w:sz w:val="18"/>
          <w:szCs w:val="18"/>
          <w:color w:val="auto"/>
        </w:rPr>
        <w:t>(including any options to enter into any of the foregoing), whether or not any such transaction is governed by or subject to any master agreement and (ii) any and all transactions of any kind, and the related confirmations, which are subject to the terms and conditions of, or</w:t>
      </w:r>
    </w:p>
    <w:p>
      <w:pPr>
        <w:spacing w:after="0" w:line="236" w:lineRule="auto"/>
        <w:rPr>
          <w:sz w:val="20"/>
          <w:szCs w:val="20"/>
          <w:color w:val="auto"/>
        </w:rPr>
      </w:pPr>
      <w:r>
        <w:rPr>
          <w:rFonts w:ascii="Arial" w:cs="Arial" w:eastAsia="Arial" w:hAnsi="Arial"/>
          <w:sz w:val="18"/>
          <w:szCs w:val="18"/>
          <w:color w:val="auto"/>
        </w:rPr>
        <w:t>governed by, any form of master agreement published by the International Swaps and Derivatives Association, Inc., any International Foreign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Exchange Master Agreement, or any other master agreement (any such master agreement, together with any related schedules, a “</w:t>
      </w:r>
      <w:r>
        <w:rPr>
          <w:rFonts w:ascii="Arial" w:cs="Arial" w:eastAsia="Arial" w:hAnsi="Arial"/>
          <w:sz w:val="18"/>
          <w:szCs w:val="18"/>
          <w:b w:val="1"/>
          <w:bCs w:val="1"/>
          <w:i w:val="1"/>
          <w:i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including any such obligations or liabilities under any Master Agreement, in each case for the purpose of hedging the foreign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currency, interest rate or commodity risk associated with the operations of the Borrower and/or its Subsidiaries.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Increased Amount Date</w:t>
      </w:r>
      <w:r>
        <w:rPr>
          <w:rFonts w:ascii="Arial" w:cs="Arial" w:eastAsia="Arial" w:hAnsi="Arial"/>
          <w:sz w:val="20"/>
          <w:szCs w:val="20"/>
          <w:color w:val="auto"/>
        </w:rPr>
        <w:t>” has the meaning assigned to such term in Section 2.04(a).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w:t>
      </w:r>
      <w:r>
        <w:rPr>
          <w:rFonts w:ascii="Arial" w:cs="Arial" w:eastAsia="Arial" w:hAnsi="Arial"/>
          <w:sz w:val="20"/>
          <w:szCs w:val="20"/>
          <w:color w:val="auto"/>
        </w:rPr>
        <w:t>” has the meaning assigned to such term in Section 2.04(a).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 Commitments</w:t>
      </w:r>
      <w:r>
        <w:rPr>
          <w:rFonts w:ascii="Arial" w:cs="Arial" w:eastAsia="Arial" w:hAnsi="Arial"/>
          <w:sz w:val="20"/>
          <w:szCs w:val="20"/>
          <w:color w:val="auto"/>
        </w:rPr>
        <w:t>” has the meaning assigned to such term in Section 2.04(a).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 Lender</w:t>
      </w:r>
      <w:r>
        <w:rPr>
          <w:rFonts w:ascii="Arial" w:cs="Arial" w:eastAsia="Arial" w:hAnsi="Arial"/>
          <w:sz w:val="20"/>
          <w:szCs w:val="20"/>
          <w:color w:val="auto"/>
        </w:rPr>
        <w:t>” has the meaning assigned to such term in Section 2.04(a).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of any Person means, without duplication, (a) all obligations of such Person for borrowed money or with respect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deposits or advances of any kind, (b) all obligations of such Person evidenced by bonds, debentures, notes or similar instruments, (c) all obligations of such Person under conditional sale or other title retention agreements relating to property acquired by such Person, (d) all</w:t>
      </w:r>
    </w:p>
    <w:p>
      <w:pPr>
        <w:spacing w:after="0" w:line="236" w:lineRule="auto"/>
        <w:rPr>
          <w:sz w:val="20"/>
          <w:szCs w:val="20"/>
          <w:color w:val="auto"/>
        </w:rPr>
      </w:pPr>
      <w:r>
        <w:rPr>
          <w:rFonts w:ascii="Arial" w:cs="Arial" w:eastAsia="Arial" w:hAnsi="Arial"/>
          <w:sz w:val="18"/>
          <w:szCs w:val="18"/>
          <w:color w:val="auto"/>
        </w:rPr>
        <w:t>obligations of such Person in respect of the deferred purchase price of property or services (excluding current accounts payable incurred in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ordinary course of business), (e) all Indebtedness of others secured by (or for which the holder of such Indebtedness has an existing right, contingent or otherwise, to be secured by) any Lien on property owned or acquired by such Person, whether or not the Indebtedness secured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thereby has been assumed, (f) all Guaranty Obligations of such Person of Indebtedness of others, (g) all Capital Lease Obligations of such Person, (h) all obligations, contingent or otherwise, of such Person as an account party in respect of letters of credit and letters of guaranty,</w:t>
      </w:r>
    </w:p>
    <w:p>
      <w:pPr>
        <w:spacing w:after="0" w:line="2" w:lineRule="exact"/>
        <w:rPr>
          <w:sz w:val="20"/>
          <w:szCs w:val="20"/>
          <w:color w:val="auto"/>
        </w:rPr>
      </w:pPr>
    </w:p>
    <w:p>
      <w:pPr>
        <w:jc w:val="both"/>
        <w:ind w:firstLine="8"/>
        <w:spacing w:after="0"/>
        <w:tabs>
          <w:tab w:leader="none" w:pos="2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in respect of bankers’ acceptances and (j) for purposes of Section 6.04 and Section 7.01(g) only, all net obligations of such Person under any Hedge Agreement. The Indebtedness of any Person shall include the Indebtedness of any partnership or joint venture (other than a joint venture that is itself a corporation or limited liability company) in which such Person is a general partner or joint venturer, unless such Indebtedness is expressly made non-recourse to such Person.</w:t>
      </w:r>
    </w:p>
    <w:p>
      <w:pPr>
        <w:spacing w:after="0" w:line="169"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3" w:name="page54"/>
    <w:bookmarkEnd w:id="53"/>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Coverage Ratio</w:t>
      </w:r>
      <w:r>
        <w:rPr>
          <w:rFonts w:ascii="Arial" w:cs="Arial" w:eastAsia="Arial" w:hAnsi="Arial"/>
          <w:sz w:val="20"/>
          <w:szCs w:val="20"/>
          <w:color w:val="auto"/>
        </w:rPr>
        <w:t>” means, for any Testing Period, the ratio of (i) Consolidated EBITDA to (ii) Consolidated Interest Expense, calculated on a Pro Forma Basis.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Election Request</w:t>
      </w:r>
      <w:r>
        <w:rPr>
          <w:rFonts w:ascii="Arial" w:cs="Arial" w:eastAsia="Arial" w:hAnsi="Arial"/>
          <w:sz w:val="18"/>
          <w:szCs w:val="18"/>
          <w:color w:val="auto"/>
        </w:rPr>
        <w:t>” means a request by the Borrower to convert or continue a Borrowing in accordance with Section 2.08.</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means (a) with respect to any ABR Loan, the last day of each March, June, September and December and</w:t>
      </w:r>
    </w:p>
    <w:p>
      <w:pPr>
        <w:spacing w:after="0" w:line="12" w:lineRule="exact"/>
        <w:rPr>
          <w:sz w:val="20"/>
          <w:szCs w:val="20"/>
          <w:color w:val="auto"/>
        </w:rPr>
      </w:pPr>
    </w:p>
    <w:p>
      <w:pPr>
        <w:jc w:val="both"/>
        <w:ind w:firstLine="8"/>
        <w:spacing w:after="0" w:line="229" w:lineRule="auto"/>
        <w:tabs>
          <w:tab w:leader="none" w:pos="288"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with respect to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the last day of the Interest Period applicable to the Borrowing of which such Loan is a part and, in the case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with an Interest Period of more than three months’ duration, each day prior to the last day of such Interest Period that occurs at intervals of three months’ duration after the first day of such Interest Period.</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the period commencing on the date of such Borrowing and ending on the numerically corresponding day in the calendar month that is one, three or six months thereafter (or, if agreed to</w:t>
      </w:r>
    </w:p>
    <w:p>
      <w:pPr>
        <w:spacing w:after="0" w:line="235" w:lineRule="auto"/>
        <w:rPr>
          <w:sz w:val="20"/>
          <w:szCs w:val="20"/>
          <w:color w:val="auto"/>
        </w:rPr>
      </w:pPr>
      <w:r>
        <w:rPr>
          <w:rFonts w:ascii="Arial" w:cs="Arial" w:eastAsia="Arial" w:hAnsi="Arial"/>
          <w:sz w:val="18"/>
          <w:szCs w:val="18"/>
          <w:color w:val="auto"/>
        </w:rPr>
        <w:t xml:space="preserve">by the Administrative Agent, ending on a day that is less than one month thereafter), as the Borrower may elect;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any</w:t>
      </w:r>
    </w:p>
    <w:p>
      <w:pPr>
        <w:spacing w:after="0" w:line="226" w:lineRule="auto"/>
        <w:rPr>
          <w:sz w:val="20"/>
          <w:szCs w:val="20"/>
          <w:color w:val="auto"/>
        </w:rPr>
      </w:pPr>
      <w:r>
        <w:rPr>
          <w:rFonts w:ascii="Arial" w:cs="Arial" w:eastAsia="Arial" w:hAnsi="Arial"/>
          <w:sz w:val="18"/>
          <w:szCs w:val="18"/>
          <w:color w:val="auto"/>
        </w:rPr>
        <w:t xml:space="preserve">Interest Period would end on a day other than a Business Day, such Interest Period shall be extended to the next succeeding Business Day unless,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such next succeeding Business Day would fall in the next calendar month, in</w:t>
      </w:r>
    </w:p>
    <w:p>
      <w:pPr>
        <w:spacing w:after="0" w:line="236" w:lineRule="auto"/>
        <w:rPr>
          <w:sz w:val="20"/>
          <w:szCs w:val="20"/>
          <w:color w:val="auto"/>
        </w:rPr>
      </w:pPr>
      <w:r>
        <w:rPr>
          <w:rFonts w:ascii="Arial" w:cs="Arial" w:eastAsia="Arial" w:hAnsi="Arial"/>
          <w:sz w:val="18"/>
          <w:szCs w:val="18"/>
          <w:color w:val="auto"/>
        </w:rPr>
        <w:t xml:space="preserve">which case such Interest Period shall end on the immediately preceding Business Day, (ii) any Interest Period </w:t>
      </w:r>
      <w:r>
        <w:rPr>
          <w:rFonts w:ascii="Arial" w:cs="Arial" w:eastAsia="Arial" w:hAnsi="Arial"/>
          <w:sz w:val="18"/>
          <w:szCs w:val="18"/>
          <w:u w:val="single" w:color="auto"/>
          <w:color w:val="0000FF"/>
        </w:rPr>
        <w:t>(other than an Interest Period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having a duration of less than one month)</w:t>
      </w:r>
      <w:r>
        <w:rPr>
          <w:rFonts w:ascii="Arial" w:cs="Arial" w:eastAsia="Arial" w:hAnsi="Arial"/>
          <w:sz w:val="18"/>
          <w:szCs w:val="18"/>
          <w:color w:val="0000FF"/>
        </w:rPr>
        <w:t xml:space="preserve"> </w:t>
      </w:r>
      <w:r>
        <w:rPr>
          <w:rFonts w:ascii="Arial" w:cs="Arial" w:eastAsia="Arial" w:hAnsi="Arial"/>
          <w:sz w:val="18"/>
          <w:szCs w:val="18"/>
          <w:color w:val="000000"/>
        </w:rPr>
        <w:t>pertaining to a</w:t>
      </w:r>
      <w:r>
        <w:rPr>
          <w:rFonts w:ascii="Arial" w:cs="Arial" w:eastAsia="Arial" w:hAnsi="Arial"/>
          <w:sz w:val="18"/>
          <w:szCs w:val="18"/>
          <w:color w:val="0000FF"/>
        </w:rPr>
        <w:t xml:space="preserve">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0000FF"/>
        </w:rPr>
        <w:t xml:space="preserve"> </w:t>
      </w:r>
      <w:r>
        <w:rPr>
          <w:rFonts w:ascii="Arial" w:cs="Arial" w:eastAsia="Arial" w:hAnsi="Arial"/>
          <w:sz w:val="18"/>
          <w:szCs w:val="18"/>
          <w:color w:val="000000"/>
        </w:rPr>
        <w:t>Borrowing that commences on the last Business Day of a</w:t>
      </w:r>
      <w:r>
        <w:rPr>
          <w:rFonts w:ascii="Arial" w:cs="Arial" w:eastAsia="Arial" w:hAnsi="Arial"/>
          <w:sz w:val="18"/>
          <w:szCs w:val="18"/>
          <w:color w:val="0000FF"/>
        </w:rPr>
        <w:t xml:space="preserve"> </w:t>
      </w:r>
      <w:r>
        <w:rPr>
          <w:rFonts w:ascii="Arial" w:cs="Arial" w:eastAsia="Arial" w:hAnsi="Arial"/>
          <w:sz w:val="18"/>
          <w:szCs w:val="18"/>
          <w:color w:val="000000"/>
        </w:rPr>
        <w:t>calendar month (or on a day for which there is no numerically corresponding day in the last calendar month of such Interest Period) shall end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on the last Business Day of the last calendar month of such Interest Period and (iii) no Interest Period shall extend beyond the then applicable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Maturity Date for the Facility. For purposes hereof, the date of a Borrowing initially shall be the date on which such Borrowing is made and thereafter shall be the effective date of the most recent conversion or continuation of such Borrowing.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United States Internal Revenue Service.</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Joint Lead Arranger Fee Letter</w:t>
      </w:r>
      <w:r>
        <w:rPr>
          <w:rFonts w:ascii="Arial" w:cs="Arial" w:eastAsia="Arial" w:hAnsi="Arial"/>
          <w:sz w:val="20"/>
          <w:szCs w:val="20"/>
          <w:color w:val="auto"/>
        </w:rPr>
        <w:t>” means the Joint Lead Arranger Fee Letter, dated as of November 12, 2021 (as amended, restated, supplemented or otherwise modified from time to time), among the Borrower and the Joint Lead Arrangers.</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Lead Arrangers</w:t>
      </w:r>
      <w:r>
        <w:rPr>
          <w:rFonts w:ascii="Arial" w:cs="Arial" w:eastAsia="Arial" w:hAnsi="Arial"/>
          <w:sz w:val="18"/>
          <w:szCs w:val="18"/>
          <w:color w:val="auto"/>
        </w:rPr>
        <w:t>” means, collectively, PNC Capital Markets LLC, KeyBanc Capital Markets Inc., TD Securities (USA) LLC, The Bank of Nova Scotia and U.S. Bank National Association, as joint lead arrangers and joint bookrunners under this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Lender Notice Date</w:t>
      </w:r>
      <w:r>
        <w:rPr>
          <w:rFonts w:ascii="Arial" w:cs="Arial" w:eastAsia="Arial" w:hAnsi="Arial"/>
          <w:sz w:val="20"/>
          <w:szCs w:val="20"/>
          <w:color w:val="auto"/>
        </w:rPr>
        <w:t>” has the meaning assigned to such term in Section 2.22(b).</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xml:space="preserve">” means as of the Closing Date, the Persons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and, thereafter, any Person with a Commitment or Loan Exposure including those that have become a party hereto pursuant to Section 2.04 or an Assignment and Assumption, other than any</w:t>
      </w:r>
    </w:p>
    <w:p>
      <w:pPr>
        <w:spacing w:after="0"/>
        <w:rPr>
          <w:sz w:val="20"/>
          <w:szCs w:val="20"/>
          <w:color w:val="auto"/>
        </w:rPr>
      </w:pPr>
      <w:r>
        <w:rPr>
          <w:rFonts w:ascii="Arial" w:cs="Arial" w:eastAsia="Arial" w:hAnsi="Arial"/>
          <w:sz w:val="20"/>
          <w:szCs w:val="20"/>
          <w:color w:val="auto"/>
        </w:rPr>
        <w:t>such Person that ceases to be a party hereto pursuant to an Assignment and Assumption.</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LIBOR Reserve Percentage</w:t>
      </w:r>
      <w:r>
        <w:rPr>
          <w:rFonts w:ascii="Arial" w:cs="Arial" w:eastAsia="Arial" w:hAnsi="Arial"/>
          <w:sz w:val="18"/>
          <w:szCs w:val="18"/>
          <w:color w:val="FF0000"/>
          <w:strike w:val="1"/>
        </w:rPr>
        <w:t>” means as of any day the maximum effective percentage in effect on such day, as prescribed by the Board of Governors of the Federal Reserve System (or any successor) for determining the reserve requirements (including supplemental,</w:t>
      </w:r>
    </w:p>
    <w:p>
      <w:pPr>
        <w:spacing w:after="0" w:line="227" w:lineRule="auto"/>
        <w:rPr>
          <w:sz w:val="20"/>
          <w:szCs w:val="20"/>
          <w:color w:val="auto"/>
        </w:rPr>
      </w:pPr>
      <w:r>
        <w:rPr>
          <w:rFonts w:ascii="Arial" w:cs="Arial" w:eastAsia="Arial" w:hAnsi="Arial"/>
          <w:sz w:val="20"/>
          <w:szCs w:val="20"/>
          <w:color w:val="FF0000"/>
          <w:strike w:val="1"/>
        </w:rPr>
        <w:t>marginal and emergency reserve requirements) with respect to eurocurrency funding or in respect of eurocurrency liabilities or any similar category of liabilities for a member bank of the Federal Reserve System in New York City.</w:t>
      </w:r>
    </w:p>
    <w:p>
      <w:pPr>
        <w:spacing w:after="0" w:line="156"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means this Agreement, including without limitation, schedules and exhibits hereto, the Notes (if any), the</w:t>
      </w:r>
    </w:p>
    <w:p>
      <w:pPr>
        <w:jc w:val="both"/>
        <w:spacing w:after="0" w:line="226" w:lineRule="auto"/>
        <w:rPr>
          <w:sz w:val="20"/>
          <w:szCs w:val="20"/>
          <w:color w:val="auto"/>
        </w:rPr>
      </w:pPr>
      <w:r>
        <w:rPr>
          <w:rFonts w:ascii="Arial" w:cs="Arial" w:eastAsia="Arial" w:hAnsi="Arial"/>
          <w:sz w:val="18"/>
          <w:szCs w:val="18"/>
          <w:color w:val="auto"/>
        </w:rPr>
        <w:t>Subsidiary Guaranty, the Administrative Agent Fee Letter, the Closing Fee Letter, the Joint Lead Arranger Fee Letter and any other agreements entered into in connection herewith or therewith, including any amendments, modifications or supplements hereto or thereto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waivers hereof or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Exposure</w:t>
      </w:r>
      <w:r>
        <w:rPr>
          <w:rFonts w:ascii="Arial" w:cs="Arial" w:eastAsia="Arial" w:hAnsi="Arial"/>
          <w:sz w:val="19"/>
          <w:szCs w:val="19"/>
          <w:color w:val="auto"/>
        </w:rPr>
        <w:t>” means, with respect to any Lender at any time, the outstanding principal amount of such Lender’s Loans.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Parties</w:t>
      </w:r>
      <w:r>
        <w:rPr>
          <w:rFonts w:ascii="Arial" w:cs="Arial" w:eastAsia="Arial" w:hAnsi="Arial"/>
          <w:sz w:val="19"/>
          <w:szCs w:val="19"/>
          <w:color w:val="auto"/>
        </w:rPr>
        <w:t>” means the Borrower and the Subsidiary Guarantors, and “</w:t>
      </w:r>
      <w:r>
        <w:rPr>
          <w:rFonts w:ascii="Arial" w:cs="Arial" w:eastAsia="Arial" w:hAnsi="Arial"/>
          <w:sz w:val="19"/>
          <w:szCs w:val="19"/>
          <w:b w:val="1"/>
          <w:bCs w:val="1"/>
          <w:i w:val="1"/>
          <w:iCs w:val="1"/>
          <w:color w:val="auto"/>
        </w:rPr>
        <w:t>Loan Party</w:t>
      </w:r>
      <w:r>
        <w:rPr>
          <w:rFonts w:ascii="Arial" w:cs="Arial" w:eastAsia="Arial" w:hAnsi="Arial"/>
          <w:sz w:val="19"/>
          <w:szCs w:val="19"/>
          <w:color w:val="auto"/>
        </w:rPr>
        <w:t>” means any one of them individually.</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Loans</w:t>
      </w:r>
      <w:r>
        <w:rPr>
          <w:rFonts w:ascii="Arial" w:cs="Arial" w:eastAsia="Arial" w:hAnsi="Arial"/>
          <w:sz w:val="20"/>
          <w:szCs w:val="20"/>
          <w:color w:val="auto"/>
        </w:rPr>
        <w:t>” means the Term A-1 Loans made pursuant to Section 2.01 and Section 2.03 by the Lenders to the Borrower and any Incremental Term Loans made pursuant to Section 2.04.</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Adverse Effect</w:t>
      </w:r>
      <w:r>
        <w:rPr>
          <w:rFonts w:ascii="Arial" w:cs="Arial" w:eastAsia="Arial" w:hAnsi="Arial"/>
          <w:sz w:val="20"/>
          <w:szCs w:val="20"/>
          <w:color w:val="auto"/>
        </w:rPr>
        <w:t>” means a material adverse effect on (a) the business, operations, properties, financial condition or results of operations of the Borrower and its Subsidiaries taken as a whole or (b) the validity or enforceability of any of the Loan Documents or the remedies of the Administrative Agent or the Lenders thereunder.</w:t>
      </w:r>
    </w:p>
    <w:p>
      <w:pPr>
        <w:spacing w:after="0" w:line="157"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Indebtedness</w:t>
      </w:r>
      <w:r>
        <w:rPr>
          <w:rFonts w:ascii="Arial" w:cs="Arial" w:eastAsia="Arial" w:hAnsi="Arial"/>
          <w:sz w:val="18"/>
          <w:szCs w:val="18"/>
          <w:color w:val="auto"/>
        </w:rPr>
        <w:t>” means Indebtedness (other than the Loans) of any one or more of the Borrower and its Subsidiaries in an aggregate principal amount exceeding the greater of (a) $150,000,000 (or the Dollar Equivalent thereof) and (b) 6.0% of Consolidated Total</w:t>
      </w:r>
    </w:p>
    <w:p>
      <w:pPr>
        <w:jc w:val="both"/>
        <w:ind w:right="20"/>
        <w:spacing w:after="0" w:line="255" w:lineRule="auto"/>
        <w:rPr>
          <w:sz w:val="20"/>
          <w:szCs w:val="20"/>
          <w:color w:val="auto"/>
        </w:rPr>
      </w:pPr>
      <w:r>
        <w:rPr>
          <w:rFonts w:ascii="Arial" w:cs="Arial" w:eastAsia="Arial" w:hAnsi="Arial"/>
          <w:sz w:val="16"/>
          <w:szCs w:val="16"/>
          <w:color w:val="auto"/>
        </w:rPr>
        <w:t>Tangible Assets. For purposes of determining Material Indebtedness, the “principal amount” of the obligations of the Borrower or any Subsidiary in respect of any Hedge Agreement at any time shall be the maximum aggregate amount (giving effect to any netting agreements)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that the Borrower or such Subsidiary would be required to pay if such Hedge Agreement were terminated at such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Subsidiary</w:t>
      </w:r>
      <w:r>
        <w:rPr>
          <w:rFonts w:ascii="Arial" w:cs="Arial" w:eastAsia="Arial" w:hAnsi="Arial"/>
          <w:sz w:val="20"/>
          <w:szCs w:val="20"/>
          <w:color w:val="auto"/>
        </w:rPr>
        <w:t>” means each Subsidiary of the Borrower that meets either of the following conditions:</w:t>
      </w:r>
    </w:p>
    <w:p>
      <w:pPr>
        <w:spacing w:after="0" w:line="175" w:lineRule="exact"/>
        <w:rPr>
          <w:sz w:val="20"/>
          <w:szCs w:val="20"/>
          <w:color w:val="auto"/>
        </w:rPr>
      </w:pPr>
    </w:p>
    <w:p>
      <w:pPr>
        <w:jc w:val="both"/>
        <w:ind w:firstLine="1304"/>
        <w:spacing w:after="0" w:line="220" w:lineRule="auto"/>
        <w:tabs>
          <w:tab w:leader="none" w:pos="1743"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such Subsidiary has assets (after eliminating assets related to intercompany transactions) that individually constitute at least 15% of Consolidated Total Assets as of the last day of the most recent period of four fiscal quarters of the Borrower for which audited annual financial statements or quarterly financial statements are required to be delivered pursuant to Section 5.01(a) or Section 5.01(b), respectively; or</w:t>
      </w:r>
    </w:p>
    <w:p>
      <w:pPr>
        <w:spacing w:after="0" w:line="169" w:lineRule="exact"/>
        <w:rPr>
          <w:rFonts w:ascii="Arial" w:cs="Arial" w:eastAsia="Arial" w:hAnsi="Arial"/>
          <w:sz w:val="20"/>
          <w:szCs w:val="20"/>
          <w:color w:val="auto"/>
        </w:rPr>
      </w:pPr>
    </w:p>
    <w:p>
      <w:pPr>
        <w:jc w:val="both"/>
        <w:ind w:firstLine="1304"/>
        <w:spacing w:after="0" w:line="235" w:lineRule="auto"/>
        <w:tabs>
          <w:tab w:leader="none" w:pos="1782"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such Subsidiary’s net revenues (excluding intercompany revenues) were at least 15% of the Borrower’s consolidated net revenues for the most recent period of four fiscal quarters of the Borrower for which audited annual financial statements or quarterly financial statements are required to be delivered pursuant to Section 5.01(a) or Section 5.01(b),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means December 17, 2026, as such date may be extended with respect to a Lender pursuant to Section 2.22.</w:t>
      </w:r>
    </w:p>
    <w:p>
      <w:pPr>
        <w:spacing w:after="0" w:line="19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Total Leverage Ratio</w:t>
      </w:r>
      <w:r>
        <w:rPr>
          <w:rFonts w:ascii="Arial" w:cs="Arial" w:eastAsia="Arial" w:hAnsi="Arial"/>
          <w:sz w:val="18"/>
          <w:szCs w:val="18"/>
          <w:color w:val="auto"/>
        </w:rPr>
        <w:t xml:space="preserve">” means 3.75:1.00;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for the two consecutive fiscal quarters ended immediately following the consummation of any Qualified Acquisition (including the fiscal quarter in which such Qualified Acquisition occurs), the</w:t>
      </w:r>
    </w:p>
    <w:p>
      <w:pPr>
        <w:spacing w:after="0" w:line="226" w:lineRule="auto"/>
        <w:rPr>
          <w:sz w:val="20"/>
          <w:szCs w:val="20"/>
          <w:color w:val="auto"/>
        </w:rPr>
      </w:pPr>
      <w:r>
        <w:rPr>
          <w:rFonts w:ascii="Arial" w:cs="Arial" w:eastAsia="Arial" w:hAnsi="Arial"/>
          <w:sz w:val="18"/>
          <w:szCs w:val="18"/>
          <w:color w:val="auto"/>
        </w:rPr>
        <w:t>Maximum Total Leverage Ratio shall be 4.75:1.00; (b) for the fiscal quarter ended immediately after such two fiscal quarters referred to in clause (a), the Maximum Total Leverage Ratio shall be 4.50:1.00; (c) for the fiscal quarter ended immediately after the fiscal quarter referred</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to in clause (b), the Maximum Total Leverage Ratio shall be 4.25:1.00 and (d) for the fiscal quarter ended immediately after the fiscal quarter referred to in clause (c), the Maximum Total Leverage Ratio shall be 4.00:1.00.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means a multiemployer plan as defined in Section 4001(a)(3) of ERISA.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Non-Extending Lender</w:t>
      </w:r>
      <w:r>
        <w:rPr>
          <w:rFonts w:ascii="Arial" w:cs="Arial" w:eastAsia="Arial" w:hAnsi="Arial"/>
          <w:sz w:val="20"/>
          <w:szCs w:val="20"/>
          <w:color w:val="auto"/>
        </w:rPr>
        <w:t>” has the meaning assigned to such term in Section 2.22(b).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any promissory notes executed by the Borrower to evidence the Obligations in accordance with Section 2.10(e).</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means the unpaid principal of and interest on (including interest accruing after the maturity of the Loans and interest accruing after the filing of any petition in bankruptcy, or the commencement of any insolvency, reorganization or like proceeding, relating to</w:t>
      </w:r>
    </w:p>
    <w:p>
      <w:pPr>
        <w:spacing w:after="0" w:line="235" w:lineRule="auto"/>
        <w:rPr>
          <w:sz w:val="20"/>
          <w:szCs w:val="20"/>
          <w:color w:val="auto"/>
        </w:rPr>
      </w:pPr>
      <w:r>
        <w:rPr>
          <w:rFonts w:ascii="Arial" w:cs="Arial" w:eastAsia="Arial" w:hAnsi="Arial"/>
          <w:sz w:val="18"/>
          <w:szCs w:val="18"/>
          <w:color w:val="auto"/>
        </w:rPr>
        <w:t>the Borrower, whether or not a claim for post-filing or post-petition interest is allowed in such proceeding) the Loans and all other obligations</w:t>
      </w:r>
    </w:p>
    <w:p>
      <w:pPr>
        <w:spacing w:after="0" w:line="226" w:lineRule="auto"/>
        <w:rPr>
          <w:sz w:val="20"/>
          <w:szCs w:val="20"/>
          <w:color w:val="auto"/>
        </w:rPr>
      </w:pPr>
      <w:r>
        <w:rPr>
          <w:rFonts w:ascii="Arial" w:cs="Arial" w:eastAsia="Arial" w:hAnsi="Arial"/>
          <w:sz w:val="18"/>
          <w:szCs w:val="18"/>
          <w:color w:val="auto"/>
        </w:rPr>
        <w:t>and liabilities of the Borrower to any Credit Party, whether direct or indirect, absolute or contingent, due or to become due, or now existing or hereafter incurred, which may arise under, out of, or in connection with, this Agreement, any other Loan Document, any Designated Hedge</w:t>
      </w:r>
    </w:p>
    <w:p>
      <w:pPr>
        <w:spacing w:after="0" w:line="236" w:lineRule="auto"/>
        <w:rPr>
          <w:sz w:val="20"/>
          <w:szCs w:val="20"/>
          <w:color w:val="auto"/>
        </w:rPr>
      </w:pPr>
      <w:r>
        <w:rPr>
          <w:rFonts w:ascii="Arial" w:cs="Arial" w:eastAsia="Arial" w:hAnsi="Arial"/>
          <w:sz w:val="18"/>
          <w:szCs w:val="18"/>
          <w:color w:val="auto"/>
        </w:rPr>
        <w:t>Agreement or any other document made, delivered or given in connection herewith or therewith, whether on account of principal, interest,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reimbursement obligations, fees, indemnities, costs, expenses (including all fees, charges and disbursements of counsel to the Credit Parties that are required to be paid by the Borrower pursuant hereto)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that Obligations shall not include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Excluded Swap Obligations.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OFAC</w:t>
      </w:r>
      <w:r>
        <w:rPr>
          <w:rFonts w:ascii="Arial" w:cs="Arial" w:eastAsia="Arial" w:hAnsi="Arial"/>
          <w:sz w:val="20"/>
          <w:szCs w:val="20"/>
          <w:color w:val="auto"/>
        </w:rPr>
        <w:t>” means Office of Foreign Assets Control of the United States Department of the Treasury.</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Operating Lease</w:t>
      </w:r>
      <w:r>
        <w:rPr>
          <w:rFonts w:ascii="Arial" w:cs="Arial" w:eastAsia="Arial" w:hAnsi="Arial"/>
          <w:sz w:val="20"/>
          <w:szCs w:val="20"/>
          <w:color w:val="auto"/>
        </w:rPr>
        <w:t>” as applied to any Person means any lease of any property (whether real, personal or mixed) by that Person as lessee that, in conformity with GAAP, is not accounted for as a Capital Lease on the balance sheet of that Person.</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w:t>
      </w:r>
    </w:p>
    <w:p>
      <w:pPr>
        <w:spacing w:after="0" w:line="235" w:lineRule="auto"/>
        <w:rPr>
          <w:sz w:val="20"/>
          <w:szCs w:val="20"/>
          <w:color w:val="auto"/>
        </w:rPr>
      </w:pPr>
      <w:r>
        <w:rPr>
          <w:rFonts w:ascii="Arial" w:cs="Arial" w:eastAsia="Arial" w:hAnsi="Arial"/>
          <w:sz w:val="18"/>
          <w:szCs w:val="18"/>
          <w:color w:val="auto"/>
        </w:rPr>
        <w:t>delivered, become a party to, performed its obligations under, received payments under, received or perfected a security interest under,</w:t>
      </w:r>
    </w:p>
    <w:p>
      <w:pPr>
        <w:ind w:right="20"/>
        <w:spacing w:after="0" w:line="220" w:lineRule="auto"/>
        <w:rPr>
          <w:sz w:val="20"/>
          <w:szCs w:val="20"/>
          <w:color w:val="auto"/>
        </w:rPr>
      </w:pPr>
      <w:r>
        <w:rPr>
          <w:rFonts w:ascii="Arial" w:cs="Arial" w:eastAsia="Arial" w:hAnsi="Arial"/>
          <w:sz w:val="20"/>
          <w:szCs w:val="20"/>
          <w:color w:val="auto"/>
        </w:rPr>
        <w:t>engaged in any other transaction pursuant to or enforced any Loan Document, or sold or assigned an interest in any Loan or Loan Document).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w:t>
      </w:r>
    </w:p>
    <w:p>
      <w:pPr>
        <w:spacing w:after="0" w:line="227" w:lineRule="auto"/>
        <w:rPr>
          <w:sz w:val="20"/>
          <w:szCs w:val="20"/>
          <w:color w:val="auto"/>
        </w:rPr>
      </w:pPr>
      <w:r>
        <w:rPr>
          <w:rFonts w:ascii="Arial" w:cs="Arial" w:eastAsia="Arial" w:hAnsi="Arial"/>
          <w:sz w:val="20"/>
          <w:szCs w:val="20"/>
          <w:color w:val="auto"/>
        </w:rPr>
        <w:t>security interest under, or otherwise with respect to, any Loan Document, except any such Taxes that are Other Connection Taxes imposed with respect to an assignment (other than an assignment made pursuant to Section 2.19).</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has the meaning assigned to such term in Section 10.04.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has the meaning assigned to such term in Section 10.04(c).</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Payment Office</w:t>
      </w:r>
      <w:r>
        <w:rPr>
          <w:rFonts w:ascii="Arial" w:cs="Arial" w:eastAsia="Arial" w:hAnsi="Arial"/>
          <w:sz w:val="19"/>
          <w:szCs w:val="19"/>
          <w:color w:val="auto"/>
        </w:rPr>
        <w:t>” means the office of the Administrative Agent at PNC Bank, National Association, 500 First Avenue, 4th Floor, Pittsburgh, PA 15219, Attention: Ryan Ruff; Phone: (412) 807-6091; Email: ryan.ruff@pnc.com; or such other office(s), as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may designate to the Borrower in writing from time to time.</w:t>
      </w:r>
    </w:p>
    <w:p>
      <w:pPr>
        <w:spacing w:after="0" w:line="17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Lien</w:t>
      </w:r>
      <w:r>
        <w:rPr>
          <w:rFonts w:ascii="Arial" w:cs="Arial" w:eastAsia="Arial" w:hAnsi="Arial"/>
          <w:sz w:val="20"/>
          <w:szCs w:val="20"/>
          <w:color w:val="auto"/>
        </w:rPr>
        <w:t>” means any Lien permitted by Section 6.03 of this Agreement.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Securitization Transaction</w:t>
      </w:r>
      <w:r>
        <w:rPr>
          <w:rFonts w:ascii="Arial" w:cs="Arial" w:eastAsia="Arial" w:hAnsi="Arial"/>
          <w:sz w:val="18"/>
          <w:szCs w:val="18"/>
          <w:color w:val="auto"/>
        </w:rPr>
        <w:t>” means any transaction or series of transactions designated in writing by the Borrower to the Administrative Agent to be a “Permitted Securitization Transaction” which is entered into by the Borrower or any Subsidiary Guarantor</w:t>
      </w:r>
    </w:p>
    <w:p>
      <w:pPr>
        <w:spacing w:after="0" w:line="235" w:lineRule="auto"/>
        <w:rPr>
          <w:sz w:val="20"/>
          <w:szCs w:val="20"/>
          <w:color w:val="auto"/>
        </w:rPr>
      </w:pPr>
      <w:r>
        <w:rPr>
          <w:rFonts w:ascii="Arial" w:cs="Arial" w:eastAsia="Arial" w:hAnsi="Arial"/>
          <w:sz w:val="18"/>
          <w:szCs w:val="18"/>
          <w:color w:val="auto"/>
        </w:rPr>
        <w:t>pursuant to which the Borrower or any Subsidiary Guarantor, as applicable, may sell, convey or otherwise transfer to any other Person, or</w:t>
      </w:r>
    </w:p>
    <w:p>
      <w:pPr>
        <w:spacing w:after="0" w:line="255" w:lineRule="auto"/>
        <w:rPr>
          <w:sz w:val="20"/>
          <w:szCs w:val="20"/>
          <w:color w:val="auto"/>
        </w:rPr>
      </w:pPr>
      <w:r>
        <w:rPr>
          <w:rFonts w:ascii="Arial" w:cs="Arial" w:eastAsia="Arial" w:hAnsi="Arial"/>
          <w:sz w:val="16"/>
          <w:szCs w:val="16"/>
          <w:color w:val="auto"/>
        </w:rPr>
        <w:t>may grant a security interest in, any accounts receivable (whether now existing or arising in the future) of the Borrower or such Subsidiary Guarantor, and any assets related thereto, including all collateral securing such accounts receivable, all contracts and all Guaranty Obligations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other obligations in respect of such accounts receivable, and proceeds of such accounts receivable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6" w:name="page57"/>
    <w:bookmarkEnd w:id="56"/>
    <w:p>
      <w:pPr>
        <w:spacing w:after="0" w:line="236" w:lineRule="auto"/>
        <w:rPr>
          <w:sz w:val="20"/>
          <w:szCs w:val="20"/>
          <w:color w:val="auto"/>
        </w:rPr>
      </w:pPr>
      <w:r>
        <w:rPr>
          <w:rFonts w:ascii="Arial" w:cs="Arial" w:eastAsia="Arial" w:hAnsi="Arial"/>
          <w:sz w:val="20"/>
          <w:szCs w:val="20"/>
          <w:color w:val="auto"/>
        </w:rPr>
        <w:t>assets that are customarily transferred, or in respect of which security interests are customarily granted, in connection with asset securitization transactions involving accounts receivable.</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w:t>
      </w:r>
    </w:p>
    <w:p>
      <w:pPr>
        <w:spacing w:after="0"/>
        <w:rPr>
          <w:sz w:val="20"/>
          <w:szCs w:val="20"/>
          <w:color w:val="auto"/>
        </w:rPr>
      </w:pPr>
      <w:r>
        <w:rPr>
          <w:rFonts w:ascii="Arial" w:cs="Arial" w:eastAsia="Arial" w:hAnsi="Arial"/>
          <w:sz w:val="20"/>
          <w:szCs w:val="20"/>
          <w:color w:val="auto"/>
        </w:rPr>
        <w:t>terminated, would under Section 4069 of ERISA be deemed to be) an “employer” as defined in Section 3(5) of ERISA.</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means the interest rate per annum announced from time to time by the Administrative Agent at its principal office as its then prime rate, which rate may not be the lowest or most favorable rate then being charged commercial borrowers or others by the</w:t>
      </w:r>
    </w:p>
    <w:p>
      <w:pPr>
        <w:spacing w:after="0"/>
        <w:rPr>
          <w:sz w:val="20"/>
          <w:szCs w:val="20"/>
          <w:color w:val="auto"/>
        </w:rPr>
      </w:pPr>
      <w:r>
        <w:rPr>
          <w:rFonts w:ascii="Arial" w:cs="Arial" w:eastAsia="Arial" w:hAnsi="Arial"/>
          <w:sz w:val="18"/>
          <w:szCs w:val="18"/>
          <w:color w:val="auto"/>
        </w:rPr>
        <w:t>Administrative Agent. Any change in the Prime Rate shall take effect at the opening of business on the day such change is announced.</w:t>
      </w:r>
    </w:p>
    <w:p>
      <w:pPr>
        <w:spacing w:after="0" w:line="19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Forma Basis</w:t>
      </w:r>
      <w:r>
        <w:rPr>
          <w:rFonts w:ascii="Arial" w:cs="Arial" w:eastAsia="Arial" w:hAnsi="Arial"/>
          <w:sz w:val="18"/>
          <w:szCs w:val="18"/>
          <w:color w:val="auto"/>
        </w:rPr>
        <w:t>” means, with respect to any Testing Period during which any Acquisition or Asset Sale occurs (and for purposes of determining whether an acquisition is an Acquisition or whether the Borrower and its Subsidiaries may take any other actions requiring</w:t>
      </w:r>
    </w:p>
    <w:p>
      <w:pPr>
        <w:spacing w:after="0" w:line="235" w:lineRule="auto"/>
        <w:rPr>
          <w:sz w:val="20"/>
          <w:szCs w:val="20"/>
          <w:color w:val="auto"/>
        </w:rPr>
      </w:pPr>
      <w:r>
        <w:rPr>
          <w:rFonts w:ascii="Arial" w:cs="Arial" w:eastAsia="Arial" w:hAnsi="Arial"/>
          <w:sz w:val="18"/>
          <w:szCs w:val="18"/>
          <w:color w:val="auto"/>
        </w:rPr>
        <w:t>compliance with a specified ratio), the Total Leverage Ratio and Interest Coverage Ratio shall be calculated with respect to such Testing</w:t>
      </w:r>
    </w:p>
    <w:p>
      <w:pPr>
        <w:spacing w:after="0" w:line="226" w:lineRule="auto"/>
        <w:rPr>
          <w:sz w:val="20"/>
          <w:szCs w:val="20"/>
          <w:color w:val="auto"/>
        </w:rPr>
      </w:pPr>
      <w:r>
        <w:rPr>
          <w:rFonts w:ascii="Arial" w:cs="Arial" w:eastAsia="Arial" w:hAnsi="Arial"/>
          <w:sz w:val="18"/>
          <w:szCs w:val="18"/>
          <w:color w:val="auto"/>
        </w:rPr>
        <w:t>Period on a pro forma basis after giving effect to such Acquisition or Asset Sale (and any related repayment or incurrence of Indebtedness) (including, without limitation or duplication, (a) additional add backs which are (i) determined on a basis consistent with Article 11 of</w:t>
      </w:r>
    </w:p>
    <w:p>
      <w:pPr>
        <w:spacing w:after="0" w:line="236" w:lineRule="auto"/>
        <w:rPr>
          <w:sz w:val="20"/>
          <w:szCs w:val="20"/>
          <w:color w:val="auto"/>
        </w:rPr>
      </w:pPr>
      <w:r>
        <w:rPr>
          <w:rFonts w:ascii="Arial" w:cs="Arial" w:eastAsia="Arial" w:hAnsi="Arial"/>
          <w:sz w:val="18"/>
          <w:szCs w:val="18"/>
          <w:color w:val="auto"/>
        </w:rPr>
        <w:t>Regulation S-X promulgated under the Exchange Act and as interpreted by the staff of the Securities and Exchange Commission (or any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successor agency), (ii) recommended by any due diligence quality of earnings report reasonably acceptable to the Administrative Agent (such acceptance not to be unreasonably withheld) conducted by (y) a firm of independent public accountants of recognized national standing or (z)</w:t>
      </w:r>
    </w:p>
    <w:p>
      <w:pPr>
        <w:spacing w:after="0" w:line="219" w:lineRule="auto"/>
        <w:rPr>
          <w:sz w:val="20"/>
          <w:szCs w:val="20"/>
          <w:color w:val="auto"/>
        </w:rPr>
      </w:pPr>
      <w:r>
        <w:rPr>
          <w:rFonts w:ascii="Arial" w:cs="Arial" w:eastAsia="Arial" w:hAnsi="Arial"/>
          <w:sz w:val="18"/>
          <w:szCs w:val="18"/>
          <w:color w:val="auto"/>
        </w:rPr>
        <w:t>any other accounting firm reasonably satisfactory to the Administrative Agent, selected by the Borrower and retained by the Borrower; or</w:t>
      </w:r>
    </w:p>
    <w:p>
      <w:pPr>
        <w:spacing w:after="0" w:line="1" w:lineRule="exact"/>
        <w:rPr>
          <w:sz w:val="20"/>
          <w:szCs w:val="20"/>
          <w:color w:val="auto"/>
        </w:rPr>
      </w:pPr>
    </w:p>
    <w:p>
      <w:pPr>
        <w:jc w:val="both"/>
        <w:ind w:firstLine="8"/>
        <w:spacing w:after="0" w:line="238"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determined in such other manner reasonably acceptable to the Administrative Agent and (b) pro forma adjustments, for cost savings and other operating efficiencies (net of continuing associated expenses) to the extent the actions underlying such cost savings and operating efficiencies have been or are reasonably expected to be implemented and such cost savings and operating efficiencies are factually supportable and are expected to have a continuing impact), using, for purposes of making such calculations, the historical financial statements of the Borrower and its Subsidiaries which shall be reformulated as if such Acquisition or Asset Sale, and any other Acquisition or Asset Sale that has been consummated during such Testing Period, had been consummated on the first day of such Testing Period.</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Pro-Rata Share</w:t>
      </w:r>
      <w:r>
        <w:rPr>
          <w:rFonts w:ascii="Arial" w:cs="Arial" w:eastAsia="Arial" w:hAnsi="Arial"/>
          <w:sz w:val="20"/>
          <w:szCs w:val="20"/>
          <w:color w:val="auto"/>
        </w:rPr>
        <w:t>” means, with respect to any Lender, the percentage of the total Loan Exposure, and unused Commitments represented by such Lender’s Loan Exposure and unused Commitments.</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Acquisition</w:t>
      </w:r>
      <w:r>
        <w:rPr>
          <w:rFonts w:ascii="Arial" w:cs="Arial" w:eastAsia="Arial" w:hAnsi="Arial"/>
          <w:sz w:val="20"/>
          <w:szCs w:val="20"/>
          <w:color w:val="auto"/>
        </w:rPr>
        <w:t>” means any Acquisition that has been designated to the Administrative Agent by a Financial Officer of the Borrower as a “Qualified Acquisition”.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ECP Guarantor</w:t>
      </w:r>
      <w:r>
        <w:rPr>
          <w:rFonts w:ascii="Arial" w:cs="Arial" w:eastAsia="Arial" w:hAnsi="Arial"/>
          <w:sz w:val="18"/>
          <w:szCs w:val="18"/>
          <w:color w:val="auto"/>
        </w:rPr>
        <w:t>” means, in respect of any Obligations with respect to a Designated Hedge Agreement, each Loan Party</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that has total assets exceeding $10,000,000 at the time the relevant guarantee or grant of the relevant security interest becomes effective with respect to such Obligations or such other person as constitutes an “eligible contract participant” under the Commodity Exchange Act or any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regulations promulgated thereunder and can cause another person to qualify as an “eligible contract participant” at such time by entering into a keepwell under Section 1a(18)(A)(v)(II) of the Commodity Exchange Act.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means (a) the Administrative Agent and (b) any Lender, as applicable.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has the meaning assigned to such term in Section 10.04.</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depositing, spilling, leaking, pumping, pouring, emitting, emptying, discharging, injecting, escaping, leaching,</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seeping, dumping, placing, discarding, abandonment, or disposing into the environment (including abandonment or disposal of any barrel, container or other closed receptacle containing any Hazardous Materials).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Lenders</w:t>
      </w:r>
      <w:r>
        <w:rPr>
          <w:rFonts w:ascii="Arial" w:cs="Arial" w:eastAsia="Arial" w:hAnsi="Arial"/>
          <w:sz w:val="18"/>
          <w:szCs w:val="18"/>
          <w:color w:val="auto"/>
        </w:rPr>
        <w:t>” means, at any time, Lenders having Loan Exposures and unused Commitments representing more than 50%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sum of the total Loan Exposures and unused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any of the Lenders shall be a Defaulting Lender, then for so long as such Lender is a Defaulting Lender, “Required Lenders” means Lenders (excluding all Defaulting</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Lenders) having Loan Exposures and unused Commitments representing more than 50% of the sum of the total Loan Exposures and unused Commitments of such Lenders (excluding all Defaulting Lenders) at such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Resolution Authority</w:t>
      </w:r>
      <w:r>
        <w:rPr>
          <w:rFonts w:ascii="Arial" w:cs="Arial" w:eastAsia="Arial" w:hAnsi="Arial"/>
          <w:sz w:val="20"/>
          <w:szCs w:val="20"/>
          <w:color w:val="auto"/>
        </w:rPr>
        <w:t>” means any body which has authority to exercise any Write-Down and Conversion Powers.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Lease-Back Transaction</w:t>
      </w:r>
      <w:r>
        <w:rPr>
          <w:rFonts w:ascii="Arial" w:cs="Arial" w:eastAsia="Arial" w:hAnsi="Arial"/>
          <w:sz w:val="18"/>
          <w:szCs w:val="18"/>
          <w:color w:val="auto"/>
        </w:rPr>
        <w:t>” means any arrangement with any Person providing for the leasing by the Borrower or any</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Subsidiary of the Borrower of any property (except for temporary leases for a term, including any renewal thereof, of not more than one year and except for leases between the Borrower and a Subsidiary or between Subsidiaries), which property has been or is to be sold or transferred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the Borrower or such Subsidiary to such Person.</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Sanctioned Country</w:t>
      </w:r>
      <w:r>
        <w:rPr>
          <w:rFonts w:ascii="Arial" w:cs="Arial" w:eastAsia="Arial" w:hAnsi="Arial"/>
          <w:sz w:val="20"/>
          <w:szCs w:val="20"/>
          <w:color w:val="auto"/>
        </w:rPr>
        <w:t>” means a country, region or territory which is itself the subject or target of any Sanctions Laws and Regulations.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 Laws and Regulations</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economic or financial sanctions or trade embargoes, imposed, administered,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enforced from time to time by the U.S. government (including those administered by OFAC), the European Union, </w:t>
      </w:r>
      <w:r>
        <w:rPr>
          <w:rFonts w:ascii="Arial" w:cs="Arial" w:eastAsia="Arial" w:hAnsi="Arial"/>
          <w:sz w:val="20"/>
          <w:szCs w:val="20"/>
          <w:color w:val="FF0000"/>
          <w:strike w:val="1"/>
        </w:rPr>
        <w:t>Her</w:t>
      </w:r>
      <w:r>
        <w:rPr>
          <w:rFonts w:ascii="Arial" w:cs="Arial" w:eastAsia="Arial" w:hAnsi="Arial"/>
          <w:sz w:val="20"/>
          <w:szCs w:val="20"/>
          <w:u w:val="single" w:color="auto"/>
          <w:color w:val="0000FF"/>
        </w:rPr>
        <w:t>His</w:t>
      </w:r>
      <w:r>
        <w:rPr>
          <w:rFonts w:ascii="Arial" w:cs="Arial" w:eastAsia="Arial" w:hAnsi="Arial"/>
          <w:sz w:val="20"/>
          <w:szCs w:val="20"/>
          <w:color w:val="auto"/>
        </w:rPr>
        <w:t xml:space="preserve"> Majesty’s Treasury, the Government of Canada, the United Nations Security Council or other relevant sanctions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means the Securities and Exchange Commission of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w:t>
      </w:r>
      <w:r>
        <w:rPr>
          <w:rFonts w:ascii="Arial" w:cs="Arial" w:eastAsia="Arial" w:hAnsi="Arial"/>
          <w:sz w:val="20"/>
          <w:szCs w:val="20"/>
          <w:u w:val="single" w:color="auto"/>
          <w:color w:val="0000FF"/>
        </w:rPr>
        <w:t>” means a rate equal to the secured overnight financing rate as administered by the SOFR Administrator.</w:t>
      </w:r>
    </w:p>
    <w:p>
      <w:pPr>
        <w:spacing w:after="0" w:line="189"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 Administrator</w:t>
      </w:r>
      <w:r>
        <w:rPr>
          <w:rFonts w:ascii="Arial" w:cs="Arial" w:eastAsia="Arial" w:hAnsi="Arial"/>
          <w:sz w:val="20"/>
          <w:szCs w:val="20"/>
          <w:u w:val="single" w:color="auto"/>
          <w:color w:val="0000FF"/>
        </w:rPr>
        <w:t xml:space="preserve">” means </w:t>
      </w:r>
      <w:r>
        <w:rPr>
          <w:rFonts w:ascii="Arial" w:cs="Arial" w:eastAsia="Arial" w:hAnsi="Arial"/>
          <w:sz w:val="20"/>
          <w:szCs w:val="20"/>
          <w:u w:val="single" w:color="auto"/>
          <w:color w:val="008000"/>
        </w:rPr>
        <w:t>the Federal Reserve Bank of New York (or a successor administrator of the secured overnight</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financing rate)</w:t>
      </w:r>
      <w:r>
        <w:rPr>
          <w:rFonts w:ascii="Arial" w:cs="Arial" w:eastAsia="Arial" w:hAnsi="Arial"/>
          <w:sz w:val="20"/>
          <w:szCs w:val="20"/>
          <w:u w:val="single" w:color="auto"/>
          <w:color w:val="0000FF"/>
        </w:rPr>
        <w:t>.</w:t>
      </w:r>
    </w:p>
    <w:p>
      <w:pPr>
        <w:spacing w:after="0" w:line="15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0000FF"/>
        </w:rPr>
        <w:t>“</w:t>
      </w:r>
      <w:r>
        <w:rPr>
          <w:rFonts w:ascii="Arial" w:cs="Arial" w:eastAsia="Arial" w:hAnsi="Arial"/>
          <w:sz w:val="20"/>
          <w:szCs w:val="20"/>
          <w:b w:val="1"/>
          <w:bCs w:val="1"/>
          <w:i w:val="1"/>
          <w:iCs w:val="1"/>
          <w:color w:val="0000FF"/>
        </w:rPr>
        <w:t>SOFR Administrator’s Website</w:t>
      </w:r>
      <w:r>
        <w:rPr>
          <w:rFonts w:ascii="Arial" w:cs="Arial" w:eastAsia="Arial" w:hAnsi="Arial"/>
          <w:sz w:val="20"/>
          <w:szCs w:val="20"/>
          <w:color w:val="0000FF"/>
        </w:rPr>
        <w:t xml:space="preserve">” means </w:t>
      </w:r>
      <w:r>
        <w:rPr>
          <w:rFonts w:ascii="Arial" w:cs="Arial" w:eastAsia="Arial" w:hAnsi="Arial"/>
          <w:sz w:val="20"/>
          <w:szCs w:val="20"/>
          <w:u w:val="single" w:color="auto"/>
          <w:color w:val="008000"/>
        </w:rPr>
        <w:t>the website of the Federal Reserve Bank of New York, currently at</w:t>
      </w:r>
      <w:r>
        <w:rPr>
          <w:rFonts w:ascii="Arial" w:cs="Arial" w:eastAsia="Arial" w:hAnsi="Arial"/>
          <w:sz w:val="20"/>
          <w:szCs w:val="20"/>
          <w:color w:val="0000FF"/>
        </w:rPr>
        <w:t xml:space="preserve"> </w:t>
      </w:r>
      <w:r>
        <w:rPr>
          <w:rFonts w:ascii="Arial" w:cs="Arial" w:eastAsia="Arial" w:hAnsi="Arial"/>
          <w:sz w:val="20"/>
          <w:szCs w:val="20"/>
          <w:u w:val="single" w:color="auto"/>
          <w:color w:val="008000"/>
        </w:rPr>
        <w:t>http://www.newyorkfed.org</w:t>
      </w:r>
      <w:r>
        <w:rPr>
          <w:rFonts w:ascii="Arial" w:cs="Arial" w:eastAsia="Arial" w:hAnsi="Arial"/>
          <w:sz w:val="20"/>
          <w:szCs w:val="20"/>
          <w:u w:val="single" w:color="auto"/>
          <w:color w:val="0000FF"/>
        </w:rPr>
        <w:t>, or any successor source for SOFR identified as such by the SOFR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-155575</wp:posOffset>
            </wp:positionV>
            <wp:extent cx="24193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419350" cy="8255"/>
                    </a:xfrm>
                    <a:prstGeom prst="rect">
                      <a:avLst/>
                    </a:prstGeom>
                    <a:noFill/>
                  </pic:spPr>
                </pic:pic>
              </a:graphicData>
            </a:graphic>
          </wp:anchor>
        </w:drawing>
      </w:r>
    </w:p>
    <w:p>
      <w:pPr>
        <w:spacing w:after="0" w:line="14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SOFR Business Day</w:t>
      </w:r>
      <w:r>
        <w:rPr>
          <w:rFonts w:ascii="Arial" w:cs="Arial" w:eastAsia="Arial" w:hAnsi="Arial"/>
          <w:sz w:val="18"/>
          <w:szCs w:val="18"/>
          <w:u w:val="single" w:color="auto"/>
          <w:color w:val="0000FF"/>
        </w:rPr>
        <w:t>” means any day except for (i) a Saturday, (ii) a Sunday or (iii) a day on which the Securities Industry and Financial Markets Association recommends that the fixed income departments of its members be closed for the entire day for purposes of</w:t>
      </w:r>
    </w:p>
    <w:p>
      <w:pPr>
        <w:spacing w:after="0"/>
        <w:rPr>
          <w:sz w:val="20"/>
          <w:szCs w:val="20"/>
          <w:color w:val="auto"/>
        </w:rPr>
      </w:pPr>
      <w:r>
        <w:rPr>
          <w:rFonts w:ascii="Arial" w:cs="Arial" w:eastAsia="Arial" w:hAnsi="Arial"/>
          <w:sz w:val="20"/>
          <w:szCs w:val="20"/>
          <w:u w:val="single" w:color="auto"/>
          <w:color w:val="0000FF"/>
        </w:rPr>
        <w:t>trading in United States government securities.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 Index Adjustment</w:t>
      </w:r>
      <w:r>
        <w:rPr>
          <w:rFonts w:ascii="Arial" w:cs="Arial" w:eastAsia="Arial" w:hAnsi="Arial"/>
          <w:sz w:val="20"/>
          <w:szCs w:val="20"/>
          <w:u w:val="single" w:color="auto"/>
          <w:color w:val="0000FF"/>
        </w:rPr>
        <w:t>” means a rate per annum equal to 0.10%.</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Solvent</w:t>
      </w:r>
      <w:r>
        <w:rPr>
          <w:rFonts w:ascii="Arial" w:cs="Arial" w:eastAsia="Arial" w:hAnsi="Arial"/>
          <w:sz w:val="18"/>
          <w:szCs w:val="18"/>
          <w:color w:val="auto"/>
        </w:rPr>
        <w:t>” when used with respect to any Person, means that, as of any date of determination, (a) the fair saleable value of its assets is in excess of the total amount of its liabilities (including, without limitation, contingent liabilities); (b) the present fair saleable value of its</w:t>
      </w:r>
    </w:p>
    <w:p>
      <w:pPr>
        <w:spacing w:after="0" w:line="226" w:lineRule="auto"/>
        <w:rPr>
          <w:sz w:val="20"/>
          <w:szCs w:val="20"/>
          <w:color w:val="auto"/>
        </w:rPr>
      </w:pPr>
      <w:r>
        <w:rPr>
          <w:rFonts w:ascii="Arial" w:cs="Arial" w:eastAsia="Arial" w:hAnsi="Arial"/>
          <w:sz w:val="18"/>
          <w:szCs w:val="18"/>
          <w:color w:val="auto"/>
        </w:rPr>
        <w:t>assets is greater than the probable liability on its existing debts as such debts become absolute and matured; (c) it is then able and expects to be able to pay its debts (including, without limitation, contingent debts and other commitments) as they mature; and (d) it has capital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sufficient to carry on its business as conducted and as proposed to be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Permitted Lien</w:t>
      </w:r>
      <w:r>
        <w:rPr>
          <w:rFonts w:ascii="Arial" w:cs="Arial" w:eastAsia="Arial" w:hAnsi="Arial"/>
          <w:sz w:val="18"/>
          <w:szCs w:val="18"/>
          <w:color w:val="auto"/>
        </w:rPr>
        <w:t>” means any of the following: (i) Liens for Taxes not yet delinquent or Liens for Taxes, assessments or</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governmental charges being contested in good faith and by appropriate proceedings for which adequate reserves in accordance with GAAP have been established; (ii) Liens in respect of property or assets imposed by law that were incurred in the ordinary course of business, such as</w:t>
      </w:r>
    </w:p>
    <w:p>
      <w:pPr>
        <w:spacing w:after="0" w:line="235" w:lineRule="auto"/>
        <w:rPr>
          <w:sz w:val="20"/>
          <w:szCs w:val="20"/>
          <w:color w:val="auto"/>
        </w:rPr>
      </w:pPr>
      <w:r>
        <w:rPr>
          <w:rFonts w:ascii="Arial" w:cs="Arial" w:eastAsia="Arial" w:hAnsi="Arial"/>
          <w:sz w:val="18"/>
          <w:szCs w:val="18"/>
          <w:color w:val="auto"/>
        </w:rPr>
        <w:t>carriers’, suppliers’, warehousemen’s, materialmen’s and mechanics’ Liens and other similar Liens arising in the ordinary course of business,</w:t>
      </w:r>
    </w:p>
    <w:p>
      <w:pPr>
        <w:jc w:val="both"/>
        <w:spacing w:after="0" w:line="226" w:lineRule="auto"/>
        <w:rPr>
          <w:sz w:val="20"/>
          <w:szCs w:val="20"/>
          <w:color w:val="auto"/>
        </w:rPr>
      </w:pPr>
      <w:r>
        <w:rPr>
          <w:rFonts w:ascii="Arial" w:cs="Arial" w:eastAsia="Arial" w:hAnsi="Arial"/>
          <w:sz w:val="18"/>
          <w:szCs w:val="18"/>
          <w:color w:val="auto"/>
        </w:rPr>
        <w:t>that do not in the aggregate materially detract from the value of such property or assets or materially impair the use thereof in the operation of the business of the Borrower or any of its Subsidiaries and do not secure any Indebtedness; (iii) Liens arising from judgments, decrees or</w:t>
      </w:r>
    </w:p>
    <w:p>
      <w:pPr>
        <w:spacing w:after="0" w:line="236" w:lineRule="auto"/>
        <w:rPr>
          <w:sz w:val="20"/>
          <w:szCs w:val="20"/>
          <w:color w:val="auto"/>
        </w:rPr>
      </w:pPr>
      <w:r>
        <w:rPr>
          <w:rFonts w:ascii="Arial" w:cs="Arial" w:eastAsia="Arial" w:hAnsi="Arial"/>
          <w:sz w:val="18"/>
          <w:szCs w:val="18"/>
          <w:color w:val="auto"/>
        </w:rPr>
        <w:t>attachments in circumstances not constituting an Event of Default under Section 7.01(k); (iv) Liens (other than any Lien imposed by ERISA)</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incurred or deposits made in the ordinary course of business in connection with workers compensation, unemployment insurance and other types of social security, and mechanic’s Liens, carrier’s Liens, and other Liens to secure the performance of tenders, statutory obligations,</w:t>
      </w:r>
    </w:p>
    <w:p>
      <w:pPr>
        <w:spacing w:after="0" w:line="236" w:lineRule="auto"/>
        <w:rPr>
          <w:sz w:val="20"/>
          <w:szCs w:val="20"/>
          <w:color w:val="auto"/>
        </w:rPr>
      </w:pPr>
      <w:r>
        <w:rPr>
          <w:rFonts w:ascii="Arial" w:cs="Arial" w:eastAsia="Arial" w:hAnsi="Arial"/>
          <w:sz w:val="18"/>
          <w:szCs w:val="18"/>
          <w:color w:val="auto"/>
        </w:rPr>
        <w:t>contract bids, government contracts, surety, appeal, customs, performance and return-of-money bonds and other similar obligations, incurred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the ordinary course of business (exclusive of obligations in respect of the payment for borrowed money), whether pursuant to statutory requirements, common law or consensual arrangements; (v) leases or subleases granted in the ordinary course of business to others not</w:t>
      </w:r>
    </w:p>
    <w:p>
      <w:pPr>
        <w:spacing w:after="0" w:line="236" w:lineRule="auto"/>
        <w:rPr>
          <w:sz w:val="20"/>
          <w:szCs w:val="20"/>
          <w:color w:val="auto"/>
        </w:rPr>
      </w:pPr>
      <w:r>
        <w:rPr>
          <w:rFonts w:ascii="Arial" w:cs="Arial" w:eastAsia="Arial" w:hAnsi="Arial"/>
          <w:sz w:val="18"/>
          <w:szCs w:val="18"/>
          <w:color w:val="auto"/>
        </w:rPr>
        <w:t>interfering in any material respect with the business of the Borrower or any of its Subsidiaries and any interest or title of a lessor under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lease not in violation of this Agreement; (vi) easements, rights-of-way, zoning or other restrictions, charges, encumbrances, defects in title, prior rights of other Persons, and obligations contained in similar instruments, in each case that do not secure Indebtedness and do not</w:t>
      </w:r>
    </w:p>
    <w:p>
      <w:pPr>
        <w:spacing w:after="0" w:line="236" w:lineRule="auto"/>
        <w:rPr>
          <w:sz w:val="20"/>
          <w:szCs w:val="20"/>
          <w:color w:val="auto"/>
        </w:rPr>
      </w:pPr>
      <w:r>
        <w:rPr>
          <w:rFonts w:ascii="Arial" w:cs="Arial" w:eastAsia="Arial" w:hAnsi="Arial"/>
          <w:sz w:val="18"/>
          <w:szCs w:val="18"/>
          <w:color w:val="auto"/>
        </w:rPr>
        <w:t>involve, and are not likely to involve at any future time, either individually or in the aggregate, (A) a substantial and prolonged interruption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disruption of the business activities of the Borrower and its Subsidiaries considered as an entirety, or (B) a Material Adverse Effect; (vii) Liens arising from the rights of lessors under leases (including financing statements regarding property subject to lease) not in violation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the requirements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only in respect of the property subject to, and secure only, the respective lease (and any other lease with the same or an affiliated lessor); (viii) rights of consignors of goods, whether or not perfected by the filing of a</w:t>
      </w:r>
    </w:p>
    <w:p>
      <w:pPr>
        <w:spacing w:after="0" w:line="236" w:lineRule="auto"/>
        <w:rPr>
          <w:sz w:val="20"/>
          <w:szCs w:val="20"/>
          <w:color w:val="auto"/>
        </w:rPr>
      </w:pPr>
      <w:r>
        <w:rPr>
          <w:rFonts w:ascii="Arial" w:cs="Arial" w:eastAsia="Arial" w:hAnsi="Arial"/>
          <w:sz w:val="18"/>
          <w:szCs w:val="18"/>
          <w:color w:val="auto"/>
        </w:rPr>
        <w:t>financing statement under the UCC; (ix) licenses of intellectual property of the Borrower or any of its Subsidiaries granted in the ordinary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course of business; and (x) any security interest or right to set off arising under the general terms and conditions (</w:t>
      </w:r>
      <w:r>
        <w:rPr>
          <w:rFonts w:ascii="Arial" w:cs="Arial" w:eastAsia="Arial" w:hAnsi="Arial"/>
          <w:sz w:val="20"/>
          <w:szCs w:val="20"/>
          <w:i w:val="1"/>
          <w:iCs w:val="1"/>
          <w:color w:val="auto"/>
        </w:rPr>
        <w:t>algemene voorwaarden</w:t>
      </w:r>
      <w:r>
        <w:rPr>
          <w:rFonts w:ascii="Arial" w:cs="Arial" w:eastAsia="Arial" w:hAnsi="Arial"/>
          <w:sz w:val="20"/>
          <w:szCs w:val="20"/>
          <w:color w:val="auto"/>
        </w:rPr>
        <w:t>) of any member of the Dutch Bankers’ Association (</w:t>
      </w:r>
      <w:r>
        <w:rPr>
          <w:rFonts w:ascii="Arial" w:cs="Arial" w:eastAsia="Arial" w:hAnsi="Arial"/>
          <w:sz w:val="20"/>
          <w:szCs w:val="20"/>
          <w:i w:val="1"/>
          <w:iCs w:val="1"/>
          <w:color w:val="auto"/>
        </w:rPr>
        <w:t>Nederlandse Vereniging van Banken</w:t>
      </w:r>
      <w:r>
        <w:rPr>
          <w:rFonts w:ascii="Arial" w:cs="Arial" w:eastAsia="Arial" w:hAnsi="Arial"/>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at any date, any corporation, limited liability company, partnership,</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association or other entity the accounts of which would be consolidated with those of the parent in the parent’s consolidated financial statements if such financial statements were prepared in accordance with GAAP as of such date, as well as any other corporation, limited</w:t>
      </w:r>
    </w:p>
    <w:p>
      <w:pPr>
        <w:spacing w:after="0" w:line="236" w:lineRule="auto"/>
        <w:rPr>
          <w:sz w:val="20"/>
          <w:szCs w:val="20"/>
          <w:color w:val="auto"/>
        </w:rPr>
      </w:pPr>
      <w:r>
        <w:rPr>
          <w:rFonts w:ascii="Arial" w:cs="Arial" w:eastAsia="Arial" w:hAnsi="Arial"/>
          <w:sz w:val="18"/>
          <w:szCs w:val="18"/>
          <w:color w:val="auto"/>
        </w:rPr>
        <w:t>liability company, partnership, association or other entity (a) of which securities or other ownership interests representing more than 50%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equity or more than 50% of the ordinary Voting Power or, in the case of a partnership, more than 50% of the general partnership interests are, as of such date, owned, controlled or held, or (b) that is, as of such date, otherwise Controlled, by the parent or one or more subsidiaries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the parent or by the parent and one or more subsidiaries of the parent.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subsidiary of the Borrower.</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Guarantors</w:t>
      </w:r>
      <w:r>
        <w:rPr>
          <w:rFonts w:ascii="Arial" w:cs="Arial" w:eastAsia="Arial" w:hAnsi="Arial"/>
          <w:sz w:val="20"/>
          <w:szCs w:val="20"/>
          <w:color w:val="auto"/>
        </w:rPr>
        <w:t xml:space="preserve">” means, collectively, each Domestic Subsidiary (other than an Excluded Subsidiary) and that is or hereafter becomes a party to the Subsidiary Guaranty, and “Subsidiary Guarantor” means any one of them individually.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hereto lists each Subsidiary Guarantor as of the Closing Date.</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Guaranty</w:t>
      </w:r>
      <w:r>
        <w:rPr>
          <w:rFonts w:ascii="Arial" w:cs="Arial" w:eastAsia="Arial" w:hAnsi="Arial"/>
          <w:sz w:val="20"/>
          <w:szCs w:val="20"/>
          <w:color w:val="auto"/>
        </w:rPr>
        <w:t>” means the Subsidiary Guaranty, dated as of the date hereof, as amended, supplemented or otherwise modified from time to time, by the Subsidiary Guarantors in favor of the Administrative Agent.</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Obligation</w:t>
      </w:r>
      <w:r>
        <w:rPr>
          <w:rFonts w:ascii="Arial" w:cs="Arial" w:eastAsia="Arial" w:hAnsi="Arial"/>
          <w:sz w:val="18"/>
          <w:szCs w:val="18"/>
          <w:color w:val="auto"/>
        </w:rPr>
        <w:t>” means, with respect to the Borrower or any Subsidiary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59" w:name="page60"/>
    <w:bookmarkEnd w:id="59"/>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Syndication Agents</w:t>
      </w:r>
      <w:r>
        <w:rPr>
          <w:rFonts w:ascii="Arial" w:cs="Arial" w:eastAsia="Arial" w:hAnsi="Arial"/>
          <w:sz w:val="20"/>
          <w:szCs w:val="20"/>
          <w:color w:val="auto"/>
        </w:rPr>
        <w:t>” means, collectively, PNC Capital Markets LLC, KeyBanc Capital Markets Inc., TD Securities (USA) LLC, The Bank of Nova Scotia and U.S. Bank National Association, as syndication agents under this Agreement.</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Synthetic Lease</w:t>
      </w:r>
      <w:r>
        <w:rPr>
          <w:rFonts w:ascii="Arial" w:cs="Arial" w:eastAsia="Arial" w:hAnsi="Arial"/>
          <w:sz w:val="20"/>
          <w:szCs w:val="20"/>
          <w:color w:val="auto"/>
        </w:rPr>
        <w:t>” means any lease (i) that is accounted for by the lessee as an Operating Lease, and (ii) under which the lessee is intended to be the “owner” of the leased property for federal income tax purposes.</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similar charges imposed by any Governmental Authority, including any interest, additions to tax or penalties</w:t>
      </w:r>
    </w:p>
    <w:p>
      <w:pPr>
        <w:spacing w:after="0"/>
        <w:rPr>
          <w:sz w:val="20"/>
          <w:szCs w:val="20"/>
          <w:color w:val="auto"/>
        </w:rPr>
      </w:pPr>
      <w:r>
        <w:rPr>
          <w:rFonts w:ascii="Arial" w:cs="Arial" w:eastAsia="Arial" w:hAnsi="Arial"/>
          <w:sz w:val="20"/>
          <w:szCs w:val="20"/>
          <w:color w:val="auto"/>
        </w:rPr>
        <w:t>applicable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A-1 Lenders</w:t>
      </w:r>
      <w:r>
        <w:rPr>
          <w:rFonts w:ascii="Arial" w:cs="Arial" w:eastAsia="Arial" w:hAnsi="Arial"/>
          <w:sz w:val="18"/>
          <w:szCs w:val="18"/>
          <w:color w:val="auto"/>
        </w:rPr>
        <w:t>” means any Lender with a Term A-1 Loan Commitment or a Loan Exposure in respect of Term A-1 Loans.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A-1 Loan Commitments</w:t>
      </w:r>
      <w:r>
        <w:rPr>
          <w:rFonts w:ascii="Arial" w:cs="Arial" w:eastAsia="Arial" w:hAnsi="Arial"/>
          <w:sz w:val="18"/>
          <w:szCs w:val="18"/>
          <w:color w:val="auto"/>
        </w:rPr>
        <w:t xml:space="preserve">” means, with respect to each Lender, the commitment of such Lender to make Term A-1 Loans hereunder on the Closing Date. The initial amount of each Lender’s Term A-1 Loan Commitment is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as in effect on the Closing Date. The initial aggregate amount of the Term A-1 Lenders’ Term A-1 Loan Commitments is $1,500,000,000.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A-1 Loans</w:t>
      </w:r>
      <w:r>
        <w:rPr>
          <w:rFonts w:ascii="Arial" w:cs="Arial" w:eastAsia="Arial" w:hAnsi="Arial"/>
          <w:sz w:val="20"/>
          <w:szCs w:val="20"/>
          <w:color w:val="auto"/>
        </w:rPr>
        <w:t>” has the meaning assigned to such term in Section 2.01.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Term SOFR</w:t>
      </w:r>
      <w:r>
        <w:rPr>
          <w:rFonts w:ascii="Arial" w:cs="Arial" w:eastAsia="Arial" w:hAnsi="Arial"/>
          <w:sz w:val="18"/>
          <w:szCs w:val="18"/>
          <w:u w:val="single" w:color="auto"/>
          <w:color w:val="0000FF"/>
        </w:rPr>
        <w:t>” means for any calculation with respect to a Term SOFR Loan, a rate per annum equal to the Term SOFR Reference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u w:val="single" w:color="auto"/>
          <w:color w:val="0000FF"/>
        </w:rPr>
        <w:t>Rate for a tenor comparable to the applicable Interest Period on the day (such day, the “</w:t>
      </w:r>
      <w:r>
        <w:rPr>
          <w:rFonts w:ascii="Arial" w:cs="Arial" w:eastAsia="Arial" w:hAnsi="Arial"/>
          <w:sz w:val="16"/>
          <w:szCs w:val="16"/>
          <w:b w:val="1"/>
          <w:bCs w:val="1"/>
          <w:i w:val="1"/>
          <w:iCs w:val="1"/>
          <w:u w:val="single" w:color="auto"/>
          <w:color w:val="0000FF"/>
        </w:rPr>
        <w:t>Term SOFR Lookback Day</w:t>
      </w:r>
      <w:r>
        <w:rPr>
          <w:rFonts w:ascii="Arial" w:cs="Arial" w:eastAsia="Arial" w:hAnsi="Arial"/>
          <w:sz w:val="16"/>
          <w:szCs w:val="16"/>
          <w:u w:val="single" w:color="auto"/>
          <w:color w:val="0000FF"/>
        </w:rPr>
        <w:t>”) that is two SOFR Business Days prior to the first day of such Interest Period (and rounded to the nearest 1/100,000th (one hundred-thousandth) of a percentage</w:t>
      </w:r>
    </w:p>
    <w:p>
      <w:pPr>
        <w:spacing w:after="0" w:line="235" w:lineRule="auto"/>
        <w:rPr>
          <w:sz w:val="20"/>
          <w:szCs w:val="20"/>
          <w:color w:val="auto"/>
        </w:rPr>
      </w:pPr>
      <w:r>
        <w:rPr>
          <w:rFonts w:ascii="Arial" w:cs="Arial" w:eastAsia="Arial" w:hAnsi="Arial"/>
          <w:sz w:val="18"/>
          <w:szCs w:val="18"/>
          <w:u w:val="single" w:color="auto"/>
          <w:color w:val="0000FF"/>
        </w:rPr>
        <w:t xml:space="preserve">point (or five decimal points)), as such rate is published by the Term SOFR Administrator;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however</w:t>
      </w:r>
      <w:r>
        <w:rPr>
          <w:rFonts w:ascii="Arial" w:cs="Arial" w:eastAsia="Arial" w:hAnsi="Arial"/>
          <w:sz w:val="18"/>
          <w:szCs w:val="18"/>
          <w:u w:val="single" w:color="auto"/>
          <w:color w:val="0000FF"/>
        </w:rPr>
        <w:t>, that if as of 5:00 p.m. (New</w:t>
      </w:r>
    </w:p>
    <w:p>
      <w:pPr>
        <w:jc w:val="both"/>
        <w:spacing w:after="0" w:line="226" w:lineRule="auto"/>
        <w:rPr>
          <w:sz w:val="20"/>
          <w:szCs w:val="20"/>
          <w:color w:val="auto"/>
        </w:rPr>
      </w:pPr>
      <w:r>
        <w:rPr>
          <w:rFonts w:ascii="Arial" w:cs="Arial" w:eastAsia="Arial" w:hAnsi="Arial"/>
          <w:sz w:val="18"/>
          <w:szCs w:val="18"/>
          <w:u w:val="single" w:color="auto"/>
          <w:color w:val="0000FF"/>
        </w:rPr>
        <w:t>York City time) on any Term SOFR Lookback Day the Term SOFR Reference Rate for the applicable tenor has not been published by the Term SOFR Administrator and a Benchmark Replacement Date with respect to the Term SOFR Reference Rate has not occurred, then Term</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u w:val="single" w:color="auto"/>
          <w:color w:val="0000FF"/>
        </w:rPr>
        <w:t>SOFR will be the Term SOFR Reference Rate for such tenor as published by the Term SOFR Administrator on the first preceding SOFR Business Day for which such Term SOFR Reference Rate for such tenor was published by the Term SOFR Administrator so long as such first</w:t>
      </w:r>
    </w:p>
    <w:p>
      <w:pPr>
        <w:spacing w:after="0" w:line="235" w:lineRule="auto"/>
        <w:rPr>
          <w:sz w:val="20"/>
          <w:szCs w:val="20"/>
          <w:color w:val="auto"/>
        </w:rPr>
      </w:pPr>
      <w:r>
        <w:rPr>
          <w:rFonts w:ascii="Arial" w:cs="Arial" w:eastAsia="Arial" w:hAnsi="Arial"/>
          <w:sz w:val="18"/>
          <w:szCs w:val="18"/>
          <w:u w:val="single" w:color="auto"/>
          <w:color w:val="0000FF"/>
        </w:rPr>
        <w:t>preceding SOFR Business Day is not more than three SOFR Business Days prior to such Term SOFR Lookback Day, and for any calculation</w:t>
      </w:r>
    </w:p>
    <w:p>
      <w:pPr>
        <w:jc w:val="both"/>
        <w:spacing w:after="0" w:line="220" w:lineRule="auto"/>
        <w:rPr>
          <w:sz w:val="20"/>
          <w:szCs w:val="20"/>
          <w:color w:val="auto"/>
        </w:rPr>
      </w:pPr>
      <w:r>
        <w:rPr>
          <w:rFonts w:ascii="Arial" w:cs="Arial" w:eastAsia="Arial" w:hAnsi="Arial"/>
          <w:sz w:val="20"/>
          <w:szCs w:val="20"/>
          <w:u w:val="single" w:color="auto"/>
          <w:color w:val="0000FF"/>
        </w:rPr>
        <w:t>with respect to a ABR Loan, the Term SOFR Reference Rate for a tenor of one month on the day that is two SOFR Business Days prior to the date the Alternate Base Rate is determined, subject to the proviso provided above.</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SOFR Administrator</w:t>
      </w:r>
      <w:r>
        <w:rPr>
          <w:rFonts w:ascii="Arial" w:cs="Arial" w:eastAsia="Arial" w:hAnsi="Arial"/>
          <w:sz w:val="20"/>
          <w:szCs w:val="20"/>
          <w:u w:val="single" w:color="auto"/>
          <w:color w:val="0000FF"/>
        </w:rPr>
        <w:t>” means CME (or a successor administrator of the Term SOFR Reference Rate, as selected by the Administrative Agent in its reasonable discretion).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SOFR Borrowing</w:t>
      </w:r>
      <w:r>
        <w:rPr>
          <w:rFonts w:ascii="Arial" w:cs="Arial" w:eastAsia="Arial" w:hAnsi="Arial"/>
          <w:sz w:val="20"/>
          <w:szCs w:val="20"/>
          <w:u w:val="single" w:color="auto"/>
          <w:color w:val="0000FF"/>
        </w:rPr>
        <w:t>” means a Borrowing comprised of Term SOFR Loans.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SOFR Loan</w:t>
      </w:r>
      <w:r>
        <w:rPr>
          <w:rFonts w:ascii="Arial" w:cs="Arial" w:eastAsia="Arial" w:hAnsi="Arial"/>
          <w:sz w:val="20"/>
          <w:szCs w:val="20"/>
          <w:u w:val="single" w:color="auto"/>
          <w:color w:val="0000FF"/>
        </w:rPr>
        <w:t>” means each Loan bearing interest at a rate based upon Adjusted Term SOFR (other than pursuant to clause (c) of the definition of “Alternate Base Rate”).</w:t>
      </w:r>
    </w:p>
    <w:p>
      <w:pPr>
        <w:spacing w:after="0" w:line="155" w:lineRule="exact"/>
        <w:rPr>
          <w:sz w:val="20"/>
          <w:szCs w:val="20"/>
          <w:color w:val="auto"/>
        </w:rPr>
      </w:pPr>
    </w:p>
    <w:p>
      <w:pPr>
        <w:ind w:left="660" w:right="2340"/>
        <w:spacing w:after="0" w:line="459"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Term SOFR Lookback Day</w:t>
      </w:r>
      <w:r>
        <w:rPr>
          <w:rFonts w:ascii="Arial" w:cs="Arial" w:eastAsia="Arial" w:hAnsi="Arial"/>
          <w:sz w:val="19"/>
          <w:szCs w:val="19"/>
          <w:u w:val="single" w:color="auto"/>
          <w:color w:val="0000FF"/>
        </w:rPr>
        <w:t>” has the meaning assigned to such term in the definition of “Term SOFR.” “</w:t>
      </w:r>
      <w:r>
        <w:rPr>
          <w:rFonts w:ascii="Arial" w:cs="Arial" w:eastAsia="Arial" w:hAnsi="Arial"/>
          <w:sz w:val="19"/>
          <w:szCs w:val="19"/>
          <w:b w:val="1"/>
          <w:bCs w:val="1"/>
          <w:i w:val="1"/>
          <w:iCs w:val="1"/>
          <w:u w:val="single" w:color="auto"/>
          <w:color w:val="0000FF"/>
        </w:rPr>
        <w:t>Term SOFR Reference Rate</w:t>
      </w:r>
      <w:r>
        <w:rPr>
          <w:rFonts w:ascii="Arial" w:cs="Arial" w:eastAsia="Arial" w:hAnsi="Arial"/>
          <w:sz w:val="19"/>
          <w:szCs w:val="19"/>
          <w:u w:val="single" w:color="auto"/>
          <w:color w:val="0000FF"/>
        </w:rPr>
        <w:t xml:space="preserve">” means </w:t>
      </w:r>
      <w:r>
        <w:rPr>
          <w:rFonts w:ascii="Arial" w:cs="Arial" w:eastAsia="Arial" w:hAnsi="Arial"/>
          <w:sz w:val="19"/>
          <w:szCs w:val="19"/>
          <w:u w:val="single" w:color="auto"/>
          <w:color w:val="008000"/>
        </w:rPr>
        <w:t>the forward-looking term rate based on SOFR</w:t>
      </w:r>
      <w:r>
        <w:rPr>
          <w:rFonts w:ascii="Arial" w:cs="Arial" w:eastAsia="Arial" w:hAnsi="Arial"/>
          <w:sz w:val="19"/>
          <w:szCs w:val="19"/>
          <w:u w:val="single" w:color="auto"/>
          <w:color w:val="0000FF"/>
        </w:rPr>
        <w:t>.</w:t>
      </w:r>
    </w:p>
    <w:p>
      <w:pPr>
        <w:spacing w:after="0" w:line="1"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Testing Period</w:t>
      </w:r>
      <w:r>
        <w:rPr>
          <w:rFonts w:ascii="Arial" w:cs="Arial" w:eastAsia="Arial" w:hAnsi="Arial"/>
          <w:sz w:val="18"/>
          <w:szCs w:val="18"/>
          <w:color w:val="auto"/>
        </w:rPr>
        <w:t>” means a single period consisting of the four consecutive fiscal quarters of the Borrower then last ended (whether or not such quarters are all within the same fiscal year), except that if a particular provision of this Agreement indicates that a Testing Period</w:t>
      </w:r>
    </w:p>
    <w:p>
      <w:pPr>
        <w:jc w:val="both"/>
        <w:spacing w:after="0" w:line="227" w:lineRule="auto"/>
        <w:rPr>
          <w:sz w:val="20"/>
          <w:szCs w:val="20"/>
          <w:color w:val="auto"/>
        </w:rPr>
      </w:pPr>
      <w:r>
        <w:rPr>
          <w:rFonts w:ascii="Arial" w:cs="Arial" w:eastAsia="Arial" w:hAnsi="Arial"/>
          <w:sz w:val="20"/>
          <w:szCs w:val="20"/>
          <w:color w:val="auto"/>
        </w:rPr>
        <w:t>shall be of a different specified duration, such Testing Period shall consist of the particular fiscal quarter or quarters then last ended that are so indicated in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0" w:name="page61"/>
    <w:bookmarkEnd w:id="60"/>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Leverage Ratio</w:t>
      </w:r>
      <w:r>
        <w:rPr>
          <w:rFonts w:ascii="Arial" w:cs="Arial" w:eastAsia="Arial" w:hAnsi="Arial"/>
          <w:sz w:val="20"/>
          <w:szCs w:val="20"/>
          <w:color w:val="auto"/>
        </w:rPr>
        <w:t>” means, for any Testing Period, the ratio of (i) Consolidated Net Indebtedness to (ii) Consolidated EBITDA, calculated on a Pro Forma Basis.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 Costs</w:t>
      </w:r>
      <w:r>
        <w:rPr>
          <w:rFonts w:ascii="Arial" w:cs="Arial" w:eastAsia="Arial" w:hAnsi="Arial"/>
          <w:sz w:val="20"/>
          <w:szCs w:val="20"/>
          <w:color w:val="auto"/>
        </w:rPr>
        <w:t>” means the fees and expenses incurred in connection with the Transactions.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means, collectively, the execution, delivery and performance by the Borrower and the other Loan Parties of this Agreement and the other Loan Documents, the borrowing of Loans and the use of the proceeds thereof.</w:t>
      </w:r>
    </w:p>
    <w:p>
      <w:pPr>
        <w:spacing w:after="0" w:line="1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Type</w:t>
      </w:r>
      <w:r>
        <w:rPr>
          <w:rFonts w:ascii="Arial" w:cs="Arial" w:eastAsia="Arial" w:hAnsi="Arial"/>
          <w:sz w:val="19"/>
          <w:szCs w:val="19"/>
          <w:color w:val="auto"/>
        </w:rPr>
        <w:t xml:space="preserve">”, when used in reference to any Loan or Borrowing, refers to whether the rate of interest on such Loan, or on the Loans comprising such Borrowing, is determined by reference to </w:t>
      </w:r>
      <w:r>
        <w:rPr>
          <w:rFonts w:ascii="Arial" w:cs="Arial" w:eastAsia="Arial" w:hAnsi="Arial"/>
          <w:sz w:val="19"/>
          <w:szCs w:val="19"/>
          <w:color w:val="FF0000"/>
          <w:strike w:val="1"/>
        </w:rPr>
        <w:t>the</w:t>
      </w:r>
      <w:r>
        <w:rPr>
          <w:rFonts w:ascii="Arial" w:cs="Arial" w:eastAsia="Arial" w:hAnsi="Arial"/>
          <w:sz w:val="19"/>
          <w:szCs w:val="19"/>
          <w:color w:val="auto"/>
        </w:rPr>
        <w:t xml:space="preserve"> Adjusted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or the Alternate Base Rate.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w:t>
      </w:r>
      <w:r>
        <w:rPr>
          <w:rFonts w:ascii="Arial" w:cs="Arial" w:eastAsia="Arial" w:hAnsi="Arial"/>
          <w:sz w:val="20"/>
          <w:szCs w:val="20"/>
          <w:color w:val="auto"/>
        </w:rPr>
        <w:t>” or “</w:t>
      </w:r>
      <w:r>
        <w:rPr>
          <w:rFonts w:ascii="Arial" w:cs="Arial" w:eastAsia="Arial" w:hAnsi="Arial"/>
          <w:sz w:val="20"/>
          <w:szCs w:val="20"/>
          <w:b w:val="1"/>
          <w:bCs w:val="1"/>
          <w:i w:val="1"/>
          <w:iCs w:val="1"/>
          <w:color w:val="auto"/>
        </w:rPr>
        <w:t>United Kingdom</w:t>
      </w:r>
      <w:r>
        <w:rPr>
          <w:rFonts w:ascii="Arial" w:cs="Arial" w:eastAsia="Arial" w:hAnsi="Arial"/>
          <w:sz w:val="20"/>
          <w:szCs w:val="20"/>
          <w:color w:val="auto"/>
        </w:rPr>
        <w:t>” means the United Kingdom of Great Britain and Northern Ireland.</w:t>
      </w:r>
    </w:p>
    <w:p>
      <w:pPr>
        <w:spacing w:after="0" w:line="175"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I of the UK Banking Act 2009 and any other law or regulation applicable in the United Kingdom relating</w:t>
      </w:r>
    </w:p>
    <w:p>
      <w:pPr>
        <w:jc w:val="both"/>
        <w:spacing w:after="0" w:line="220" w:lineRule="auto"/>
        <w:rPr>
          <w:sz w:val="20"/>
          <w:szCs w:val="20"/>
          <w:color w:val="auto"/>
        </w:rPr>
      </w:pPr>
      <w:r>
        <w:rPr>
          <w:rFonts w:ascii="Arial" w:cs="Arial" w:eastAsia="Arial" w:hAnsi="Arial"/>
          <w:sz w:val="20"/>
          <w:szCs w:val="20"/>
          <w:color w:val="auto"/>
        </w:rPr>
        <w:t>to the resolution of unsound or failing banks, investment firms or other financial institutions or their affiliates (otherwise than through liquidation, administration or other insolvency proceedings).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Financial Institution</w:t>
      </w:r>
      <w:r>
        <w:rPr>
          <w:rFonts w:ascii="Arial" w:cs="Arial" w:eastAsia="Arial" w:hAnsi="Arial"/>
          <w:sz w:val="18"/>
          <w:szCs w:val="18"/>
          <w:color w:val="auto"/>
        </w:rPr>
        <w:t>” means any BRRD Undertaking (as such term is defined under the PRA Rulebook (as amended from time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time) promulgated by the United Kingdom Prudential Regulation Authority) or any person falling within IFPRU 11.6 of the FCA Handbook (as amended from time to time) promulgated by the United Kingdom Financial Conduct Authority, which includes certain 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institutions and investment firms, and certain affiliates of such credit institutions or investment firms.</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Cash</w:t>
      </w:r>
      <w:r>
        <w:rPr>
          <w:rFonts w:ascii="Arial" w:cs="Arial" w:eastAsia="Arial" w:hAnsi="Arial"/>
          <w:sz w:val="18"/>
          <w:szCs w:val="18"/>
          <w:color w:val="auto"/>
        </w:rPr>
        <w:t>” means, at any time of determination, the sum of (i) the aggregate amount of all cash deposits of the Borrower and its Subsidiaries maintained in any demand deposit account, and (ii) the aggregate monetary value of all money market funds of the</w:t>
      </w:r>
    </w:p>
    <w:p>
      <w:pPr>
        <w:jc w:val="both"/>
        <w:spacing w:after="0" w:line="226" w:lineRule="auto"/>
        <w:rPr>
          <w:sz w:val="20"/>
          <w:szCs w:val="20"/>
          <w:color w:val="auto"/>
        </w:rPr>
      </w:pPr>
      <w:r>
        <w:rPr>
          <w:rFonts w:ascii="Arial" w:cs="Arial" w:eastAsia="Arial" w:hAnsi="Arial"/>
          <w:sz w:val="18"/>
          <w:szCs w:val="18"/>
          <w:color w:val="auto"/>
        </w:rPr>
        <w:t>Borrower and its Subsidiaries maintained in any account of a securities intermediary, to the extent such cash deposits and money market funds are free of any Lien or other encumbrance (other than (x) customary Liens arising in the ordinary course of business which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depository institution may have with respect to any right of offset against funds in such account, and (y) customary holds for uncollected deposits).</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 (Title III of Pub. L. No. 107-56 (signed into law October 26, 2001)), as amended or modified from time to time.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Person</w:t>
      </w:r>
      <w:r>
        <w:rPr>
          <w:rFonts w:ascii="Arial" w:cs="Arial" w:eastAsia="Arial" w:hAnsi="Arial"/>
          <w:sz w:val="20"/>
          <w:szCs w:val="20"/>
          <w:color w:val="auto"/>
        </w:rPr>
        <w:t>” means a “United States person” within the meaning of Section 7701(a)(30) of the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has the meaning assigned to such term in Section 2.17(f)(ii)(B)(3).</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Power</w:t>
      </w:r>
      <w:r>
        <w:rPr>
          <w:rFonts w:ascii="Arial" w:cs="Arial" w:eastAsia="Arial" w:hAnsi="Arial"/>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w:t>
      </w:r>
    </w:p>
    <w:p>
      <w:pPr>
        <w:spacing w:after="0" w:line="235" w:lineRule="auto"/>
        <w:rPr>
          <w:sz w:val="20"/>
          <w:szCs w:val="20"/>
          <w:color w:val="auto"/>
        </w:rPr>
      </w:pPr>
      <w:r>
        <w:rPr>
          <w:rFonts w:ascii="Arial" w:cs="Arial" w:eastAsia="Arial" w:hAnsi="Arial"/>
          <w:sz w:val="18"/>
          <w:szCs w:val="18"/>
          <w:color w:val="auto"/>
        </w:rPr>
        <w:t>such Person, and the holding of a designated percentage of Voting Power of a Person means the ownership of shares of capital stock,</w:t>
      </w:r>
    </w:p>
    <w:p>
      <w:pPr>
        <w:jc w:val="both"/>
        <w:spacing w:after="0" w:line="220" w:lineRule="auto"/>
        <w:rPr>
          <w:sz w:val="20"/>
          <w:szCs w:val="20"/>
          <w:color w:val="auto"/>
        </w:rPr>
      </w:pPr>
      <w:r>
        <w:rPr>
          <w:rFonts w:ascii="Arial" w:cs="Arial" w:eastAsia="Arial" w:hAnsi="Arial"/>
          <w:sz w:val="20"/>
          <w:szCs w:val="20"/>
          <w:color w:val="auto"/>
        </w:rPr>
        <w:t>partnership interests, membership interests or other interests of such Person sufficient to control exclusively the election of that percentage of the members of the board of directors or similar governing body of such Person.</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Withholding Agent</w:t>
      </w:r>
      <w:r>
        <w:rPr>
          <w:rFonts w:ascii="Arial" w:cs="Arial" w:eastAsia="Arial" w:hAnsi="Arial"/>
          <w:sz w:val="20"/>
          <w:szCs w:val="20"/>
          <w:color w:val="auto"/>
        </w:rPr>
        <w:t>” means any Loan Party and the Administrative Agent.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b w:val="1"/>
          <w:bCs w:val="1"/>
          <w:i w:val="1"/>
          <w:iCs w:val="1"/>
          <w:color w:val="auto"/>
        </w:rPr>
        <w:t>“Write-Down and Conversion Powers</w:t>
      </w:r>
      <w:r>
        <w:rPr>
          <w:rFonts w:ascii="Arial" w:cs="Arial" w:eastAsia="Arial" w:hAnsi="Arial"/>
          <w:sz w:val="18"/>
          <w:szCs w:val="18"/>
          <w:color w:val="auto"/>
        </w:rPr>
        <w:t>” means, (a) in relation to any Bail-In Legislation described in the EU Bail-In Legislation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 and (b) from time to time, the powers described as such in relation to that Bail-In Legislation in the EU Bail-In Legislation</w:t>
      </w:r>
    </w:p>
    <w:p>
      <w:pPr>
        <w:spacing w:after="0" w:line="222" w:lineRule="auto"/>
        <w:rPr>
          <w:sz w:val="20"/>
          <w:szCs w:val="20"/>
          <w:color w:val="auto"/>
        </w:rPr>
      </w:pPr>
      <w:r>
        <w:rPr>
          <w:rFonts w:ascii="Arial" w:cs="Arial" w:eastAsia="Arial" w:hAnsi="Arial"/>
          <w:sz w:val="19"/>
          <w:szCs w:val="19"/>
          <w:color w:val="auto"/>
        </w:rPr>
        <w:t>Schedule, (b) in relation to the UK Bail-In Legislation, any powers under that UK Bail-In Legislation to cancel, transfer or dilute shares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w:t>
      </w:r>
    </w:p>
    <w:p>
      <w:pPr>
        <w:spacing w:after="0" w:line="236" w:lineRule="auto"/>
        <w:rPr>
          <w:sz w:val="20"/>
          <w:szCs w:val="20"/>
          <w:color w:val="auto"/>
        </w:rPr>
      </w:pPr>
      <w:r>
        <w:rPr>
          <w:rFonts w:ascii="Arial" w:cs="Arial" w:eastAsia="Arial" w:hAnsi="Arial"/>
          <w:sz w:val="18"/>
          <w:szCs w:val="18"/>
          <w:color w:val="auto"/>
        </w:rPr>
        <w:t>arises, to convert all or part of that liability into shares, securities or obligations of that person or any other person, to provide that any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contract or instrument is to have effect as if a right had been exercised under it or to suspend any obligation in respect of that liability or any of the powers under that UK Bail-In Legislation that are related to or ancillary to any of those powers and (c) in relation to any other</w:t>
      </w:r>
    </w:p>
    <w:p>
      <w:pPr>
        <w:spacing w:after="0" w:line="236" w:lineRule="auto"/>
        <w:rPr>
          <w:sz w:val="20"/>
          <w:szCs w:val="20"/>
          <w:color w:val="auto"/>
        </w:rPr>
      </w:pPr>
      <w:r>
        <w:rPr>
          <w:rFonts w:ascii="Arial" w:cs="Arial" w:eastAsia="Arial" w:hAnsi="Arial"/>
          <w:sz w:val="18"/>
          <w:szCs w:val="18"/>
          <w:color w:val="auto"/>
        </w:rPr>
        <w:t>applicable Bail-In Legislation, (i) any powers under that Bail-In Legislation to cancel, transfer or dilute shares issued by a person that is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w:t>
      </w:r>
    </w:p>
    <w:p>
      <w:pPr>
        <w:spacing w:after="0" w:line="236" w:lineRule="auto"/>
        <w:rPr>
          <w:sz w:val="20"/>
          <w:szCs w:val="20"/>
          <w:color w:val="auto"/>
        </w:rPr>
      </w:pPr>
      <w:r>
        <w:rPr>
          <w:rFonts w:ascii="Arial" w:cs="Arial" w:eastAsia="Arial" w:hAnsi="Arial"/>
          <w:sz w:val="18"/>
          <w:szCs w:val="18"/>
          <w:color w:val="auto"/>
        </w:rPr>
        <w:t>of that liability into shares, securities or obligations of that person or any other person, to provide that any such contract or instrument is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have effect as if a right had been exercised under it or to suspend any obligation in respect of that liability or any of the powers under that Bail-In Legislation that are related to or ancillary to any of those powers and (ii) any similar or analogous powers under that Bail-In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Legislation.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Type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Eurodollar</w:t>
      </w:r>
      <w:r>
        <w:rPr>
          <w:rFonts w:ascii="Arial" w:cs="Arial" w:eastAsia="Arial" w:hAnsi="Arial"/>
          <w:sz w:val="18"/>
          <w:szCs w:val="18"/>
          <w:b w:val="1"/>
          <w:bCs w:val="1"/>
          <w:i w:val="1"/>
          <w:iCs w:val="1"/>
          <w:u w:val="single" w:color="auto"/>
          <w:color w:val="0000FF"/>
        </w:rPr>
        <w:t>Term SOFR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Borrowings also may be classified and referred to by Type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Eurodollar</w:t>
      </w:r>
      <w:r>
        <w:rPr>
          <w:rFonts w:ascii="Arial" w:cs="Arial" w:eastAsia="Arial" w:hAnsi="Arial"/>
          <w:sz w:val="18"/>
          <w:szCs w:val="18"/>
          <w:b w:val="1"/>
          <w:bCs w:val="1"/>
          <w:i w:val="1"/>
          <w:iCs w:val="1"/>
          <w:u w:val="single" w:color="auto"/>
          <w:color w:val="0000FF"/>
        </w:rPr>
        <w:t>Term SOFR</w:t>
      </w:r>
    </w:p>
    <w:p>
      <w:pPr>
        <w:spacing w:after="0"/>
        <w:rPr>
          <w:sz w:val="20"/>
          <w:szCs w:val="20"/>
          <w:color w:val="auto"/>
        </w:rPr>
      </w:pPr>
      <w:r>
        <w:rPr>
          <w:rFonts w:ascii="Arial" w:cs="Arial" w:eastAsia="Arial" w:hAnsi="Arial"/>
          <w:sz w:val="20"/>
          <w:szCs w:val="20"/>
          <w:b w:val="1"/>
          <w:bCs w:val="1"/>
          <w:i w:val="1"/>
          <w:iCs w:val="1"/>
          <w:color w:val="auto"/>
        </w:rPr>
        <w:t>Borrowing</w:t>
      </w:r>
      <w:r>
        <w:rPr>
          <w:rFonts w:ascii="Arial" w:cs="Arial" w:eastAsia="Arial" w:hAnsi="Arial"/>
          <w:sz w:val="20"/>
          <w:szCs w:val="20"/>
          <w:color w:val="auto"/>
        </w:rPr>
        <w:t>”).</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w:t>
      </w:r>
    </w:p>
    <w:p>
      <w:pPr>
        <w:spacing w:after="0" w:line="226" w:lineRule="auto"/>
        <w:rPr>
          <w:sz w:val="20"/>
          <w:szCs w:val="20"/>
          <w:color w:val="auto"/>
        </w:rPr>
      </w:pPr>
      <w:r>
        <w:rPr>
          <w:rFonts w:ascii="Arial" w:cs="Arial" w:eastAsia="Arial" w:hAnsi="Arial"/>
          <w:sz w:val="18"/>
          <w:szCs w:val="18"/>
          <w:color w:val="auto"/>
        </w:rPr>
        <w:t>“include”, “includes” and “including” shall be deemed to be followed by the phrase “without limitation”. The word “will” shall be construed to have the same meaning and effect as the word “shall”. Unless the context requires otherwise (a) any definition of or reference to 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agreement, instrument or other document herein shall be construed as referring to such agreement, instrument or other document as from time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time amended, supplemented or otherwise modified (subject to any restrictions on such amendments, supplements or modifications set forth herein), (b) any reference herein to any Person shall be construed to include such Person’s successors and assigns, (c) the words</w:t>
      </w:r>
    </w:p>
    <w:p>
      <w:pPr>
        <w:spacing w:after="0" w:line="236" w:lineRule="auto"/>
        <w:rPr>
          <w:sz w:val="20"/>
          <w:szCs w:val="20"/>
          <w:color w:val="auto"/>
        </w:rPr>
      </w:pPr>
      <w:r>
        <w:rPr>
          <w:rFonts w:ascii="Arial" w:cs="Arial" w:eastAsia="Arial" w:hAnsi="Arial"/>
          <w:sz w:val="18"/>
          <w:szCs w:val="18"/>
          <w:color w:val="auto"/>
        </w:rPr>
        <w:t>“herein”, “hereof” and “hereunder”, and words of similar import, shall be construed to refer to this Agreement in its entirety and not to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particular provision hereof, (d) all references herein to Articles, Sections, Exhibits and Schedules shall be construed to refer to Articles and Sections of, and Exhibits and Schedules to, this Agreement, (e) the words “asset” and “property” shall be construed to have the same</w:t>
      </w:r>
    </w:p>
    <w:p>
      <w:pPr>
        <w:spacing w:after="0" w:line="236" w:lineRule="auto"/>
        <w:rPr>
          <w:sz w:val="20"/>
          <w:szCs w:val="20"/>
          <w:color w:val="auto"/>
        </w:rPr>
      </w:pPr>
      <w:r>
        <w:rPr>
          <w:rFonts w:ascii="Arial" w:cs="Arial" w:eastAsia="Arial" w:hAnsi="Arial"/>
          <w:sz w:val="18"/>
          <w:szCs w:val="18"/>
          <w:color w:val="auto"/>
        </w:rPr>
        <w:t>meaning and effect and to refer to any and all tangible and intangible assets and properties, including cash, securities, accounts and contract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rights and (f) the word “regulation” includes any regulation, rule, official directive, request or guideline (whether or not having the force of law) of any governmental, intergovernmental or supranational body, agency, department or of any regulatory, self-regulatory or 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authority or organization.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whether a lease constitutes a capital lease or</w:t>
      </w:r>
    </w:p>
    <w:p>
      <w:pPr>
        <w:spacing w:after="0" w:line="235" w:lineRule="auto"/>
        <w:rPr>
          <w:sz w:val="20"/>
          <w:szCs w:val="20"/>
          <w:color w:val="auto"/>
        </w:rPr>
      </w:pPr>
      <w:r>
        <w:rPr>
          <w:rFonts w:ascii="Arial" w:cs="Arial" w:eastAsia="Arial" w:hAnsi="Arial"/>
          <w:sz w:val="18"/>
          <w:szCs w:val="18"/>
          <w:color w:val="auto"/>
        </w:rPr>
        <w:t>an operating lease shall be determined based on GAAP as in effect on October 31, 2017, notwithstanding any modification or interpretative</w:t>
      </w:r>
    </w:p>
    <w:p>
      <w:pPr>
        <w:jc w:val="both"/>
        <w:spacing w:after="0" w:line="226" w:lineRule="auto"/>
        <w:rPr>
          <w:sz w:val="20"/>
          <w:szCs w:val="20"/>
          <w:color w:val="auto"/>
        </w:rPr>
      </w:pPr>
      <w:r>
        <w:rPr>
          <w:rFonts w:ascii="Arial" w:cs="Arial" w:eastAsia="Arial" w:hAnsi="Arial"/>
          <w:sz w:val="18"/>
          <w:szCs w:val="18"/>
          <w:color w:val="auto"/>
        </w:rPr>
        <w:t>change thereto after the date hereof (including without giving effect to any treatment of leases under Accounting Standards Codification 842 (or any other Accounting Standards Codification or Financial Accounting Standard having or purporting to have a similar result or effect));</w:t>
      </w:r>
    </w:p>
    <w:p>
      <w:pPr>
        <w:spacing w:after="0" w:line="236"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if the Borrower notifies the Administrative Agent that the Borrower requests an amendment to any provision hereof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regardless of whether any such notice is given before or after such change in GAAP or in the application thereof, then such provision shall be interpreted on the basis of GAAP as in effect and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immediately before such change shall have become effective until such notice shall have been withdrawn or such provision amended in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accordance herewith. Notwithstanding any other provision contained herein, all terms of an accounting or financial nature used herein shall be construed, and all computations of amounts and ratios referred to herein shall be made, without giving effect to any election under</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Financial Accounting Standards Board Accounting Standards Codification 825 (or any other Financial Accounting Standard having a similar result or effect) to value any Indebtedness or other liabilities of the Borrower or any Subsidiary at “fair value”, as defined therein.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Equivalents</w:t>
      </w:r>
      <w:r>
        <w:rPr>
          <w:rFonts w:ascii="Arial" w:cs="Arial" w:eastAsia="Arial" w:hAnsi="Arial"/>
          <w:sz w:val="18"/>
          <w:szCs w:val="18"/>
          <w:color w:val="auto"/>
        </w:rPr>
        <w:t>. Except as otherwise specified herein, all references herein or in any other Loan Document to a Dollar amount shall mean such amount in Dollars or, if the context so requires, the Dollar Equivalent of such amount in any foreign currency. The Dollar Equivalent of any amount shall be determined in accordance with the definition of “Dollar Equivalent”.</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the Delaware Limited Liability Company Act (or any comparable event under a different jurisdiction’s laws): (a) if any asset, right, obligation or</w:t>
      </w:r>
    </w:p>
    <w:p>
      <w:pPr>
        <w:jc w:val="both"/>
        <w:ind w:right="20"/>
        <w:spacing w:after="0" w:line="226" w:lineRule="auto"/>
        <w:rPr>
          <w:sz w:val="20"/>
          <w:szCs w:val="20"/>
          <w:color w:val="auto"/>
        </w:rPr>
      </w:pPr>
      <w:r>
        <w:rPr>
          <w:rFonts w:ascii="Arial" w:cs="Arial" w:eastAsia="Arial" w:hAnsi="Arial"/>
          <w:sz w:val="18"/>
          <w:szCs w:val="18"/>
          <w:color w:val="auto"/>
        </w:rPr>
        <w:t>liability of any Person that is a limited liability company becomes the asset, right, obligation or liability of a different Person, then it shall be deemed to have been transferred from the original Person to the subsequent Person, and (b) if any new Person comes into existence,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new Person shall be deemed to have been organized on the first date of its existence by the holders of its Equity Interests at such time.</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FF0000"/>
          <w:strike w:val="1"/>
        </w:rPr>
        <w:t>Benchmark Notification</w:t>
      </w:r>
      <w:r>
        <w:rPr>
          <w:rFonts w:ascii="Arial" w:cs="Arial" w:eastAsia="Arial" w:hAnsi="Arial"/>
          <w:sz w:val="18"/>
          <w:szCs w:val="18"/>
          <w:u w:val="single" w:color="auto"/>
          <w:color w:val="0000FF"/>
        </w:rPr>
        <w:t>Rates</w:t>
      </w:r>
      <w:r>
        <w:rPr>
          <w:rFonts w:ascii="Arial" w:cs="Arial" w:eastAsia="Arial" w:hAnsi="Arial"/>
          <w:sz w:val="18"/>
          <w:szCs w:val="18"/>
          <w:color w:val="FF0000"/>
          <w:strike w:val="1"/>
        </w:rPr>
        <w:t>. The Administrative Agent does not warrant or accept any responsibility for, and shall</w:t>
      </w:r>
      <w:r>
        <w:rPr>
          <w:rFonts w:ascii="Arial" w:cs="Arial" w:eastAsia="Arial" w:hAnsi="Arial"/>
          <w:sz w:val="18"/>
          <w:szCs w:val="18"/>
          <w:color w:val="auto"/>
        </w:rPr>
        <w:t xml:space="preserve"> </w:t>
      </w:r>
      <w:r>
        <w:rPr>
          <w:rFonts w:ascii="Arial" w:cs="Arial" w:eastAsia="Arial" w:hAnsi="Arial"/>
          <w:sz w:val="18"/>
          <w:szCs w:val="18"/>
          <w:color w:val="FF0000"/>
          <w:strike w:val="1"/>
        </w:rPr>
        <w:t>not have any liability with respect to, the administration, submission or any other matter related to LIBOR or with respect to any alternative</w:t>
      </w:r>
    </w:p>
    <w:p>
      <w:pPr>
        <w:spacing w:after="0" w:line="222" w:lineRule="auto"/>
        <w:rPr>
          <w:sz w:val="20"/>
          <w:szCs w:val="20"/>
          <w:color w:val="auto"/>
        </w:rPr>
      </w:pPr>
      <w:r>
        <w:rPr>
          <w:rFonts w:ascii="Arial" w:cs="Arial" w:eastAsia="Arial" w:hAnsi="Arial"/>
          <w:sz w:val="19"/>
          <w:szCs w:val="19"/>
          <w:color w:val="FF0000"/>
          <w:strike w:val="1"/>
        </w:rPr>
        <w:t>or successor benchmark thereto, or replacement rate therefor or thereof, including, without limitation, whether the composition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characteristics of any such alternative, successor or replacement reference rate, as it may or may not be adjusted pursuant to Section 2.23, will be similar to, or produce the same value or economic equivalence of, LIBOR or any other benchmark or have the same volume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liquidity as did LIBOR or any other benchmark rate prior to its discontinuance or unavailability.</w:t>
      </w:r>
    </w:p>
    <w:p>
      <w:pPr>
        <w:spacing w:after="0" w:line="159" w:lineRule="exact"/>
        <w:rPr>
          <w:sz w:val="20"/>
          <w:szCs w:val="20"/>
          <w:color w:val="auto"/>
        </w:rPr>
      </w:pPr>
    </w:p>
    <w:p>
      <w:pPr>
        <w:jc w:val="both"/>
        <w:ind w:firstLine="656"/>
        <w:spacing w:after="0" w:line="232" w:lineRule="auto"/>
        <w:tabs>
          <w:tab w:leader="none" w:pos="747" w:val="left"/>
        </w:tabs>
        <w:numPr>
          <w:ilvl w:val="0"/>
          <w:numId w:val="2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interest rate on Loans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Alternate Base Rate or Adjusted Term SOFR, or, in each case,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Adjusted Term SOFR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Alternate Base Rate or Adjusted Term SOFR, or, in each case,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benchmark rate (or component thereof) provided by any such information source or service. In connection with the use or administration of Adjusted Term SOFR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 and the Lenders of the effectiveness of any Benchmark Replacement Conforming Changes in connection with the use or administration of Adjusted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3" w:name="page64"/>
    <w:bookmarkEnd w:id="63"/>
    <w:p>
      <w:pPr>
        <w:ind w:left="5020"/>
        <w:spacing w:after="0"/>
        <w:rPr>
          <w:sz w:val="20"/>
          <w:szCs w:val="20"/>
          <w:color w:val="auto"/>
        </w:rPr>
      </w:pPr>
      <w:r>
        <w:rPr>
          <w:rFonts w:ascii="Arial" w:cs="Arial" w:eastAsia="Arial" w:hAnsi="Arial"/>
          <w:sz w:val="20"/>
          <w:szCs w:val="20"/>
          <w:color w:val="auto"/>
        </w:rPr>
        <w:t>ARTICLE II</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THE CREDITS</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 each Term A-1 Lender agrees to make term loans to the Borrower on the Closing Date (the “</w:t>
      </w:r>
      <w:r>
        <w:rPr>
          <w:rFonts w:ascii="Arial" w:cs="Arial" w:eastAsia="Arial" w:hAnsi="Arial"/>
          <w:sz w:val="18"/>
          <w:szCs w:val="18"/>
          <w:b w:val="1"/>
          <w:bCs w:val="1"/>
          <w:i w:val="1"/>
          <w:iCs w:val="1"/>
          <w:color w:val="auto"/>
        </w:rPr>
        <w:t>Term A-1 Loans</w:t>
      </w:r>
      <w:r>
        <w:rPr>
          <w:rFonts w:ascii="Arial" w:cs="Arial" w:eastAsia="Arial" w:hAnsi="Arial"/>
          <w:sz w:val="18"/>
          <w:szCs w:val="18"/>
          <w:color w:val="auto"/>
        </w:rPr>
        <w:t>”) in Dollars and in the principal amount requested by the Borrower in accordance</w:t>
      </w:r>
    </w:p>
    <w:p>
      <w:pPr>
        <w:spacing w:after="0" w:line="226" w:lineRule="auto"/>
        <w:rPr>
          <w:sz w:val="20"/>
          <w:szCs w:val="20"/>
          <w:color w:val="auto"/>
        </w:rPr>
      </w:pPr>
      <w:r>
        <w:rPr>
          <w:rFonts w:ascii="Arial" w:cs="Arial" w:eastAsia="Arial" w:hAnsi="Arial"/>
          <w:sz w:val="18"/>
          <w:szCs w:val="18"/>
          <w:color w:val="auto"/>
        </w:rPr>
        <w:t>with Section 2.03 so long as such requested amount does not result in (i) the aggregate principal amount of the Term A-1 Loans made by such Lender exceeding its Term A-1 Loan Commitment or (ii) the aggregate principal amount of all Term A-1 Loans made by the Lenders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exceeding the total Term A-1 Loan Commitments. The Term A-1 Loans may only be incurred on the Closing Date, and any portion of the Term A-1 Loans that is repaid may not be reborrowed.</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(a) Each Loan shall be made as part of a Borrowing consisting of Loans made by the Lenders ratably in accordance with their respective Commitments. The failure of any Lender to make any Loan required to be made by it shall not</w:t>
      </w:r>
    </w:p>
    <w:p>
      <w:pPr>
        <w:spacing w:after="0" w:line="220" w:lineRule="auto"/>
        <w:rPr>
          <w:sz w:val="20"/>
          <w:szCs w:val="20"/>
          <w:color w:val="auto"/>
        </w:rPr>
      </w:pPr>
      <w:r>
        <w:rPr>
          <w:rFonts w:ascii="Arial" w:cs="Arial" w:eastAsia="Arial" w:hAnsi="Arial"/>
          <w:sz w:val="20"/>
          <w:szCs w:val="20"/>
          <w:color w:val="auto"/>
        </w:rPr>
        <w:t xml:space="preserve">relieve any other Lender of its obligations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Commitments of the Lenders are several and no Lender shall be responsible for any other Lender’s failure to make Loans as required.</w:t>
      </w:r>
    </w:p>
    <w:p>
      <w:pPr>
        <w:spacing w:after="0" w:line="170" w:lineRule="exact"/>
        <w:rPr>
          <w:sz w:val="20"/>
          <w:szCs w:val="20"/>
          <w:color w:val="auto"/>
        </w:rPr>
      </w:pPr>
    </w:p>
    <w:p>
      <w:pPr>
        <w:jc w:val="both"/>
        <w:ind w:firstLine="1304"/>
        <w:spacing w:after="0" w:line="231" w:lineRule="auto"/>
        <w:tabs>
          <w:tab w:leader="none" w:pos="1734"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Subject to Section 2.14, each Borrowing shall be comprised entirely of ABR Loans or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as the Borrower may request in accordance herewith. Each Lender at its option may make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by causing any domestic or foreign branch or Affiliate of such Lender to make such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71" w:lineRule="exact"/>
        <w:rPr>
          <w:rFonts w:ascii="Arial" w:cs="Arial" w:eastAsia="Arial" w:hAnsi="Arial"/>
          <w:sz w:val="19"/>
          <w:szCs w:val="19"/>
          <w:color w:val="auto"/>
        </w:rPr>
      </w:pPr>
    </w:p>
    <w:p>
      <w:pPr>
        <w:jc w:val="both"/>
        <w:ind w:firstLine="1304"/>
        <w:spacing w:after="0" w:line="223" w:lineRule="auto"/>
        <w:tabs>
          <w:tab w:leader="none" w:pos="1711"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such Borrowing shall be in an aggregate amount that is an integral multiple of $1,000,000 and not less than $1,000,000. At the time that each ABR Borrowing is made, such Borrowing shall be in an aggregate amount that is an integral multiple of $500,000 and not less than $1,000,000;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ABR Borrowing may be in an aggregate amount that is equal to the entire unused balance of the total Commitments. Borrowings of more than one Type may be outstanding at the same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there are two or more Borrowings on a single day by the Borrower that consist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each such Borrowing shall have a different initial Interest Period, and (ii) at no time shall there be more than twenty (20) Borrowings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outstanding.</w:t>
      </w:r>
    </w:p>
    <w:p>
      <w:pPr>
        <w:spacing w:after="0" w:line="171" w:lineRule="exact"/>
        <w:rPr>
          <w:rFonts w:ascii="Arial" w:cs="Arial" w:eastAsia="Arial" w:hAnsi="Arial"/>
          <w:sz w:val="19"/>
          <w:szCs w:val="19"/>
          <w:color w:val="auto"/>
        </w:rPr>
      </w:pPr>
    </w:p>
    <w:p>
      <w:pPr>
        <w:ind w:firstLine="1304"/>
        <w:spacing w:after="0" w:line="257" w:lineRule="auto"/>
        <w:tabs>
          <w:tab w:leader="none" w:pos="1806"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4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Borrowing, the Borrower shall notify the Administrative Agent of such request in writing (a)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not later than 1:00 p.m., New York City time, three Business Days before the</w:t>
      </w:r>
    </w:p>
    <w:p>
      <w:pPr>
        <w:spacing w:after="0" w:line="226" w:lineRule="auto"/>
        <w:rPr>
          <w:sz w:val="20"/>
          <w:szCs w:val="20"/>
          <w:color w:val="auto"/>
        </w:rPr>
      </w:pPr>
      <w:r>
        <w:rPr>
          <w:rFonts w:ascii="Arial" w:cs="Arial" w:eastAsia="Arial" w:hAnsi="Arial"/>
          <w:sz w:val="18"/>
          <w:szCs w:val="18"/>
          <w:color w:val="auto"/>
        </w:rPr>
        <w:t xml:space="preserve">date of the proposed Borrowing (or,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on the Closing Date, two Business Days before the date of the proposed Borrowing) or (b) in the case of an ABR Borrowing, not later than 11:00 a.m., New York City time, on the date of the</w:t>
      </w:r>
    </w:p>
    <w:p>
      <w:pPr>
        <w:spacing w:after="0" w:line="236" w:lineRule="auto"/>
        <w:rPr>
          <w:sz w:val="20"/>
          <w:szCs w:val="20"/>
          <w:color w:val="auto"/>
        </w:rPr>
      </w:pPr>
      <w:r>
        <w:rPr>
          <w:rFonts w:ascii="Arial" w:cs="Arial" w:eastAsia="Arial" w:hAnsi="Arial"/>
          <w:sz w:val="18"/>
          <w:szCs w:val="18"/>
          <w:color w:val="auto"/>
        </w:rPr>
        <w:t>proposed Borrowing. Each such Borrowing Request shall be irrevocable and made by hand delivery or telecopy to the Administrative Agent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a written Borrowing Request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such other form approved by the Administrative Agent (each, a “</w:t>
      </w:r>
      <w:r>
        <w:rPr>
          <w:rFonts w:ascii="Arial" w:cs="Arial" w:eastAsia="Arial" w:hAnsi="Arial"/>
          <w:sz w:val="18"/>
          <w:szCs w:val="18"/>
          <w:b w:val="1"/>
          <w:bCs w:val="1"/>
          <w:i w:val="1"/>
          <w:iCs w:val="1"/>
          <w:color w:val="auto"/>
        </w:rPr>
        <w:t>Borrowing Request</w:t>
      </w:r>
      <w:r>
        <w:rPr>
          <w:rFonts w:ascii="Arial" w:cs="Arial" w:eastAsia="Arial" w:hAnsi="Arial"/>
          <w:sz w:val="18"/>
          <w:szCs w:val="18"/>
          <w:color w:val="auto"/>
        </w:rPr>
        <w:t>”) and signed by the Borrower. Each such Borrowing Request shall specify the following information in compliance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Section 2.02:</w:t>
      </w:r>
    </w:p>
    <w:p>
      <w:pPr>
        <w:spacing w:after="0" w:line="173" w:lineRule="exact"/>
        <w:rPr>
          <w:sz w:val="20"/>
          <w:szCs w:val="20"/>
          <w:color w:val="auto"/>
        </w:rPr>
      </w:pPr>
    </w:p>
    <w:p>
      <w:pPr>
        <w:ind w:left="2340" w:hanging="388"/>
        <w:spacing w:after="0"/>
        <w:tabs>
          <w:tab w:leader="none" w:pos="2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175" w:lineRule="exact"/>
        <w:rPr>
          <w:rFonts w:ascii="Arial" w:cs="Arial" w:eastAsia="Arial" w:hAnsi="Arial"/>
          <w:sz w:val="20"/>
          <w:szCs w:val="20"/>
          <w:color w:val="auto"/>
        </w:rPr>
      </w:pPr>
    </w:p>
    <w:p>
      <w:pPr>
        <w:ind w:left="2400" w:hanging="448"/>
        <w:spacing w:after="0"/>
        <w:tabs>
          <w:tab w:leader="none" w:pos="24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88" w:lineRule="exact"/>
        <w:rPr>
          <w:rFonts w:ascii="Arial" w:cs="Arial" w:eastAsia="Arial" w:hAnsi="Arial"/>
          <w:sz w:val="20"/>
          <w:szCs w:val="20"/>
          <w:color w:val="auto"/>
        </w:rPr>
      </w:pPr>
    </w:p>
    <w:p>
      <w:pPr>
        <w:ind w:left="2440" w:hanging="488"/>
        <w:spacing w:after="0"/>
        <w:tabs>
          <w:tab w:leader="none" w:pos="24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whether such Borrowing is to be an ABR Borrowing or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4" w:name="page65"/>
    <w:bookmarkEnd w:id="64"/>
    <w:p>
      <w:pPr>
        <w:ind w:left="660" w:firstLine="1292"/>
        <w:spacing w:after="0" w:line="236" w:lineRule="auto"/>
        <w:tabs>
          <w:tab w:leader="none" w:pos="2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in the case of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the initial Interest Period to be applicable thereto, which shall be a period contemplated by the definition of the term “Interest Period”; and</w:t>
      </w:r>
    </w:p>
    <w:p>
      <w:pPr>
        <w:spacing w:after="0" w:line="155" w:lineRule="exact"/>
        <w:rPr>
          <w:rFonts w:ascii="Arial" w:cs="Arial" w:eastAsia="Arial" w:hAnsi="Arial"/>
          <w:sz w:val="20"/>
          <w:szCs w:val="20"/>
          <w:color w:val="auto"/>
        </w:rPr>
      </w:pPr>
    </w:p>
    <w:p>
      <w:pPr>
        <w:ind w:left="660" w:right="20" w:firstLine="1292"/>
        <w:spacing w:after="0" w:line="236" w:lineRule="auto"/>
        <w:tabs>
          <w:tab w:leader="none" w:pos="2385"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location and number of the Borrower’s account to which funds are to be disbursed, which shall comply with the requirements of Section 2.07.</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If no election as to the Type of Borrowing is specified, then the requested Borrowing shall be an ABR Borrowing. If no Interest Period is specified with respect to any requested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then the Borrower shall be deemed to have selected an</w:t>
      </w:r>
    </w:p>
    <w:p>
      <w:pPr>
        <w:spacing w:after="0" w:line="211" w:lineRule="auto"/>
        <w:rPr>
          <w:sz w:val="20"/>
          <w:szCs w:val="20"/>
          <w:color w:val="auto"/>
        </w:rPr>
      </w:pPr>
      <w:r>
        <w:rPr>
          <w:rFonts w:ascii="Arial" w:cs="Arial" w:eastAsia="Arial" w:hAnsi="Arial"/>
          <w:sz w:val="20"/>
          <w:szCs w:val="20"/>
          <w:color w:val="auto"/>
        </w:rPr>
        <w:t>Interest Period of one month’s duration. Promptly following receipt of a Borrowing Request in accordance with this Section,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Administrative Agent shall advise each Lender of the details thereof and of the amount of such Lender’s Loan to be made as part of the requested Borrowing.</w:t>
      </w:r>
    </w:p>
    <w:p>
      <w:pPr>
        <w:spacing w:after="0" w:line="170"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Incremental Facilities.</w:t>
      </w:r>
    </w:p>
    <w:p>
      <w:pPr>
        <w:spacing w:after="0" w:line="189" w:lineRule="exact"/>
        <w:rPr>
          <w:sz w:val="20"/>
          <w:szCs w:val="20"/>
          <w:color w:val="auto"/>
        </w:rPr>
      </w:pPr>
    </w:p>
    <w:p>
      <w:pPr>
        <w:jc w:val="both"/>
        <w:ind w:firstLine="1304"/>
        <w:spacing w:after="0" w:line="234" w:lineRule="auto"/>
        <w:tabs>
          <w:tab w:leader="none" w:pos="17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one or more occasions at any time after the Closing Date, the Borrower may by written notice to the Administrative Agent elect to request the establishment of one or more new term loan commitments (the “</w:t>
      </w:r>
      <w:r>
        <w:rPr>
          <w:rFonts w:ascii="Arial" w:cs="Arial" w:eastAsia="Arial" w:hAnsi="Arial"/>
          <w:sz w:val="18"/>
          <w:szCs w:val="18"/>
          <w:b w:val="1"/>
          <w:bCs w:val="1"/>
          <w:i w:val="1"/>
          <w:iCs w:val="1"/>
          <w:color w:val="auto"/>
        </w:rPr>
        <w:t>Incremental Term Loan Commitments</w:t>
      </w:r>
      <w:r>
        <w:rPr>
          <w:rFonts w:ascii="Arial" w:cs="Arial" w:eastAsia="Arial" w:hAnsi="Arial"/>
          <w:sz w:val="18"/>
          <w:szCs w:val="18"/>
          <w:color w:val="auto"/>
        </w:rPr>
        <w:t>”), in an aggregate amount not to exceed $1,125,000,000. Each such notice shall specify the date (each, an “</w:t>
      </w:r>
      <w:r>
        <w:rPr>
          <w:rFonts w:ascii="Arial" w:cs="Arial" w:eastAsia="Arial" w:hAnsi="Arial"/>
          <w:sz w:val="18"/>
          <w:szCs w:val="18"/>
          <w:b w:val="1"/>
          <w:bCs w:val="1"/>
          <w:i w:val="1"/>
          <w:iCs w:val="1"/>
          <w:color w:val="auto"/>
        </w:rPr>
        <w:t>Increased Amount Date</w:t>
      </w:r>
      <w:r>
        <w:rPr>
          <w:rFonts w:ascii="Arial" w:cs="Arial" w:eastAsia="Arial" w:hAnsi="Arial"/>
          <w:sz w:val="18"/>
          <w:szCs w:val="18"/>
          <w:color w:val="auto"/>
        </w:rPr>
        <w:t>”) on which the Borrower proposes that such Incremental Term Loan Commitments shall be effective, which shall be a date not less than five (5) Business Days after the date on which such notice is delivered to the Administrative Agent. The Administrative Agent and/or its Affiliates shall use commercially reasonable efforts, with the assistance of the Borrower, to arrange a syndicate of Lenders willing to hold the requested Incremental Term Loan Commitments; provided that (x) any Incremental Term Loan Commitments on any Increased Amount Date shall be in the minimum aggregate amount of $10,000,000, (y) any Lender approached to provide all or a portion of the Incremental Term Loan Commitments may elect or decline, in its sole discretion, to provide an Incremental Term Loan Commitment, and (z) any Lender or other Person that is an Eligible Assignee to whom any portion of such Incremental Term Loan Commitment shall be allocated (each, an “</w:t>
      </w:r>
      <w:r>
        <w:rPr>
          <w:rFonts w:ascii="Arial" w:cs="Arial" w:eastAsia="Arial" w:hAnsi="Arial"/>
          <w:sz w:val="18"/>
          <w:szCs w:val="18"/>
          <w:b w:val="1"/>
          <w:bCs w:val="1"/>
          <w:i w:val="1"/>
          <w:iCs w:val="1"/>
          <w:color w:val="auto"/>
        </w:rPr>
        <w:t>Incremental Term Loan Lender</w:t>
      </w:r>
      <w:r>
        <w:rPr>
          <w:rFonts w:ascii="Arial" w:cs="Arial" w:eastAsia="Arial" w:hAnsi="Arial"/>
          <w:sz w:val="18"/>
          <w:szCs w:val="18"/>
          <w:color w:val="auto"/>
        </w:rPr>
        <w:t>”) shall be subject to the approval of the Borrower and the Administrative Agent (each of which approvals shall not be unreasonably withheld), unless such Incremental Term Loan Lender is an existing Lender.</w:t>
      </w:r>
    </w:p>
    <w:p>
      <w:pPr>
        <w:spacing w:after="0" w:line="156" w:lineRule="exact"/>
        <w:rPr>
          <w:rFonts w:ascii="Arial" w:cs="Arial" w:eastAsia="Arial" w:hAnsi="Arial"/>
          <w:sz w:val="18"/>
          <w:szCs w:val="18"/>
          <w:color w:val="auto"/>
        </w:rPr>
      </w:pPr>
    </w:p>
    <w:p>
      <w:pPr>
        <w:jc w:val="both"/>
        <w:ind w:firstLine="1304"/>
        <w:spacing w:after="0" w:line="217" w:lineRule="auto"/>
        <w:tabs>
          <w:tab w:leader="none" w:pos="1745"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terms and provisions of any Incremental Term Loan Commitments and any Incremental Term Loans shall provide that (a) the maturity date of any Incremental Term Loan that is a separate tranche shall be no earlier than the Maturity Date and shall not have any scheduled amortization payments prior to such date, (b) the Incremental Term Loans shall share ratably in any prepayments of the existing Loans, unless the Borrower and the Incremental Term Loan Lenders in respect of such Incremental Term Loans elect lesser payments and (c) except as otherwise provided in Section 2.04(f), the Incremental Term Loans shall otherwise be identical to the existing Loans.</w:t>
      </w:r>
    </w:p>
    <w:p>
      <w:pPr>
        <w:spacing w:after="0" w:line="156" w:lineRule="exact"/>
        <w:rPr>
          <w:rFonts w:ascii="Arial" w:cs="Arial" w:eastAsia="Arial" w:hAnsi="Arial"/>
          <w:sz w:val="20"/>
          <w:szCs w:val="20"/>
          <w:color w:val="auto"/>
        </w:rPr>
      </w:pPr>
    </w:p>
    <w:p>
      <w:pPr>
        <w:jc w:val="both"/>
        <w:ind w:firstLine="1304"/>
        <w:spacing w:after="0" w:line="235" w:lineRule="auto"/>
        <w:tabs>
          <w:tab w:leader="none" w:pos="17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effectiveness of any Incremental Term Loan Commitments and the availability of any borrowings under any such Incremental Term Loan Commitment shall be subject to the satisfaction of the following conditions precedent: (x) after giving pro forma effect to such Incremental Term Loan Commitments and borrowings and the use of proceeds thereof, (i) no Default or Event of Default shall exist and (ii) as of the last day of the most recent period for which financial statements have been delivered pursuant to Section 5.01(a) or Section 5.01(b), as applicable, the Borrower would have been in compliance with the Financial Covenants that are applicable at such time;</w:t>
      </w:r>
    </w:p>
    <w:p>
      <w:pPr>
        <w:spacing w:after="0" w:line="1" w:lineRule="exact"/>
        <w:rPr>
          <w:rFonts w:ascii="Arial" w:cs="Arial" w:eastAsia="Arial" w:hAnsi="Arial"/>
          <w:sz w:val="18"/>
          <w:szCs w:val="18"/>
          <w:color w:val="auto"/>
        </w:rPr>
      </w:pPr>
    </w:p>
    <w:p>
      <w:pPr>
        <w:jc w:val="both"/>
        <w:ind w:firstLine="8"/>
        <w:spacing w:after="0" w:line="229" w:lineRule="auto"/>
        <w:tabs>
          <w:tab w:leader="none" w:pos="2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representations and warranties made or deemed made by the Borrower in any Loan Document shall be true and correct in all material respects on the effective date of such Incremental Term Loan Commitments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specifically and expressly permitted under the Loan Documents; and (z) the Administrative Agent shall have received each of the following, in form and substance reasonably satisfactory to the Administrative Agent: (i) if not previously delivered to the Administrative Agent, copies certified by the Secretary or Assistant Secretary of</w:t>
      </w:r>
    </w:p>
    <w:p>
      <w:pPr>
        <w:spacing w:after="0" w:line="3" w:lineRule="exact"/>
        <w:rPr>
          <w:rFonts w:ascii="Arial" w:cs="Arial" w:eastAsia="Arial" w:hAnsi="Arial"/>
          <w:sz w:val="18"/>
          <w:szCs w:val="18"/>
          <w:color w:val="auto"/>
        </w:rPr>
      </w:pPr>
    </w:p>
    <w:p>
      <w:pPr>
        <w:ind w:right="20"/>
        <w:spacing w:after="0" w:line="220" w:lineRule="auto"/>
        <w:rPr>
          <w:rFonts w:ascii="Arial" w:cs="Arial" w:eastAsia="Arial" w:hAnsi="Arial"/>
          <w:sz w:val="18"/>
          <w:szCs w:val="18"/>
          <w:color w:val="auto"/>
        </w:rPr>
      </w:pPr>
      <w:r>
        <w:rPr>
          <w:rFonts w:ascii="Arial" w:cs="Arial" w:eastAsia="Arial" w:hAnsi="Arial"/>
          <w:sz w:val="20"/>
          <w:szCs w:val="20"/>
          <w:color w:val="auto"/>
        </w:rPr>
        <w:t>(A) all corporate or other necessary action taken by the Borrower to authorize such Incremental Term Loan Commitments and (B) all corporate, partnership, member, or other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action taken by each Subsidiary Guarantor authorizing the Subsidiary Guaranty by such Subsidiary Guarantor of such Incremental Term</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 Commitments; and (ii) a customary opinion of counsel to the Borrower and the Subsidiary Guarantors (which may be in substantially the same form as delivered on the Closing Date), and addressed to the Administrative Agent and the Lenders, and (iii) if requested by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Lender, new notes executed by the Borrower payable to any new Lender, and replacement notes executed by the Borrower payable to any existing Lenders.</w:t>
      </w:r>
    </w:p>
    <w:p>
      <w:pPr>
        <w:spacing w:after="0" w:line="156" w:lineRule="exact"/>
        <w:rPr>
          <w:sz w:val="20"/>
          <w:szCs w:val="20"/>
          <w:color w:val="auto"/>
        </w:rPr>
      </w:pPr>
    </w:p>
    <w:p>
      <w:pPr>
        <w:jc w:val="both"/>
        <w:ind w:firstLine="1304"/>
        <w:spacing w:after="0" w:line="218" w:lineRule="auto"/>
        <w:tabs>
          <w:tab w:leader="none" w:pos="1857" w:val="left"/>
        </w:tabs>
        <w:numPr>
          <w:ilvl w:val="0"/>
          <w:numId w:val="26"/>
        </w:numPr>
        <w:rPr>
          <w:rFonts w:ascii="Arial" w:cs="Arial" w:eastAsia="Arial" w:hAnsi="Arial"/>
          <w:sz w:val="20"/>
          <w:szCs w:val="20"/>
          <w:color w:val="auto"/>
        </w:rPr>
      </w:pPr>
      <w:r>
        <w:rPr>
          <w:rFonts w:ascii="Arial" w:cs="Arial" w:eastAsia="Arial" w:hAnsi="Arial"/>
          <w:sz w:val="20"/>
          <w:szCs w:val="20"/>
          <w:color w:val="auto"/>
        </w:rPr>
        <w:t>On any Increased Amount Date on which any Incremental Term Loan Commitments are effected, subject to the satisfaction of the foregoing terms and conditions, (i) each Incremental Term Loan Lender shall make a Loan to the Borrower (an “</w:t>
      </w:r>
      <w:r>
        <w:rPr>
          <w:rFonts w:ascii="Arial" w:cs="Arial" w:eastAsia="Arial" w:hAnsi="Arial"/>
          <w:sz w:val="20"/>
          <w:szCs w:val="20"/>
          <w:b w:val="1"/>
          <w:bCs w:val="1"/>
          <w:i w:val="1"/>
          <w:iCs w:val="1"/>
          <w:color w:val="auto"/>
        </w:rPr>
        <w:t>Incremental Term Loan</w:t>
      </w:r>
      <w:r>
        <w:rPr>
          <w:rFonts w:ascii="Arial" w:cs="Arial" w:eastAsia="Arial" w:hAnsi="Arial"/>
          <w:sz w:val="20"/>
          <w:szCs w:val="20"/>
          <w:color w:val="auto"/>
        </w:rPr>
        <w:t>”) in an amount equal to its Incremental Term Loan Commitment, and (ii) each Incremental Term Loan Lender shall become a Lender hereunder with respect to the Incremental Term Loan Commitment and the Incremental Term Loans made pursuant thereto.</w:t>
      </w:r>
    </w:p>
    <w:p>
      <w:pPr>
        <w:spacing w:after="0" w:line="170" w:lineRule="exact"/>
        <w:rPr>
          <w:rFonts w:ascii="Arial" w:cs="Arial" w:eastAsia="Arial" w:hAnsi="Arial"/>
          <w:sz w:val="20"/>
          <w:szCs w:val="20"/>
          <w:color w:val="auto"/>
        </w:rPr>
      </w:pPr>
    </w:p>
    <w:p>
      <w:pPr>
        <w:ind w:firstLine="1304"/>
        <w:spacing w:after="0" w:line="242" w:lineRule="auto"/>
        <w:tabs>
          <w:tab w:leader="none" w:pos="1749"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notify the Lenders promptly upon receipt of </w:t>
      </w:r>
      <w:r>
        <w:rPr>
          <w:rFonts w:ascii="Arial" w:cs="Arial" w:eastAsia="Arial" w:hAnsi="Arial"/>
          <w:sz w:val="19"/>
          <w:szCs w:val="19"/>
          <w:color w:val="FF0000"/>
          <w:strike w:val="1"/>
        </w:rPr>
        <w:t>a</w:t>
      </w:r>
      <w:r>
        <w:rPr>
          <w:rFonts w:ascii="Arial" w:cs="Arial" w:eastAsia="Arial" w:hAnsi="Arial"/>
          <w:sz w:val="19"/>
          <w:szCs w:val="19"/>
          <w:u w:val="single" w:color="auto"/>
          <w:color w:val="0000FF"/>
        </w:rPr>
        <w:t>the</w:t>
      </w:r>
      <w:r>
        <w:rPr>
          <w:rFonts w:ascii="Arial" w:cs="Arial" w:eastAsia="Arial" w:hAnsi="Arial"/>
          <w:sz w:val="19"/>
          <w:szCs w:val="19"/>
          <w:color w:val="auto"/>
        </w:rPr>
        <w:t xml:space="preserve"> Borrower’s notice of each Increased Amount Date and in respect thereof the Incremental Term Loan Commitments and the Incremental Term Loan Lenders.</w:t>
      </w:r>
    </w:p>
    <w:p>
      <w:pPr>
        <w:spacing w:after="0" w:line="166" w:lineRule="exact"/>
        <w:rPr>
          <w:rFonts w:ascii="Arial" w:cs="Arial" w:eastAsia="Arial" w:hAnsi="Arial"/>
          <w:sz w:val="19"/>
          <w:szCs w:val="19"/>
          <w:color w:val="auto"/>
        </w:rPr>
      </w:pPr>
    </w:p>
    <w:p>
      <w:pPr>
        <w:ind w:firstLine="1304"/>
        <w:spacing w:after="0" w:line="236" w:lineRule="auto"/>
        <w:tabs>
          <w:tab w:leader="none" w:pos="1695"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upfront fees payable to the Incremental Term Loan Lenders shall be determined by the Borrower and the applicable Incremental Term Loan Lenders.</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83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Incremental Term Loan Commitments shall be effected pursuant to one or more Additional Credit Extension Amendments executed and delivered by the Borrower, the Incremental Term Loan Lender and the Administrative Agent, and each of which shall be recorded in the Register. Each Additional Credit Extension Amendment may, without the consent of any other Lenders, effect such amendments to this Agreement and the other Loan Documents as may be necessary or appropriate, in the opinion of the Administrative Agent, to effect the provisions of this Section 2.04.</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 (a) Each Lender shall make each Loan to be made by it hereunder on the proposed date thereof by wire transfer of immediately available funds, in Dollars, by 12:00 noon (or, in the case of an ABR Loan requested for that same</w:t>
      </w:r>
    </w:p>
    <w:p>
      <w:pPr>
        <w:spacing w:after="0" w:line="235" w:lineRule="auto"/>
        <w:rPr>
          <w:sz w:val="20"/>
          <w:szCs w:val="20"/>
          <w:color w:val="auto"/>
        </w:rPr>
      </w:pPr>
      <w:r>
        <w:rPr>
          <w:rFonts w:ascii="Arial" w:cs="Arial" w:eastAsia="Arial" w:hAnsi="Arial"/>
          <w:sz w:val="18"/>
          <w:szCs w:val="18"/>
          <w:color w:val="auto"/>
        </w:rPr>
        <w:t>day, 2:00 p.m.), New York City time, to the account of the Administrative Agent most recently designated by it for such purpose by notice to</w:t>
      </w:r>
    </w:p>
    <w:p>
      <w:pPr>
        <w:spacing w:after="0" w:line="226" w:lineRule="auto"/>
        <w:rPr>
          <w:sz w:val="20"/>
          <w:szCs w:val="20"/>
          <w:color w:val="auto"/>
        </w:rPr>
      </w:pPr>
      <w:r>
        <w:rPr>
          <w:rFonts w:ascii="Arial" w:cs="Arial" w:eastAsia="Arial" w:hAnsi="Arial"/>
          <w:sz w:val="18"/>
          <w:szCs w:val="18"/>
          <w:color w:val="auto"/>
        </w:rPr>
        <w:t>the Lenders. The Administrative Agent will make such Loans available to the Borrower by promptly crediting the amounts so received, in like funds, to an account of the Borrower maintained with the Administrative Agent in New York City and designated by the Borrower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applicable Borrowing Request.</w:t>
      </w:r>
    </w:p>
    <w:p>
      <w:pPr>
        <w:spacing w:after="0" w:line="17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Interest Elections</w:t>
      </w:r>
      <w:r>
        <w:rPr>
          <w:rFonts w:ascii="Arial" w:cs="Arial" w:eastAsia="Arial" w:hAnsi="Arial"/>
          <w:sz w:val="19"/>
          <w:szCs w:val="19"/>
          <w:color w:val="auto"/>
        </w:rPr>
        <w:t xml:space="preserve">. (a) Each Borrowing initially shall be of the Type specified in the applicable Borrowing Request and, in the case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shall have an initial Interest Period as specified in such Borrowing Request.</w:t>
      </w:r>
    </w:p>
    <w:p>
      <w:pPr>
        <w:spacing w:after="0" w:line="226" w:lineRule="auto"/>
        <w:rPr>
          <w:sz w:val="20"/>
          <w:szCs w:val="20"/>
          <w:color w:val="auto"/>
        </w:rPr>
      </w:pPr>
      <w:r>
        <w:rPr>
          <w:rFonts w:ascii="Arial" w:cs="Arial" w:eastAsia="Arial" w:hAnsi="Arial"/>
          <w:sz w:val="18"/>
          <w:szCs w:val="18"/>
          <w:color w:val="auto"/>
        </w:rPr>
        <w:t xml:space="preserve">Thereafter, the Borrower may elect to convert such Borrowing to a different Type or to continue such Borrowing and,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Borrowing, may elect Interest Periods therefor, all as provided in this Section;</w:t>
      </w:r>
      <w:r>
        <w:rPr>
          <w:rFonts w:ascii="Arial" w:cs="Arial" w:eastAsia="Arial" w:hAnsi="Arial"/>
          <w:sz w:val="18"/>
          <w:szCs w:val="18"/>
          <w:color w:val="FF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any conversion</w:t>
      </w:r>
    </w:p>
    <w:p>
      <w:pPr>
        <w:spacing w:after="0" w:line="236" w:lineRule="auto"/>
        <w:rPr>
          <w:sz w:val="20"/>
          <w:szCs w:val="20"/>
          <w:color w:val="auto"/>
        </w:rPr>
      </w:pPr>
      <w:r>
        <w:rPr>
          <w:rFonts w:ascii="Arial" w:cs="Arial" w:eastAsia="Arial" w:hAnsi="Arial"/>
          <w:sz w:val="18"/>
          <w:szCs w:val="18"/>
          <w:color w:val="auto"/>
        </w:rPr>
        <w:t xml:space="preserve">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into an ABR Borrowing shall be made on, and only on, the last day of an Interest Period for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The Borrower may elect different options with respect to different portions of the affected Borrowing, in</w:t>
      </w:r>
      <w:r>
        <w:rPr>
          <w:rFonts w:ascii="Arial" w:cs="Arial" w:eastAsia="Arial" w:hAnsi="Arial"/>
          <w:sz w:val="18"/>
          <w:szCs w:val="18"/>
          <w:color w:val="FF0000"/>
        </w:rPr>
        <w:t xml:space="preserve"> </w:t>
      </w:r>
      <w:r>
        <w:rPr>
          <w:rFonts w:ascii="Arial" w:cs="Arial" w:eastAsia="Arial" w:hAnsi="Arial"/>
          <w:sz w:val="18"/>
          <w:szCs w:val="18"/>
          <w:color w:val="000000"/>
        </w:rPr>
        <w:t>which case each such portion shall be allocated ratably among the Lenders holding the Loans comprising such Borrowing, and the Loans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comprising each such portion shall be considered a separate Borrowing.</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a</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To make an election pursuant to this Section, the Borrower shall notify the Administrative Agent of such request by telephone (i) in the case of a conversion from or continuation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not later than 1:00 p.m., New York City</w:t>
      </w:r>
    </w:p>
    <w:p>
      <w:pPr>
        <w:spacing w:after="0"/>
        <w:rPr>
          <w:sz w:val="20"/>
          <w:szCs w:val="20"/>
          <w:color w:val="auto"/>
        </w:rPr>
      </w:pPr>
      <w:r>
        <w:rPr>
          <w:rFonts w:ascii="Arial" w:cs="Arial" w:eastAsia="Arial" w:hAnsi="Arial"/>
          <w:sz w:val="19"/>
          <w:szCs w:val="19"/>
          <w:color w:val="auto"/>
        </w:rPr>
        <w:t>time, two Business Days before the date of the proposed Borrowing, and (ii) in the case of a conversion to an ABR Borrowing,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later than 11:00 a.m., New York City time, on the date of the proposed Borrowing. Each such telephonic Interest Election Request shall be</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irrevocable and shall be confirmed promptly by hand delivery or telecopy to the Administrative Agent of a written Interest Election Request in a form approved by the Administrative Agent and signed by the Borrower.</w:t>
      </w:r>
    </w:p>
    <w:p>
      <w:pPr>
        <w:spacing w:after="0" w:line="15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b</w:t>
      </w:r>
      <w:r>
        <w:rPr>
          <w:rFonts w:ascii="Arial" w:cs="Arial" w:eastAsia="Arial" w:hAnsi="Arial"/>
          <w:sz w:val="20"/>
          <w:szCs w:val="20"/>
          <w:u w:val="single" w:color="auto"/>
          <w:color w:val="0000FF"/>
        </w:rPr>
        <w:t>c</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Each telephonic and written Interest Election Request shall specify the following information in compliance with</w:t>
      </w:r>
    </w:p>
    <w:p>
      <w:pPr>
        <w:spacing w:after="0"/>
        <w:rPr>
          <w:sz w:val="20"/>
          <w:szCs w:val="20"/>
          <w:color w:val="auto"/>
        </w:rPr>
      </w:pPr>
      <w:r>
        <w:rPr>
          <w:rFonts w:ascii="Arial" w:cs="Arial" w:eastAsia="Arial" w:hAnsi="Arial"/>
          <w:sz w:val="20"/>
          <w:szCs w:val="20"/>
          <w:color w:val="auto"/>
        </w:rPr>
        <w:t>Section 2.02:</w:t>
      </w:r>
    </w:p>
    <w:p>
      <w:pPr>
        <w:spacing w:after="0" w:line="159" w:lineRule="exact"/>
        <w:rPr>
          <w:sz w:val="20"/>
          <w:szCs w:val="20"/>
          <w:color w:val="auto"/>
        </w:rPr>
      </w:pPr>
    </w:p>
    <w:p>
      <w:pPr>
        <w:jc w:val="both"/>
        <w:ind w:left="660" w:firstLine="1292"/>
        <w:spacing w:after="0" w:line="239" w:lineRule="auto"/>
        <w:tabs>
          <w:tab w:leader="none" w:pos="238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57" w:lineRule="exact"/>
        <w:rPr>
          <w:rFonts w:ascii="Arial" w:cs="Arial" w:eastAsia="Arial" w:hAnsi="Arial"/>
          <w:sz w:val="19"/>
          <w:szCs w:val="19"/>
          <w:color w:val="auto"/>
        </w:rPr>
      </w:pPr>
    </w:p>
    <w:p>
      <w:pPr>
        <w:ind w:left="2460" w:hanging="508"/>
        <w:spacing w:after="0"/>
        <w:tabs>
          <w:tab w:leader="none" w:pos="2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Day;</w:t>
      </w:r>
    </w:p>
    <w:p>
      <w:pPr>
        <w:spacing w:after="0" w:line="172" w:lineRule="exact"/>
        <w:rPr>
          <w:rFonts w:ascii="Arial" w:cs="Arial" w:eastAsia="Arial" w:hAnsi="Arial"/>
          <w:sz w:val="18"/>
          <w:szCs w:val="18"/>
          <w:color w:val="auto"/>
        </w:rPr>
      </w:pPr>
    </w:p>
    <w:p>
      <w:pPr>
        <w:ind w:left="2440" w:hanging="488"/>
        <w:spacing w:after="0"/>
        <w:tabs>
          <w:tab w:leader="none" w:pos="24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whether the resulting Borrowing is to be an ABR Borrowing or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and</w:t>
      </w:r>
    </w:p>
    <w:p>
      <w:pPr>
        <w:spacing w:after="0" w:line="186" w:lineRule="exact"/>
        <w:rPr>
          <w:rFonts w:ascii="Arial" w:cs="Arial" w:eastAsia="Arial" w:hAnsi="Arial"/>
          <w:sz w:val="19"/>
          <w:szCs w:val="19"/>
          <w:color w:val="auto"/>
        </w:rPr>
      </w:pPr>
    </w:p>
    <w:p>
      <w:pPr>
        <w:ind w:left="660" w:right="20" w:firstLine="1292"/>
        <w:spacing w:after="0" w:line="285" w:lineRule="auto"/>
        <w:tabs>
          <w:tab w:leader="none" w:pos="24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the resulting Borrowing is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the Interest Period to be applicable thereto after giving effect to such election, which shall be a period contemplated by the definition of the term “</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w:t>
      </w:r>
    </w:p>
    <w:p>
      <w:pPr>
        <w:spacing w:after="0" w:line="12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If any such Interest Election Request requests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but does not specify an Interest Period, then the Borrower shall be deemed to have selected an Interest Period of one month’s duration.</w:t>
      </w:r>
    </w:p>
    <w:p>
      <w:pPr>
        <w:spacing w:after="0" w:line="16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c</w:t>
      </w:r>
      <w:r>
        <w:rPr>
          <w:rFonts w:ascii="Arial" w:cs="Arial" w:eastAsia="Arial" w:hAnsi="Arial"/>
          <w:sz w:val="20"/>
          <w:szCs w:val="20"/>
          <w:u w:val="single" w:color="auto"/>
          <w:color w:val="0000FF"/>
        </w:rPr>
        <w:t>d</w:t>
      </w:r>
      <w:r>
        <w:rPr>
          <w:rFonts w:ascii="Arial" w:cs="Arial" w:eastAsia="Arial" w:hAnsi="Arial"/>
          <w:sz w:val="20"/>
          <w:szCs w:val="20"/>
          <w:color w:val="auto"/>
        </w:rPr>
        <w:t>) Promptly following receipt of an Interest Election Request, the Administrative Agent shall advise each Lender of the details thereof and of such Lender’s portion of each resulting Borrowing.</w:t>
      </w:r>
    </w:p>
    <w:p>
      <w:pPr>
        <w:spacing w:after="0" w:line="14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d</w:t>
      </w:r>
      <w:r>
        <w:rPr>
          <w:rFonts w:ascii="Arial" w:cs="Arial" w:eastAsia="Arial" w:hAnsi="Arial"/>
          <w:sz w:val="20"/>
          <w:szCs w:val="20"/>
          <w:u w:val="single" w:color="auto"/>
          <w:color w:val="0000FF"/>
        </w:rPr>
        <w:t>e</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 xml:space="preserve">If the Borrower fails to deliver a timely Interest Election Request with respect to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w:t>
      </w:r>
    </w:p>
    <w:p>
      <w:pPr>
        <w:spacing w:after="0" w:line="226" w:lineRule="auto"/>
        <w:rPr>
          <w:sz w:val="20"/>
          <w:szCs w:val="20"/>
          <w:color w:val="auto"/>
        </w:rPr>
      </w:pPr>
      <w:r>
        <w:rPr>
          <w:rFonts w:ascii="Arial" w:cs="Arial" w:eastAsia="Arial" w:hAnsi="Arial"/>
          <w:sz w:val="18"/>
          <w:szCs w:val="18"/>
          <w:color w:val="auto"/>
        </w:rPr>
        <w:t>prior to the end of the Interest Period applicable thereto, then, unless such Borrowing is repaid as provided herein, at the end of such Interest Period such Borrowing shall be converted to an ABR Borrowing. Notwithstanding any contrary provision hereof, if an Event of Default has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occurred and is continuing and the Administrative Agent, at the request of the Required Lenders, so notifies the Borrower, then, so long as an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Event of Default is continuing (i) no outstanding Borrowing may be converted to or continued as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and (ii) unless repaid, each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shall be converted to an ABR Borrowing at the end of the Interest Period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Termination and Reduction of Commitments</w:t>
      </w:r>
      <w:r>
        <w:rPr>
          <w:rFonts w:ascii="Arial" w:cs="Arial" w:eastAsia="Arial" w:hAnsi="Arial"/>
          <w:sz w:val="20"/>
          <w:szCs w:val="20"/>
          <w:color w:val="auto"/>
        </w:rPr>
        <w:t>. The Commitments shall terminate following the funding of the Borrowings made on the Closing Date as provided in Section 2.01.</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Repayment of Loans; Evidence of Debt</w:t>
      </w:r>
      <w:r>
        <w:rPr>
          <w:rFonts w:ascii="Arial" w:cs="Arial" w:eastAsia="Arial" w:hAnsi="Arial"/>
          <w:sz w:val="20"/>
          <w:szCs w:val="20"/>
          <w:color w:val="auto"/>
        </w:rPr>
        <w:t>. (a) The Borrower hereby unconditionally promises to pay to the Administrative Agent for the account of each Lender, the then unpaid principal amount of each Loan on the Maturity Date.</w:t>
      </w:r>
    </w:p>
    <w:p>
      <w:pPr>
        <w:spacing w:after="0" w:line="155" w:lineRule="exact"/>
        <w:rPr>
          <w:sz w:val="20"/>
          <w:szCs w:val="20"/>
          <w:color w:val="auto"/>
        </w:rPr>
      </w:pPr>
    </w:p>
    <w:p>
      <w:pPr>
        <w:jc w:val="both"/>
        <w:ind w:firstLine="1304"/>
        <w:spacing w:after="0" w:line="227" w:lineRule="auto"/>
        <w:tabs>
          <w:tab w:leader="none" w:pos="1735"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7" w:lineRule="exact"/>
        <w:rPr>
          <w:rFonts w:ascii="Arial" w:cs="Arial" w:eastAsia="Arial" w:hAnsi="Arial"/>
          <w:sz w:val="20"/>
          <w:szCs w:val="20"/>
          <w:color w:val="auto"/>
        </w:rPr>
      </w:pPr>
    </w:p>
    <w:p>
      <w:pPr>
        <w:jc w:val="both"/>
        <w:ind w:firstLine="1304"/>
        <w:spacing w:after="0" w:line="227" w:lineRule="auto"/>
        <w:tabs>
          <w:tab w:leader="none" w:pos="1717"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7" w:name="page68"/>
    <w:bookmarkEnd w:id="67"/>
    <w:p>
      <w:pPr>
        <w:spacing w:after="0" w:line="236" w:lineRule="auto"/>
        <w:rPr>
          <w:sz w:val="20"/>
          <w:szCs w:val="20"/>
          <w:color w:val="auto"/>
        </w:rPr>
      </w:pPr>
      <w:r>
        <w:rPr>
          <w:rFonts w:ascii="Arial" w:cs="Arial" w:eastAsia="Arial" w:hAnsi="Arial"/>
          <w:sz w:val="20"/>
          <w:szCs w:val="20"/>
          <w:color w:val="auto"/>
        </w:rPr>
        <w:t>each Lender hereunder and (iii) the amount of any sum received by the Administrative Agent hereunder for the account of the Lenders and each Lender’s share thereof.</w:t>
      </w:r>
    </w:p>
    <w:p>
      <w:pPr>
        <w:spacing w:after="0" w:line="155" w:lineRule="exact"/>
        <w:rPr>
          <w:sz w:val="20"/>
          <w:szCs w:val="20"/>
          <w:color w:val="auto"/>
        </w:rPr>
      </w:pPr>
    </w:p>
    <w:p>
      <w:pPr>
        <w:jc w:val="both"/>
        <w:ind w:firstLine="1304"/>
        <w:spacing w:after="0" w:line="220" w:lineRule="auto"/>
        <w:tabs>
          <w:tab w:leader="none" w:pos="1831"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 (b) or (c) of this Section shall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existence and amounts of the obligations recorded therein;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9" w:lineRule="exact"/>
        <w:rPr>
          <w:rFonts w:ascii="Arial" w:cs="Arial" w:eastAsia="Arial" w:hAnsi="Arial"/>
          <w:sz w:val="20"/>
          <w:szCs w:val="20"/>
          <w:color w:val="auto"/>
        </w:rPr>
      </w:pPr>
    </w:p>
    <w:p>
      <w:pPr>
        <w:jc w:val="both"/>
        <w:ind w:firstLine="1304"/>
        <w:spacing w:after="0" w:line="238" w:lineRule="auto"/>
        <w:tabs>
          <w:tab w:leader="none" w:pos="17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Lender may request that Loans made by it be evidenced by one or more promissory notes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 the case of any Loan. In such event, the Borrower shall prepare, execute and deliver to such Lender one or more promissory notes payable to the order of such Lender (or, if requested by such Lender, to such Lender and its registered assigns)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Thereafter, the Loans evidenced by such promissory note(s) and interest thereon shall at all times (including after assignment pursuant to Section 10.04) be represented by one or more promissory notes in such form payable to the order of the payee named therein (or, if such promissory note is a registered note, to such payee and its registered assigns).</w:t>
      </w:r>
    </w:p>
    <w:p>
      <w:pPr>
        <w:spacing w:after="0" w:line="16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u w:val="single" w:color="auto"/>
          <w:color w:val="auto"/>
        </w:rPr>
        <w:t>Prepayment of Loans</w:t>
      </w:r>
      <w:r>
        <w:rPr>
          <w:rFonts w:ascii="Arial" w:cs="Arial" w:eastAsia="Arial" w:hAnsi="Arial"/>
          <w:sz w:val="18"/>
          <w:szCs w:val="18"/>
          <w:color w:val="auto"/>
        </w:rPr>
        <w:t>. The Borrower shall have the right at any time and from time to time to prepay any Borrowing</w:t>
      </w:r>
    </w:p>
    <w:p>
      <w:pPr>
        <w:spacing w:after="0" w:line="226" w:lineRule="auto"/>
        <w:rPr>
          <w:sz w:val="20"/>
          <w:szCs w:val="20"/>
          <w:color w:val="auto"/>
        </w:rPr>
      </w:pPr>
      <w:r>
        <w:rPr>
          <w:rFonts w:ascii="Arial" w:cs="Arial" w:eastAsia="Arial" w:hAnsi="Arial"/>
          <w:sz w:val="18"/>
          <w:szCs w:val="18"/>
          <w:color w:val="auto"/>
        </w:rPr>
        <w:t xml:space="preserve">in whole or in part, without premium or penalty (except as provided in Section 2.16), subject to prior notice to the Administrative Agent by telephone (confirmed by telecopy) of any prepayment pursuant to this Section 2.11, (i) in the case of prepayment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p>
    <w:p>
      <w:pPr>
        <w:spacing w:after="0" w:line="236" w:lineRule="auto"/>
        <w:rPr>
          <w:sz w:val="20"/>
          <w:szCs w:val="20"/>
          <w:color w:val="auto"/>
        </w:rPr>
      </w:pPr>
      <w:r>
        <w:rPr>
          <w:rFonts w:ascii="Arial" w:cs="Arial" w:eastAsia="Arial" w:hAnsi="Arial"/>
          <w:sz w:val="18"/>
          <w:szCs w:val="18"/>
          <w:color w:val="auto"/>
        </w:rPr>
        <w:t>Borrowing, not later than 1:00 p.m., New York City time, three Business Days before the date of prepayment or (ii) in the case of prepayment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an ABR Borrowing, not later than 1:00 p.m., New York City time, on the date of prepayment. Each such notice shall be irrevocable and shall specify the prepayment date and the principal amount of each Borrowing or portion thereof to be prepaid; provided that a prepayment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notice may state that such notice is conditioned upon the effectiveness of other credit facilities, in which case such notice may be revoked by the Borrower (by notice to the Administrative Agent on or prior to the specified closing date) if such condition is not satisfied (provided,</w:t>
      </w:r>
    </w:p>
    <w:p>
      <w:pPr>
        <w:spacing w:after="0" w:line="236" w:lineRule="auto"/>
        <w:rPr>
          <w:sz w:val="20"/>
          <w:szCs w:val="20"/>
          <w:color w:val="auto"/>
        </w:rPr>
      </w:pPr>
      <w:r>
        <w:rPr>
          <w:rFonts w:ascii="Arial" w:cs="Arial" w:eastAsia="Arial" w:hAnsi="Arial"/>
          <w:sz w:val="18"/>
          <w:szCs w:val="18"/>
          <w:color w:val="auto"/>
        </w:rPr>
        <w:t>however, that the Borrower shall pay all amounts required pursuant to Section 2.16 as a result of the revocation of such notice). Promptly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following receipt of any such notice relating to a Borrowing, the Administrative Agent shall advise the applicable Lenders of the contents thereof. Each partial prepayment of any Borrowing shall be in an amount that would be permitted in the case of an advance of a Borrowing of</w:t>
      </w:r>
    </w:p>
    <w:p>
      <w:pPr>
        <w:spacing w:after="0" w:line="236" w:lineRule="auto"/>
        <w:rPr>
          <w:sz w:val="20"/>
          <w:szCs w:val="20"/>
          <w:color w:val="auto"/>
        </w:rPr>
      </w:pPr>
      <w:r>
        <w:rPr>
          <w:rFonts w:ascii="Arial" w:cs="Arial" w:eastAsia="Arial" w:hAnsi="Arial"/>
          <w:sz w:val="18"/>
          <w:szCs w:val="18"/>
          <w:color w:val="auto"/>
        </w:rPr>
        <w:t>the same Type as provided in Section 2.02. Each prepayment of a Borrowing shall be applied ratably to the applicable Loans included in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prepaid Borrowing. Prepayments shall be accompanied by accrued interest to the extent required by Section 2.13. Any portion of the Loan that is prepaid may not be reborrowed.</w:t>
      </w:r>
    </w:p>
    <w:p>
      <w:pPr>
        <w:spacing w:after="0" w:line="15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 (a) The Borrower agrees to pay to the Administrative Agent (for its own account and/or for the account of the</w:t>
      </w:r>
    </w:p>
    <w:p>
      <w:pPr>
        <w:spacing w:after="0" w:line="255" w:lineRule="auto"/>
        <w:rPr>
          <w:sz w:val="20"/>
          <w:szCs w:val="20"/>
          <w:color w:val="auto"/>
        </w:rPr>
      </w:pPr>
      <w:r>
        <w:rPr>
          <w:rFonts w:ascii="Arial" w:cs="Arial" w:eastAsia="Arial" w:hAnsi="Arial"/>
          <w:sz w:val="16"/>
          <w:szCs w:val="16"/>
          <w:color w:val="auto"/>
        </w:rPr>
        <w:t>Lenders) and the Joint Lead Arrangers, as applicable, the fees payable in the amounts (if any) and at the times specified in the Administrative Agent Fee Letter, the Joint Lead Arranger Fee Letter and the Closing Fee Letter or as separately agreed upon among the Borrower, the Joint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Lead Arrangers, the Lenders and the Administrative Agent.</w:t>
      </w:r>
    </w:p>
    <w:p>
      <w:pPr>
        <w:spacing w:after="0" w:line="173" w:lineRule="exact"/>
        <w:rPr>
          <w:sz w:val="20"/>
          <w:szCs w:val="20"/>
          <w:color w:val="auto"/>
        </w:rPr>
      </w:pPr>
    </w:p>
    <w:p>
      <w:pPr>
        <w:ind w:left="1740" w:hanging="436"/>
        <w:spacing w:after="0"/>
        <w:tabs>
          <w:tab w:leader="none" w:pos="17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firstLine="1304"/>
        <w:spacing w:after="0" w:line="236" w:lineRule="auto"/>
        <w:tabs>
          <w:tab w:leader="none" w:pos="181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Fees paid shall not be refundable under any circumstances.</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Interest</w:t>
      </w:r>
      <w:r>
        <w:rPr>
          <w:rFonts w:ascii="Arial" w:cs="Arial" w:eastAsia="Arial" w:hAnsi="Arial"/>
          <w:sz w:val="20"/>
          <w:szCs w:val="20"/>
          <w:color w:val="auto"/>
        </w:rPr>
        <w:t>. (a) The Loans comprising each ABR Borrowing shall bear interest at the Alternate Base Rate plus the Applicable Rate.</w:t>
      </w:r>
    </w:p>
    <w:p>
      <w:pPr>
        <w:spacing w:after="0" w:line="169" w:lineRule="exact"/>
        <w:rPr>
          <w:sz w:val="20"/>
          <w:szCs w:val="20"/>
          <w:color w:val="auto"/>
        </w:rPr>
      </w:pPr>
    </w:p>
    <w:p>
      <w:pPr>
        <w:ind w:firstLine="1304"/>
        <w:spacing w:after="0" w:line="236" w:lineRule="auto"/>
        <w:tabs>
          <w:tab w:leader="none" w:pos="1836"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The Loans comprising each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shall bear interest at </w:t>
      </w:r>
      <w:r>
        <w:rPr>
          <w:rFonts w:ascii="Arial" w:cs="Arial" w:eastAsia="Arial" w:hAnsi="Arial"/>
          <w:sz w:val="20"/>
          <w:szCs w:val="20"/>
          <w:color w:val="FF0000"/>
          <w:strike w:val="1"/>
        </w:rPr>
        <w:t>the</w:t>
      </w:r>
      <w:r>
        <w:rPr>
          <w:rFonts w:ascii="Arial" w:cs="Arial" w:eastAsia="Arial" w:hAnsi="Arial"/>
          <w:sz w:val="20"/>
          <w:szCs w:val="20"/>
          <w:color w:val="auto"/>
        </w:rPr>
        <w:t xml:space="preserve"> Adjusted </w:t>
      </w:r>
      <w:r>
        <w:rPr>
          <w:rFonts w:ascii="Arial" w:cs="Arial" w:eastAsia="Arial" w:hAnsi="Arial"/>
          <w:sz w:val="20"/>
          <w:szCs w:val="20"/>
          <w:color w:val="FF0000"/>
          <w:strike w:val="1"/>
        </w:rPr>
        <w:t>LIBO Rate</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SOFR</w:t>
      </w:r>
      <w:r>
        <w:rPr>
          <w:rFonts w:ascii="Arial" w:cs="Arial" w:eastAsia="Arial" w:hAnsi="Arial"/>
          <w:sz w:val="20"/>
          <w:szCs w:val="20"/>
          <w:color w:val="0000FF"/>
        </w:rPr>
        <w:t xml:space="preserve"> </w:t>
      </w:r>
      <w:r>
        <w:rPr>
          <w:rFonts w:ascii="Arial" w:cs="Arial" w:eastAsia="Arial" w:hAnsi="Arial"/>
          <w:sz w:val="20"/>
          <w:szCs w:val="20"/>
          <w:color w:val="000000"/>
        </w:rPr>
        <w:t>for the Interest Period in effect for such Borrowing plus the Applicable Rate.</w:t>
      </w:r>
    </w:p>
    <w:p>
      <w:pPr>
        <w:spacing w:after="0" w:line="155" w:lineRule="exact"/>
        <w:rPr>
          <w:rFonts w:ascii="Arial" w:cs="Arial" w:eastAsia="Arial" w:hAnsi="Arial"/>
          <w:sz w:val="20"/>
          <w:szCs w:val="20"/>
          <w:color w:val="auto"/>
        </w:rPr>
      </w:pPr>
    </w:p>
    <w:p>
      <w:pPr>
        <w:ind w:firstLine="1304"/>
        <w:spacing w:after="0" w:line="236" w:lineRule="auto"/>
        <w:tabs>
          <w:tab w:leader="none" w:pos="1863"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Notwithstanding the foregoing, if an Event of Default under Section 7.01(a), (b), (h) or (i) has occurred and is continuing, all overdue Obligations (which shall include all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following an acceleration under Section 7.01, including an automatic acceleration) shall bear interest, after as well as before judgment, at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(i) in the case of overdue principal of any Loan, 2% plus the rate otherwise applicable to such Loan as provided in the preceding paragraphs of this Section or (ii) in the case of any other amount, 2% plus the rate applicable to ABR Loans as provided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paragraph (a) of this Section.</w:t>
      </w:r>
    </w:p>
    <w:p>
      <w:pPr>
        <w:spacing w:after="0" w:line="171" w:lineRule="exact"/>
        <w:rPr>
          <w:sz w:val="20"/>
          <w:szCs w:val="20"/>
          <w:color w:val="auto"/>
        </w:rPr>
      </w:pPr>
    </w:p>
    <w:p>
      <w:pPr>
        <w:ind w:left="1760" w:hanging="456"/>
        <w:spacing w:after="0"/>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ind w:left="240" w:hanging="232"/>
        <w:spacing w:after="0" w:line="234"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accrued pursuant to paragraph (c) of this Section shall be payable on demand, (ii) in the event of any repayment or prepayment of</w:t>
      </w:r>
    </w:p>
    <w:p>
      <w:pPr>
        <w:spacing w:after="0" w:line="235" w:lineRule="auto"/>
        <w:rPr>
          <w:sz w:val="20"/>
          <w:szCs w:val="20"/>
          <w:color w:val="auto"/>
        </w:rPr>
      </w:pPr>
      <w:r>
        <w:rPr>
          <w:rFonts w:ascii="Arial" w:cs="Arial" w:eastAsia="Arial" w:hAnsi="Arial"/>
          <w:sz w:val="18"/>
          <w:szCs w:val="18"/>
          <w:color w:val="auto"/>
        </w:rPr>
        <w:t>any Loan, accrued interest on the principal amount repaid or prepaid shall be payable on the date of such repayment or prepayment and</w:t>
      </w:r>
    </w:p>
    <w:p>
      <w:pPr>
        <w:spacing w:after="0" w:line="1" w:lineRule="exact"/>
        <w:rPr>
          <w:sz w:val="20"/>
          <w:szCs w:val="20"/>
          <w:color w:val="auto"/>
        </w:rPr>
      </w:pPr>
    </w:p>
    <w:p>
      <w:pPr>
        <w:ind w:firstLine="8"/>
        <w:spacing w:after="0" w:line="220" w:lineRule="auto"/>
        <w:tabs>
          <w:tab w:leader="none" w:pos="3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in the event of any conversion of any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prior to the end of the current Interest Period therefor, accrued interest on such Loan shall be payable on the effective date of such conversion.</w:t>
      </w:r>
    </w:p>
    <w:p>
      <w:pPr>
        <w:spacing w:after="0" w:line="169" w:lineRule="exact"/>
        <w:rPr>
          <w:rFonts w:ascii="Arial" w:cs="Arial" w:eastAsia="Arial" w:hAnsi="Arial"/>
          <w:sz w:val="20"/>
          <w:szCs w:val="20"/>
          <w:color w:val="auto"/>
        </w:rPr>
      </w:pPr>
    </w:p>
    <w:p>
      <w:pPr>
        <w:jc w:val="both"/>
        <w:ind w:firstLine="1304"/>
        <w:spacing w:after="0" w:line="229" w:lineRule="auto"/>
        <w:tabs>
          <w:tab w:leader="none" w:pos="1730"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and Adjusted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shall be determined by the Administrative Agent, and such determination shall be conclusive absent manifest error.</w:t>
      </w:r>
    </w:p>
    <w:p>
      <w:pPr>
        <w:spacing w:after="0" w:line="14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0000FF"/>
        </w:rPr>
        <w:t xml:space="preserve">Temporary Inability to Determine Rates; </w:t>
      </w:r>
      <w:r>
        <w:rPr>
          <w:rFonts w:ascii="Arial" w:cs="Arial" w:eastAsia="Arial" w:hAnsi="Arial"/>
          <w:sz w:val="18"/>
          <w:szCs w:val="18"/>
          <w:u w:val="single" w:color="auto"/>
          <w:color w:val="000000"/>
        </w:rPr>
        <w:t>Alternate Rate of Interest</w:t>
      </w:r>
      <w:r>
        <w:rPr>
          <w:rFonts w:ascii="Arial" w:cs="Arial" w:eastAsia="Arial" w:hAnsi="Arial"/>
          <w:sz w:val="18"/>
          <w:szCs w:val="18"/>
          <w:u w:val="single" w:color="auto"/>
          <w:color w:val="0000FF"/>
        </w:rPr>
        <w:t>; Illegality</w:t>
      </w:r>
      <w:r>
        <w:rPr>
          <w:rFonts w:ascii="Arial" w:cs="Arial" w:eastAsia="Arial" w:hAnsi="Arial"/>
          <w:sz w:val="18"/>
          <w:szCs w:val="18"/>
          <w:color w:val="FF0000"/>
          <w:strike w:val="1"/>
        </w:rPr>
        <w:t>. Subject to Section 2.23, if prior to the</w:t>
      </w:r>
    </w:p>
    <w:p>
      <w:pPr>
        <w:spacing w:after="0"/>
        <w:rPr>
          <w:sz w:val="20"/>
          <w:szCs w:val="20"/>
          <w:color w:val="auto"/>
        </w:rPr>
      </w:pPr>
      <w:r>
        <w:rPr>
          <w:rFonts w:ascii="Arial" w:cs="Arial" w:eastAsia="Arial" w:hAnsi="Arial"/>
          <w:sz w:val="20"/>
          <w:szCs w:val="20"/>
          <w:color w:val="FF0000"/>
          <w:strike w:val="1"/>
        </w:rPr>
        <w:t>commencement of any Interest Period for a Eurodollar Borrowing: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p>
    <w:p>
      <w:pPr>
        <w:spacing w:after="0" w:line="17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u w:val="single" w:color="auto"/>
          <w:color w:val="0000FF"/>
        </w:rPr>
        <w:t>(a)</w:t>
      </w:r>
      <w:r>
        <w:rPr>
          <w:sz w:val="20"/>
          <w:szCs w:val="20"/>
          <w:color w:val="auto"/>
        </w:rPr>
        <w:tab/>
      </w:r>
      <w:r>
        <w:rPr>
          <w:rFonts w:ascii="Arial" w:cs="Arial" w:eastAsia="Arial" w:hAnsi="Arial"/>
          <w:sz w:val="18"/>
          <w:szCs w:val="18"/>
          <w:u w:val="single" w:color="auto"/>
          <w:color w:val="0000FF"/>
        </w:rPr>
        <w:t>If, other than in connection with a Benchmark Transition Event, on or prior to the first day of any Interest Period:</w:t>
      </w:r>
    </w:p>
    <w:p>
      <w:pPr>
        <w:spacing w:after="0" w:line="189" w:lineRule="exact"/>
        <w:rPr>
          <w:sz w:val="20"/>
          <w:szCs w:val="20"/>
          <w:color w:val="auto"/>
        </w:rPr>
      </w:pPr>
    </w:p>
    <w:p>
      <w:pPr>
        <w:ind w:left="66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the Administrative Agent determines (which determination shall be conclusive </w:t>
      </w:r>
      <w:r>
        <w:rPr>
          <w:rFonts w:ascii="Arial" w:cs="Arial" w:eastAsia="Arial" w:hAnsi="Arial"/>
          <w:sz w:val="18"/>
          <w:szCs w:val="18"/>
          <w:u w:val="single" w:color="auto"/>
          <w:color w:val="0000FF"/>
        </w:rPr>
        <w:t>and binding</w:t>
      </w:r>
      <w:r>
        <w:rPr>
          <w:rFonts w:ascii="Arial" w:cs="Arial" w:eastAsia="Arial" w:hAnsi="Arial"/>
          <w:sz w:val="18"/>
          <w:szCs w:val="18"/>
          <w:color w:val="auto"/>
        </w:rPr>
        <w:t xml:space="preserve"> absent manifest error) that </w:t>
      </w:r>
      <w:r>
        <w:rPr>
          <w:rFonts w:ascii="Arial" w:cs="Arial" w:eastAsia="Arial" w:hAnsi="Arial"/>
          <w:sz w:val="18"/>
          <w:szCs w:val="18"/>
          <w:color w:val="FF0000"/>
          <w:strike w:val="1"/>
        </w:rPr>
        <w:t>adequate and reasonable means do not exist for ascertaining the</w:t>
      </w:r>
      <w:r>
        <w:rPr>
          <w:rFonts w:ascii="Arial" w:cs="Arial" w:eastAsia="Arial" w:hAnsi="Arial"/>
          <w:sz w:val="18"/>
          <w:szCs w:val="18"/>
          <w:color w:val="auto"/>
        </w:rPr>
        <w:t xml:space="preserve"> Adjusted </w:t>
      </w:r>
      <w:r>
        <w:rPr>
          <w:rFonts w:ascii="Arial" w:cs="Arial" w:eastAsia="Arial" w:hAnsi="Arial"/>
          <w:sz w:val="18"/>
          <w:szCs w:val="18"/>
          <w:color w:val="FF0000"/>
          <w:strike w:val="1"/>
        </w:rPr>
        <w:t>LIBO Rate for such Interest Period</w:t>
      </w:r>
      <w:r>
        <w:rPr>
          <w:rFonts w:ascii="Arial" w:cs="Arial" w:eastAsia="Arial" w:hAnsi="Arial"/>
          <w:sz w:val="18"/>
          <w:szCs w:val="18"/>
          <w:u w:val="single" w:color="auto"/>
          <w:color w:val="0000FF"/>
        </w:rPr>
        <w:t>Term SOFR</w:t>
      </w:r>
    </w:p>
    <w:p>
      <w:pPr>
        <w:ind w:left="660"/>
        <w:spacing w:after="0"/>
        <w:rPr>
          <w:sz w:val="20"/>
          <w:szCs w:val="20"/>
          <w:color w:val="auto"/>
        </w:rPr>
      </w:pPr>
      <w:r>
        <w:rPr>
          <w:rFonts w:ascii="Arial" w:cs="Arial" w:eastAsia="Arial" w:hAnsi="Arial"/>
          <w:sz w:val="20"/>
          <w:szCs w:val="20"/>
          <w:u w:val="single" w:color="auto"/>
          <w:color w:val="0000FF"/>
        </w:rPr>
        <w:t>cannot be determined pursuant to the definition thereof</w:t>
      </w:r>
      <w:r>
        <w:rPr>
          <w:rFonts w:ascii="Arial" w:cs="Arial" w:eastAsia="Arial" w:hAnsi="Arial"/>
          <w:sz w:val="20"/>
          <w:szCs w:val="20"/>
          <w:color w:val="000000"/>
        </w:rPr>
        <w:t>; or</w:t>
      </w:r>
    </w:p>
    <w:p>
      <w:pPr>
        <w:spacing w:after="0" w:line="173" w:lineRule="exact"/>
        <w:rPr>
          <w:sz w:val="20"/>
          <w:szCs w:val="20"/>
          <w:color w:val="auto"/>
        </w:rPr>
      </w:pPr>
    </w:p>
    <w:p>
      <w:pPr>
        <w:jc w:val="both"/>
        <w:ind w:firstLine="1304"/>
        <w:spacing w:after="0" w:line="223" w:lineRule="auto"/>
        <w:tabs>
          <w:tab w:leader="none" w:pos="1738" w:val="left"/>
        </w:tabs>
        <w:numPr>
          <w:ilvl w:val="0"/>
          <w:numId w:val="35"/>
        </w:numPr>
        <w:rPr>
          <w:rFonts w:ascii="Arial" w:cs="Arial" w:eastAsia="Arial" w:hAnsi="Arial"/>
          <w:sz w:val="20"/>
          <w:szCs w:val="20"/>
          <w:color w:val="FF0000"/>
          <w:strike w:val="1"/>
        </w:rPr>
      </w:pPr>
      <w:r>
        <w:rPr>
          <w:rFonts w:ascii="Arial" w:cs="Arial" w:eastAsia="Arial" w:hAnsi="Arial"/>
          <w:sz w:val="20"/>
          <w:szCs w:val="20"/>
          <w:color w:val="FF0000"/>
          <w:strike w:val="1"/>
        </w:rPr>
        <w:t>the Administrative Agent is advised by the Required Lenders that the Adjusted LIBO Rate for such Interest Period will not adequately and fairly reflect the cost to such Lenders (or Lender) of making or maintaining their Loans (or its Loan) included in such Borrowing for such Interest Period;</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FF0000"/>
          <w:strike w:val="1"/>
        </w:rPr>
        <w:t>then the Administrative Agent shall give notice thereof to the Borrower and the Lenders by telephone or telecopy as promptly as practicable thereafter and, until the Administrative Agent notifies the Borrower and the Lenders that the circumstances giving rise to such notice no</w:t>
      </w:r>
    </w:p>
    <w:p>
      <w:pPr>
        <w:spacing w:after="0" w:line="222" w:lineRule="auto"/>
        <w:rPr>
          <w:sz w:val="20"/>
          <w:szCs w:val="20"/>
          <w:color w:val="auto"/>
        </w:rPr>
      </w:pPr>
      <w:r>
        <w:rPr>
          <w:rFonts w:ascii="Arial" w:cs="Arial" w:eastAsia="Arial" w:hAnsi="Arial"/>
          <w:sz w:val="19"/>
          <w:szCs w:val="19"/>
          <w:color w:val="FF0000"/>
          <w:strike w:val="1"/>
        </w:rPr>
        <w:t>longer exist, (i) any Interest Election Request that requests the conversion of any Borrowing to, or continuation of any Borrowing as,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Eurodollar Borrowing shall be ineffective and (ii) if any Borrowing Request requests a Eurodollar Borrowing, such Borrowing shall be made as an ABR Borrowing;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if the circumstances giving rise to such notice affect only one Type of Borrowings, then the other Type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of Borrowings shall be permitted.</w:t>
      </w:r>
    </w:p>
    <w:p>
      <w:pPr>
        <w:spacing w:after="0" w:line="173" w:lineRule="exact"/>
        <w:rPr>
          <w:sz w:val="20"/>
          <w:szCs w:val="20"/>
          <w:color w:val="auto"/>
        </w:rPr>
      </w:pPr>
    </w:p>
    <w:p>
      <w:pPr>
        <w:jc w:val="both"/>
        <w:ind w:left="660" w:firstLine="1292"/>
        <w:spacing w:after="0" w:line="231" w:lineRule="auto"/>
        <w:tabs>
          <w:tab w:leader="none" w:pos="2395" w:val="left"/>
        </w:tabs>
        <w:numPr>
          <w:ilvl w:val="0"/>
          <w:numId w:val="3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Required Lenders determine that for any reason in connection with any request for a Term SOFR Loan or a conversion thereto or a continuation thereof that Adjusted Term SOFR for any requested Interest Period with respect to a proposed Term SOFR Loan does not adequately and fairly reflect the cost to such Lenders of making or maintaining such Loan, and the Required Lenders have provided notice of such determination to the Administrative Agent;</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20"/>
          <w:szCs w:val="20"/>
          <w:u w:val="single" w:color="auto"/>
          <w:color w:val="0000FF"/>
        </w:rPr>
        <w:t>then, the Administrative Agent will promptly notify the Borrower and each Lender of such determination. Upon notice thereof by the Administrative Agent to the Borrower, (A) any obligation of the Lenders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make or continue the applicable Term SOFR Loans or to convert ABR Loans to Term SOFR Loans shall be suspended (to the extent of the</w:t>
      </w:r>
    </w:p>
    <w:p>
      <w:pPr>
        <w:spacing w:after="0" w:line="1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u w:val="single" w:color="auto"/>
          <w:color w:val="0000FF"/>
        </w:rPr>
        <w:t>affected Interest Periods) until the Administrative Agent revokes such notice and (B) if such determination affects the calculation of the Alternate Base Rate, the Administrative Agent shall during the period of such suspension compute the Alternate Base Rate without reference</w:t>
      </w:r>
    </w:p>
    <w:p>
      <w:pPr>
        <w:spacing w:after="0" w:line="236" w:lineRule="auto"/>
        <w:rPr>
          <w:sz w:val="20"/>
          <w:szCs w:val="20"/>
          <w:color w:val="auto"/>
        </w:rPr>
      </w:pPr>
      <w:r>
        <w:rPr>
          <w:rFonts w:ascii="Arial" w:cs="Arial" w:eastAsia="Arial" w:hAnsi="Arial"/>
          <w:sz w:val="18"/>
          <w:szCs w:val="18"/>
          <w:u w:val="single" w:color="auto"/>
          <w:color w:val="0000FF"/>
        </w:rPr>
        <w:t>to clause (c) of the definition of “Alternate Base Rate” until the Administrative Agent revokes such notice. Upon receipt of such notice, (i)</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u w:val="single" w:color="auto"/>
          <w:color w:val="0000FF"/>
        </w:rPr>
        <w:t>the Borrower may revoke any pending request for a borrowing of, conversion to or continuation of any applicable Term SOFR Loans (to the extent of the affected Term SOFR Loans or affected Interest Periods) or, failing that, the Borrower will be deemed to have converted any</w:t>
      </w:r>
    </w:p>
    <w:p>
      <w:pPr>
        <w:spacing w:after="0" w:line="236" w:lineRule="auto"/>
        <w:rPr>
          <w:sz w:val="20"/>
          <w:szCs w:val="20"/>
          <w:color w:val="auto"/>
        </w:rPr>
      </w:pPr>
      <w:r>
        <w:rPr>
          <w:rFonts w:ascii="Arial" w:cs="Arial" w:eastAsia="Arial" w:hAnsi="Arial"/>
          <w:sz w:val="18"/>
          <w:szCs w:val="18"/>
          <w:u w:val="single" w:color="auto"/>
          <w:color w:val="0000FF"/>
        </w:rPr>
        <w:t>such request into a request for a Borrowing of or conversion to ABR Loans in the amount specified therein and (ii) any outstanding affected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u w:val="single" w:color="auto"/>
          <w:color w:val="0000FF"/>
        </w:rPr>
        <w:t>Term SOFR Loans will be deemed to have been converted into ABR Loans at the end of the applicable Interest Period. Upon any such conversion, the Borrower shall also pay accrued interest on the amount so converted, together with any additional amounts required pursuant</w:t>
      </w:r>
    </w:p>
    <w:p>
      <w:pPr>
        <w:spacing w:after="0" w:line="235" w:lineRule="auto"/>
        <w:rPr>
          <w:sz w:val="20"/>
          <w:szCs w:val="20"/>
          <w:color w:val="auto"/>
        </w:rPr>
      </w:pPr>
      <w:r>
        <w:rPr>
          <w:rFonts w:ascii="Arial" w:cs="Arial" w:eastAsia="Arial" w:hAnsi="Arial"/>
          <w:sz w:val="18"/>
          <w:szCs w:val="18"/>
          <w:u w:val="single" w:color="auto"/>
          <w:color w:val="0000FF"/>
        </w:rPr>
        <w:t>to Section 2.16. If the Administrative Agent determines (which determination shall be conclusive and binding absent manifest error) that</w:t>
      </w:r>
    </w:p>
    <w:p>
      <w:pPr>
        <w:spacing w:after="0" w:line="226" w:lineRule="auto"/>
        <w:rPr>
          <w:sz w:val="20"/>
          <w:szCs w:val="20"/>
          <w:color w:val="auto"/>
        </w:rPr>
      </w:pPr>
      <w:r>
        <w:rPr>
          <w:rFonts w:ascii="Arial" w:cs="Arial" w:eastAsia="Arial" w:hAnsi="Arial"/>
          <w:sz w:val="18"/>
          <w:szCs w:val="18"/>
          <w:u w:val="single" w:color="auto"/>
          <w:color w:val="0000FF"/>
        </w:rPr>
        <w:t>“Adjusted Term SOFR” cannot be determined pursuant to the definition thereof on any given day, the interest rate on ABR Loans shall be determined by the Administrative Agent without reference to clause (c) of the definition of “Alternate Base Rate” until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Agent revokes such determination.</w:t>
      </w:r>
    </w:p>
    <w:p>
      <w:pPr>
        <w:spacing w:after="0" w:line="173" w:lineRule="exact"/>
        <w:rPr>
          <w:sz w:val="20"/>
          <w:szCs w:val="20"/>
          <w:color w:val="auto"/>
        </w:rPr>
      </w:pPr>
    </w:p>
    <w:p>
      <w:pPr>
        <w:ind w:left="1740" w:hanging="436"/>
        <w:spacing w:after="0"/>
        <w:tabs>
          <w:tab w:leader="none" w:pos="1740" w:val="left"/>
        </w:tabs>
        <w:numPr>
          <w:ilvl w:val="1"/>
          <w:numId w:val="3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Illegality.</w:t>
      </w:r>
    </w:p>
    <w:p>
      <w:pPr>
        <w:spacing w:after="0" w:line="175" w:lineRule="exact"/>
        <w:rPr>
          <w:rFonts w:ascii="Arial" w:cs="Arial" w:eastAsia="Arial" w:hAnsi="Arial"/>
          <w:sz w:val="20"/>
          <w:szCs w:val="20"/>
          <w:u w:val="single" w:color="auto"/>
          <w:color w:val="0000FF"/>
        </w:rPr>
      </w:pPr>
    </w:p>
    <w:p>
      <w:pPr>
        <w:jc w:val="both"/>
        <w:ind w:left="660" w:firstLine="1292"/>
        <w:spacing w:after="0" w:line="223" w:lineRule="auto"/>
        <w:tabs>
          <w:tab w:leader="none" w:pos="2543" w:val="left"/>
        </w:tabs>
        <w:numPr>
          <w:ilvl w:val="2"/>
          <w:numId w:val="3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 the event that any Lender or other Recipient, shall have determined on a reasonable basis (which determination shall be conclusive and binding absent manifest error) at any time, that the making or continuance of any Term SOFR Loan has become unlawful by compliance by such Lender in good faith with any Change in Law, or would conflict with any interpretation thereof not having the force of law but with which such Lender customarily complies, or has become impracticable as a result of a contingency that materially adversely affects the availability of Adjusted Term SOFR, then, and in each such event, such Lender or other Recipient shall (1) on or promptly following such date or time and (2) within ten Business Days of the date on which such event no longer exists give notice (by telephone confirmed in writing) to the Borrower and to the Administrative Agent of such determination (which notice the Administrative Agent shall promptly transmit to each of the other Lenders or other Recipients). Thereafter, the Borrower shall take one of the actions specified in clause (ii) below as promptly as possible and, in any event, within the time period required by law.</w:t>
      </w:r>
    </w:p>
    <w:p>
      <w:pPr>
        <w:spacing w:after="0" w:line="170" w:lineRule="exact"/>
        <w:rPr>
          <w:rFonts w:ascii="Arial" w:cs="Arial" w:eastAsia="Arial" w:hAnsi="Arial"/>
          <w:sz w:val="19"/>
          <w:szCs w:val="19"/>
          <w:u w:val="single" w:color="auto"/>
          <w:color w:val="0000FF"/>
        </w:rPr>
      </w:pPr>
    </w:p>
    <w:p>
      <w:pPr>
        <w:jc w:val="both"/>
        <w:ind w:left="660" w:firstLine="1292"/>
        <w:spacing w:after="0" w:line="231" w:lineRule="auto"/>
        <w:tabs>
          <w:tab w:leader="none" w:pos="2490" w:val="left"/>
        </w:tabs>
        <w:numPr>
          <w:ilvl w:val="2"/>
          <w:numId w:val="3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At any time that any Term SOFR Loan is affected by the circumstances described in clause (i) above, the Borrower shall either (x) if the affected Term SOFR Loan is then being made pursuant to a Borrowing, by giving the Administrative Agent telephonic notice (confirmed promptly in writing) thereof on the same date that the Borrower was notified by a Lender or other Recipient pursuant to clause (i) above, cancel such Borrowing, convert such request for a Borrowing into a request for a Borrowing of ABR Loans or require the affected Lender or other Recipient to make such requested Loan as an ABR Loan, or (y) if the affected Term SOFR Loan is then outstanding, upon at least one Business Day’s notice to the Administrative Agent, require the affected Lender or other Recipient to convert each such Term SOFR Loan into an ABR Loan; provided, however</w:t>
      </w:r>
      <w:r>
        <w:rPr>
          <w:rFonts w:ascii="Arial" w:cs="Arial" w:eastAsia="Arial" w:hAnsi="Arial"/>
          <w:sz w:val="18"/>
          <w:szCs w:val="18"/>
          <w:i w:val="1"/>
          <w:iCs w:val="1"/>
          <w:u w:val="single" w:color="auto"/>
          <w:color w:val="0000FF"/>
        </w:rPr>
        <w:t>,</w:t>
      </w:r>
      <w:r>
        <w:rPr>
          <w:rFonts w:ascii="Arial" w:cs="Arial" w:eastAsia="Arial" w:hAnsi="Arial"/>
          <w:sz w:val="18"/>
          <w:szCs w:val="18"/>
          <w:u w:val="single" w:color="auto"/>
          <w:color w:val="0000FF"/>
        </w:rPr>
        <w:t xml:space="preserve"> that if more than one Lender or other Recipient is affected at any time, then all affected Lenders or other Recipients must be treated the same pursuant to this Section; provided, further, that if the Borrower has not taken one of the actions specified in subclause (x) or (y) of this clause,</w:t>
      </w:r>
    </w:p>
    <w:p>
      <w:pPr>
        <w:spacing w:after="0" w:line="5" w:lineRule="exact"/>
        <w:rPr>
          <w:rFonts w:ascii="Arial" w:cs="Arial" w:eastAsia="Arial" w:hAnsi="Arial"/>
          <w:sz w:val="18"/>
          <w:szCs w:val="18"/>
          <w:u w:val="single" w:color="auto"/>
          <w:color w:val="0000FF"/>
        </w:rPr>
      </w:pPr>
    </w:p>
    <w:p>
      <w:pPr>
        <w:jc w:val="both"/>
        <w:ind w:left="660" w:hanging="4"/>
        <w:spacing w:after="0" w:line="212" w:lineRule="auto"/>
        <w:tabs>
          <w:tab w:leader="none" w:pos="946" w:val="left"/>
        </w:tabs>
        <w:numPr>
          <w:ilvl w:val="0"/>
          <w:numId w:val="38"/>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such request for a Term SOFR Borrower shall automatically be converted to a request for a Borrowing of ABR Loans and (b) such outstanding Term SOFR Loan shall automatically be converted to a an ABR Loan, in each case, as applicable and upon such specified date. Upon any conversion described in this Section, the Borrower shall also pay accrued interest on the amount so converted, together with any additional amounts required pursuant to Section 2.16. During the period described in this Section, the interest rate on ABR Loans shall be determined by the Administrative Agent without reference to clause (c) of the definition of “Alternate Base Rate”.</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 (a) 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0" w:name="page71"/>
    <w:bookmarkEnd w:id="70"/>
    <w:p>
      <w:pPr>
        <w:jc w:val="both"/>
        <w:ind w:left="1300" w:firstLine="1300"/>
        <w:spacing w:after="0" w:line="223" w:lineRule="auto"/>
        <w:tabs>
          <w:tab w:leader="none" w:pos="3173" w:val="left"/>
        </w:tabs>
        <w:numPr>
          <w:ilvl w:val="1"/>
          <w:numId w:val="39"/>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liquidity or similar requirement against assets of, deposits with or for the account of, or credit extended by, any Lender (except any such reserve requirement reflected in </w:t>
      </w:r>
      <w:r>
        <w:rPr>
          <w:rFonts w:ascii="Arial" w:cs="Arial" w:eastAsia="Arial" w:hAnsi="Arial"/>
          <w:sz w:val="20"/>
          <w:szCs w:val="20"/>
          <w:color w:val="FF0000"/>
          <w:strike w:val="1"/>
        </w:rPr>
        <w:t>the</w:t>
      </w:r>
      <w:r>
        <w:rPr>
          <w:rFonts w:ascii="Arial" w:cs="Arial" w:eastAsia="Arial" w:hAnsi="Arial"/>
          <w:sz w:val="20"/>
          <w:szCs w:val="20"/>
          <w:color w:val="auto"/>
        </w:rPr>
        <w:t xml:space="preserve"> Adjusted </w:t>
      </w:r>
      <w:r>
        <w:rPr>
          <w:rFonts w:ascii="Arial" w:cs="Arial" w:eastAsia="Arial" w:hAnsi="Arial"/>
          <w:sz w:val="20"/>
          <w:szCs w:val="20"/>
          <w:color w:val="FF0000"/>
          <w:strike w:val="1"/>
        </w:rPr>
        <w:t>LIBO Rate</w:t>
      </w:r>
      <w:r>
        <w:rPr>
          <w:rFonts w:ascii="Arial" w:cs="Arial" w:eastAsia="Arial" w:hAnsi="Arial"/>
          <w:sz w:val="20"/>
          <w:szCs w:val="20"/>
          <w:u w:val="single" w:color="auto"/>
          <w:color w:val="0000FF"/>
        </w:rPr>
        <w:t>Term SOFR</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ind w:left="1300" w:firstLine="1300"/>
        <w:spacing w:after="0" w:line="236" w:lineRule="auto"/>
        <w:tabs>
          <w:tab w:leader="none" w:pos="3035" w:val="left"/>
        </w:tabs>
        <w:numPr>
          <w:ilvl w:val="1"/>
          <w:numId w:val="39"/>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Loans made by such Lender or participation therein; or</w:t>
      </w:r>
    </w:p>
    <w:p>
      <w:pPr>
        <w:spacing w:after="0" w:line="155" w:lineRule="exact"/>
        <w:rPr>
          <w:rFonts w:ascii="Arial" w:cs="Arial" w:eastAsia="Arial" w:hAnsi="Arial"/>
          <w:sz w:val="20"/>
          <w:szCs w:val="20"/>
          <w:color w:val="auto"/>
        </w:rPr>
      </w:pPr>
    </w:p>
    <w:p>
      <w:pPr>
        <w:ind w:left="3060" w:hanging="460"/>
        <w:spacing w:after="0"/>
        <w:tabs>
          <w:tab w:leader="none" w:pos="3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w:t>
      </w:r>
    </w:p>
    <w:p>
      <w:pPr>
        <w:spacing w:after="0" w:line="11" w:lineRule="exact"/>
        <w:rPr>
          <w:rFonts w:ascii="Arial" w:cs="Arial" w:eastAsia="Arial" w:hAnsi="Arial"/>
          <w:sz w:val="18"/>
          <w:szCs w:val="18"/>
          <w:color w:val="auto"/>
        </w:rPr>
      </w:pPr>
    </w:p>
    <w:p>
      <w:pPr>
        <w:ind w:left="1300" w:firstLine="4"/>
        <w:spacing w:after="0" w:line="239" w:lineRule="auto"/>
        <w:tabs>
          <w:tab w:leader="none" w:pos="163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through (d) of the definition of Excluded Taxes and (C) Connection Income Taxes) on its loans, loan principal, commitments, or other obligations, or its deposits, reserves, other liabilities or capital attributable thereto;</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or such other Recipient of making or maintaining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 (or of maintaining its obligation to make any such Loan) or to reduce the amount of any sum received or</w:t>
      </w:r>
    </w:p>
    <w:p>
      <w:pPr>
        <w:spacing w:after="0" w:line="226" w:lineRule="auto"/>
        <w:rPr>
          <w:sz w:val="20"/>
          <w:szCs w:val="20"/>
          <w:color w:val="auto"/>
        </w:rPr>
      </w:pPr>
      <w:r>
        <w:rPr>
          <w:rFonts w:ascii="Arial" w:cs="Arial" w:eastAsia="Arial" w:hAnsi="Arial"/>
          <w:sz w:val="18"/>
          <w:szCs w:val="18"/>
          <w:color w:val="auto"/>
        </w:rPr>
        <w:t>receivable by such Lender or such other Recipient hereunder (whether of principal, interest or otherwise), then the Borrower will pay to such Lender or such other Recipient, as the case may be, such additional amount or amounts as will compensate such Lender or such other</w:t>
      </w:r>
    </w:p>
    <w:p>
      <w:pPr>
        <w:spacing w:after="0" w:line="236" w:lineRule="auto"/>
        <w:rPr>
          <w:sz w:val="20"/>
          <w:szCs w:val="20"/>
          <w:color w:val="auto"/>
        </w:rPr>
      </w:pPr>
      <w:r>
        <w:rPr>
          <w:rFonts w:ascii="Arial" w:cs="Arial" w:eastAsia="Arial" w:hAnsi="Arial"/>
          <w:sz w:val="18"/>
          <w:szCs w:val="18"/>
          <w:color w:val="auto"/>
        </w:rPr>
        <w:t xml:space="preserve">Recipient, as the case may be, for such additional costs incurred or reduction suffered;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obligated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 any such compensation unless the Lender or other Recipient requesting such compensation is also requesting compensation as a result of such Change in Law from other similarly situated customers under agreements relating to similar credit transactions that include provisions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similar to this Section 2.15(a).</w:t>
      </w:r>
    </w:p>
    <w:p>
      <w:pPr>
        <w:spacing w:after="0" w:line="173" w:lineRule="exact"/>
        <w:rPr>
          <w:sz w:val="20"/>
          <w:szCs w:val="20"/>
          <w:color w:val="auto"/>
        </w:rPr>
      </w:pPr>
    </w:p>
    <w:p>
      <w:pPr>
        <w:jc w:val="both"/>
        <w:ind w:firstLine="1304"/>
        <w:spacing w:after="0" w:line="223" w:lineRule="auto"/>
        <w:tabs>
          <w:tab w:leader="none" w:pos="1793"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obligated to pay any such compensation unless the Lender or other Recipient requesting such compensation is also requesting compensation as a result of such Change in Law from other similarly situated customers under agreements relating to similar credit transactions that include provisions similar to this Section 2.15(b).</w:t>
      </w:r>
    </w:p>
    <w:p>
      <w:pPr>
        <w:spacing w:after="0" w:line="157" w:lineRule="exact"/>
        <w:rPr>
          <w:rFonts w:ascii="Arial" w:cs="Arial" w:eastAsia="Arial" w:hAnsi="Arial"/>
          <w:sz w:val="19"/>
          <w:szCs w:val="19"/>
          <w:color w:val="auto"/>
        </w:rPr>
      </w:pPr>
    </w:p>
    <w:p>
      <w:pPr>
        <w:jc w:val="both"/>
        <w:ind w:firstLine="1304"/>
        <w:spacing w:after="0" w:line="220" w:lineRule="auto"/>
        <w:tabs>
          <w:tab w:leader="none" w:pos="1806"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169" w:lineRule="exact"/>
        <w:rPr>
          <w:rFonts w:ascii="Arial" w:cs="Arial" w:eastAsia="Arial" w:hAnsi="Arial"/>
          <w:sz w:val="20"/>
          <w:szCs w:val="20"/>
          <w:color w:val="auto"/>
        </w:rPr>
      </w:pPr>
    </w:p>
    <w:p>
      <w:pPr>
        <w:jc w:val="both"/>
        <w:ind w:firstLine="1304"/>
        <w:spacing w:after="0" w:line="226" w:lineRule="auto"/>
        <w:tabs>
          <w:tab w:leader="none" w:pos="1823"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compensate a Lender pursuant to this Section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5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In the event of (a) the payment of any principal of any</w:t>
      </w:r>
      <w:r>
        <w:rPr>
          <w:rFonts w:ascii="Arial" w:cs="Arial" w:eastAsia="Arial" w:hAnsi="Arial"/>
          <w:sz w:val="18"/>
          <w:szCs w:val="18"/>
          <w:u w:val="single" w:color="auto"/>
          <w:color w:val="auto"/>
        </w:rPr>
        <w:t xml:space="preserve">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u w:val="single" w:color="auto"/>
          <w:color w:val="auto"/>
        </w:rPr>
        <w:t xml:space="preserve"> </w:t>
      </w:r>
      <w:r>
        <w:rPr>
          <w:rFonts w:ascii="Arial" w:cs="Arial" w:eastAsia="Arial" w:hAnsi="Arial"/>
          <w:sz w:val="18"/>
          <w:szCs w:val="18"/>
          <w:color w:val="auto"/>
        </w:rPr>
        <w:t>Loan other</w:t>
      </w:r>
    </w:p>
    <w:p>
      <w:pPr>
        <w:spacing w:after="0" w:line="226" w:lineRule="auto"/>
        <w:rPr>
          <w:sz w:val="20"/>
          <w:szCs w:val="20"/>
          <w:color w:val="auto"/>
        </w:rPr>
      </w:pPr>
      <w:r>
        <w:rPr>
          <w:rFonts w:ascii="Arial" w:cs="Arial" w:eastAsia="Arial" w:hAnsi="Arial"/>
          <w:sz w:val="18"/>
          <w:szCs w:val="18"/>
          <w:color w:val="auto"/>
        </w:rPr>
        <w:t xml:space="preserve">than on the last day of an Interest Period applicable thereto (including as a result of an Event of Default), (b) the conversion of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 other than on the last day of the Interest Period applicable thereto, (c) the failure to borrow, convert, continue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prepay any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on the date specified in any notice delivered pursuant hereto (regardless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auto"/>
        </w:rPr>
        <w:t>of whether such notice may be revoked under Section 2.11 and is revoked in accordance therewith), or (d) the assignment of any</w:t>
      </w:r>
    </w:p>
    <w:p>
      <w:pPr>
        <w:spacing w:after="0" w:line="226" w:lineRule="auto"/>
        <w:rPr>
          <w:sz w:val="20"/>
          <w:szCs w:val="20"/>
          <w:color w:val="auto"/>
        </w:rPr>
      </w:pP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 other than on the last day of the Interest Period applicable thereto as a result of a request by the Borrower</w:t>
      </w:r>
      <w:r>
        <w:rPr>
          <w:rFonts w:ascii="Arial" w:cs="Arial" w:eastAsia="Arial" w:hAnsi="Arial"/>
          <w:sz w:val="18"/>
          <w:szCs w:val="18"/>
          <w:color w:val="FF0000"/>
        </w:rPr>
        <w:t xml:space="preserve"> </w:t>
      </w:r>
      <w:r>
        <w:rPr>
          <w:rFonts w:ascii="Arial" w:cs="Arial" w:eastAsia="Arial" w:hAnsi="Arial"/>
          <w:sz w:val="18"/>
          <w:szCs w:val="18"/>
          <w:color w:val="000000"/>
        </w:rPr>
        <w:t>pursuant to Section 2.19, then, in any such event, the Borrower shall compensate each Lender for the loss, cost and expense attributable to</w:t>
      </w:r>
    </w:p>
    <w:p>
      <w:pPr>
        <w:spacing w:after="0" w:line="236" w:lineRule="auto"/>
        <w:rPr>
          <w:sz w:val="20"/>
          <w:szCs w:val="20"/>
          <w:color w:val="auto"/>
        </w:rPr>
      </w:pPr>
      <w:r>
        <w:rPr>
          <w:rFonts w:ascii="Arial" w:cs="Arial" w:eastAsia="Arial" w:hAnsi="Arial"/>
          <w:sz w:val="18"/>
          <w:szCs w:val="18"/>
          <w:color w:val="auto"/>
        </w:rPr>
        <w:t xml:space="preserve">such event (excluding loss of anticipated profits). </w:t>
      </w:r>
      <w:r>
        <w:rPr>
          <w:rFonts w:ascii="Arial" w:cs="Arial" w:eastAsia="Arial" w:hAnsi="Arial"/>
          <w:sz w:val="18"/>
          <w:szCs w:val="18"/>
          <w:color w:val="FF0000"/>
          <w:strike w:val="1"/>
        </w:rPr>
        <w:t>In the case of a Eurodollar Loan, such loss, cost or expense to any Lender shall be deemed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to include an amount determined by such Lender to be the excess, if any, of (i) the amount of interest which would have accrued on the principal amount of such Loan had such event not occurred, at the Adjusted LIBO Rate that would have been applicable to such Loan, for the</w:t>
      </w:r>
    </w:p>
    <w:p>
      <w:pPr>
        <w:spacing w:after="0" w:line="236" w:lineRule="auto"/>
        <w:rPr>
          <w:sz w:val="20"/>
          <w:szCs w:val="20"/>
          <w:color w:val="auto"/>
        </w:rPr>
      </w:pPr>
      <w:r>
        <w:rPr>
          <w:rFonts w:ascii="Arial" w:cs="Arial" w:eastAsia="Arial" w:hAnsi="Arial"/>
          <w:sz w:val="18"/>
          <w:szCs w:val="18"/>
          <w:color w:val="FF0000"/>
          <w:strike w:val="1"/>
        </w:rPr>
        <w:t>period from the date of such event to the last day of the then current Interest Period therefor (or, in the case of a failure to borrow, convert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continue, for the period that would have been the Interest Period for such Loan), over (ii) the amount of interest which would accrue on such principal amount for such period at the interest rate which such Lender would bid were it to bid, at the commencement of such period, for</w:t>
      </w:r>
    </w:p>
    <w:p>
      <w:pPr>
        <w:spacing w:after="0" w:line="236" w:lineRule="auto"/>
        <w:rPr>
          <w:sz w:val="20"/>
          <w:szCs w:val="20"/>
          <w:color w:val="auto"/>
        </w:rPr>
      </w:pPr>
      <w:r>
        <w:rPr>
          <w:rFonts w:ascii="Arial" w:cs="Arial" w:eastAsia="Arial" w:hAnsi="Arial"/>
          <w:sz w:val="18"/>
          <w:szCs w:val="18"/>
          <w:color w:val="FF0000"/>
          <w:strike w:val="1"/>
        </w:rPr>
        <w:t>Dollar deposits of a comparable amount and period from other banks in the eurodollar market.</w:t>
      </w:r>
      <w:r>
        <w:rPr>
          <w:rFonts w:ascii="Arial" w:cs="Arial" w:eastAsia="Arial" w:hAnsi="Arial"/>
          <w:sz w:val="18"/>
          <w:szCs w:val="18"/>
          <w:color w:val="FF0000"/>
        </w:rPr>
        <w:t xml:space="preserve"> </w:t>
      </w:r>
      <w:r>
        <w:rPr>
          <w:rFonts w:ascii="Arial" w:cs="Arial" w:eastAsia="Arial" w:hAnsi="Arial"/>
          <w:sz w:val="18"/>
          <w:szCs w:val="18"/>
          <w:color w:val="000000"/>
        </w:rPr>
        <w:t>A certificate of any Lender setting forth any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amount or amounts that such Lender is entitled to receive pursuant to this Section shall be delivered to the Borrower and shall be conclusive absent manifest error. The Borrower shall pay such Lender the amount shown as due on any such certificate within ten (10) days after receipt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(a) Any and all payments by or on account of any obligation of any Loan Party under any Loan Document shall be made free and clear and without deduction or withholding for any Taxes, except as required by applicable law. If</w:t>
      </w:r>
    </w:p>
    <w:p>
      <w:pPr>
        <w:spacing w:after="0" w:line="235" w:lineRule="auto"/>
        <w:rPr>
          <w:sz w:val="20"/>
          <w:szCs w:val="20"/>
          <w:color w:val="auto"/>
        </w:rPr>
      </w:pPr>
      <w:r>
        <w:rPr>
          <w:rFonts w:ascii="Arial" w:cs="Arial" w:eastAsia="Arial" w:hAnsi="Arial"/>
          <w:sz w:val="18"/>
          <w:szCs w:val="18"/>
          <w:color w:val="auto"/>
        </w:rPr>
        <w:t>any applicable law (as determined in the good faith discretion of an applicable Withholding Agent) requires the deduction or withholding of</w:t>
      </w:r>
    </w:p>
    <w:p>
      <w:pPr>
        <w:spacing w:after="0" w:line="226" w:lineRule="auto"/>
        <w:rPr>
          <w:sz w:val="20"/>
          <w:szCs w:val="20"/>
          <w:color w:val="auto"/>
        </w:rPr>
      </w:pPr>
      <w:r>
        <w:rPr>
          <w:rFonts w:ascii="Arial" w:cs="Arial" w:eastAsia="Arial" w:hAnsi="Arial"/>
          <w:sz w:val="18"/>
          <w:szCs w:val="18"/>
          <w:color w:val="auto"/>
        </w:rPr>
        <w:t>any Tax from any such payment by a Withholding Agent, then the applicable Withholding Agent shall be entitled to make such deduction or withholding and shall timely pay the full amount deducted or withheld to the relevant Governmental Authority in accordance with applicable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law and, if such Tax is an Indemnified Tax, then the sum payable by the applicable Loan Party shall be increased as necessary so that after such deduction or withholding has been made (including such deductions and withholdings applicable to additional sums payable under this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Section 2.17) the applicable Recipient receives an amount equal to the sum it would have received had no such deduction or withholding been made.</w:t>
      </w:r>
    </w:p>
    <w:p>
      <w:pPr>
        <w:spacing w:after="0" w:line="156" w:lineRule="exact"/>
        <w:rPr>
          <w:sz w:val="20"/>
          <w:szCs w:val="20"/>
          <w:color w:val="auto"/>
        </w:rPr>
      </w:pPr>
    </w:p>
    <w:p>
      <w:pPr>
        <w:ind w:right="20" w:firstLine="1304"/>
        <w:spacing w:after="0" w:line="257" w:lineRule="auto"/>
        <w:tabs>
          <w:tab w:leader="none" w:pos="172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Loan Parties</w:t>
      </w:r>
      <w:r>
        <w:rPr>
          <w:rFonts w:ascii="Arial" w:cs="Arial" w:eastAsia="Arial" w:hAnsi="Arial"/>
          <w:sz w:val="19"/>
          <w:szCs w:val="19"/>
          <w:color w:val="auto"/>
        </w:rPr>
        <w:t>. The Loan Parties shall timely pay to the relevant Governmental Authority in accordance with applicable law, or at the option of the Administrative Agent timely reimburse it for, Other Taxes.</w:t>
      </w:r>
    </w:p>
    <w:p>
      <w:pPr>
        <w:spacing w:after="0" w:line="153" w:lineRule="exact"/>
        <w:rPr>
          <w:rFonts w:ascii="Arial" w:cs="Arial" w:eastAsia="Arial" w:hAnsi="Arial"/>
          <w:sz w:val="19"/>
          <w:szCs w:val="19"/>
          <w:color w:val="auto"/>
        </w:rPr>
      </w:pPr>
    </w:p>
    <w:p>
      <w:pPr>
        <w:jc w:val="both"/>
        <w:ind w:firstLine="1304"/>
        <w:spacing w:after="0" w:line="220" w:lineRule="auto"/>
        <w:tabs>
          <w:tab w:leader="none" w:pos="1821"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5" w:lineRule="exact"/>
        <w:rPr>
          <w:rFonts w:ascii="Arial" w:cs="Arial" w:eastAsia="Arial" w:hAnsi="Arial"/>
          <w:sz w:val="20"/>
          <w:szCs w:val="20"/>
          <w:color w:val="auto"/>
        </w:rPr>
      </w:pPr>
    </w:p>
    <w:p>
      <w:pPr>
        <w:jc w:val="both"/>
        <w:ind w:firstLine="1304"/>
        <w:spacing w:after="0" w:line="223" w:lineRule="auto"/>
        <w:tabs>
          <w:tab w:leader="none" w:pos="177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The Borrower shall indemnify each Recipient, within 10 days after written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compensate any Recipient pursuant to this Section 2.17(d) for any interest, additions to tax or penalties that accrue as a result of such Recipient’s failure to request an indemnity within 270 days after the earlier of the date such Recipient first acquired knowledge that the relevant Indemnified Taxes are payable or received written notification from the Borrower that such Indemnified Taxes are potentially payable. Any Recipient claiming indemnity pursuant to this Section 2.17(d) shall notify the Borrower of the imposition of the relevant Indemnified Taxes as soon as reasonably practicable after the Recipient becomes aware of such imposition.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2" w:name="page73"/>
    <w:bookmarkEnd w:id="72"/>
    <w:p>
      <w:pPr>
        <w:jc w:val="both"/>
        <w:ind w:firstLine="1304"/>
        <w:spacing w:after="0" w:line="223" w:lineRule="auto"/>
        <w:tabs>
          <w:tab w:leader="none" w:pos="174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against any amount due to the Administrative Agent under this paragraph (e).</w:t>
      </w:r>
    </w:p>
    <w:p>
      <w:pPr>
        <w:spacing w:after="0" w:line="170" w:lineRule="exact"/>
        <w:rPr>
          <w:rFonts w:ascii="Arial" w:cs="Arial" w:eastAsia="Arial" w:hAnsi="Arial"/>
          <w:sz w:val="19"/>
          <w:szCs w:val="19"/>
          <w:color w:val="auto"/>
        </w:rPr>
      </w:pPr>
    </w:p>
    <w:p>
      <w:pPr>
        <w:jc w:val="both"/>
        <w:ind w:firstLine="1304"/>
        <w:spacing w:after="0" w:line="234" w:lineRule="auto"/>
        <w:tabs>
          <w:tab w:leader="none" w:pos="171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(i) Any Recipient that is entitled to an exemption from or reduction of withholding Tax with respect to payments made under any Loan Document shall deliver to the Borrower and the Administrative Agent, at the time or times reasonably requested by the Borrower or the Administrative Agent, such information or properly completed and executed documentation reasonably requested by the Borrower or the Administrative Agent as will permit such payments to be made without withholding or at a reduced rate of withholding. In addition, any Recipient, if reasonably requested by the Borrower or the Administrative Agent, shall deliver such other information and documentation prescribed by applicable law or reasonably requested by the Borrower or the Administrative Agent as will enable the Borrower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Recipient’s reasonable judgment such completion, execution or submission would subject such Recipient to any material unreimbursed cost or expense or would materially prejudice the legal or commercial position of such Recipient.</w:t>
      </w:r>
    </w:p>
    <w:p>
      <w:pPr>
        <w:spacing w:after="0" w:line="169" w:lineRule="exact"/>
        <w:rPr>
          <w:rFonts w:ascii="Arial" w:cs="Arial" w:eastAsia="Arial" w:hAnsi="Arial"/>
          <w:sz w:val="18"/>
          <w:szCs w:val="18"/>
          <w:color w:val="auto"/>
        </w:rPr>
      </w:pPr>
    </w:p>
    <w:p>
      <w:pPr>
        <w:ind w:left="2380" w:hanging="428"/>
        <w:spacing w:after="0"/>
        <w:tabs>
          <w:tab w:leader="none" w:pos="23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175" w:lineRule="exact"/>
        <w:rPr>
          <w:rFonts w:ascii="Arial" w:cs="Arial" w:eastAsia="Arial" w:hAnsi="Arial"/>
          <w:sz w:val="20"/>
          <w:szCs w:val="20"/>
          <w:color w:val="auto"/>
        </w:rPr>
      </w:pPr>
    </w:p>
    <w:p>
      <w:pPr>
        <w:jc w:val="both"/>
        <w:ind w:left="1300" w:firstLine="1300"/>
        <w:spacing w:after="0" w:line="231" w:lineRule="auto"/>
        <w:tabs>
          <w:tab w:leader="none" w:pos="3112" w:val="left"/>
        </w:tabs>
        <w:numPr>
          <w:ilvl w:val="2"/>
          <w:numId w:val="43"/>
        </w:numPr>
        <w:rPr>
          <w:rFonts w:ascii="Arial" w:cs="Arial" w:eastAsia="Arial" w:hAnsi="Arial"/>
          <w:sz w:val="19"/>
          <w:szCs w:val="19"/>
          <w:color w:val="auto"/>
        </w:rPr>
      </w:pPr>
      <w:r>
        <w:rPr>
          <w:rFonts w:ascii="Arial" w:cs="Arial" w:eastAsia="Arial" w:hAnsi="Arial"/>
          <w:sz w:val="19"/>
          <w:szCs w:val="19"/>
          <w:color w:val="auto"/>
        </w:rPr>
        <w:t>any Recipient that is a U.S. Person shall deliver to the Borrower and the Administrative Agent on or prior to the date on which such Recipient becomes a party to this Agreement (and from time to time thereafter upon the reasonable request of the Borrower or the Administrative Agent), executed originals or certified copies of IRS Form W-9 certifying that such Recipient is exempt from U.S. Federal backup withholding tax;</w:t>
      </w:r>
    </w:p>
    <w:p>
      <w:pPr>
        <w:spacing w:after="0" w:line="171" w:lineRule="exact"/>
        <w:rPr>
          <w:rFonts w:ascii="Arial" w:cs="Arial" w:eastAsia="Arial" w:hAnsi="Arial"/>
          <w:sz w:val="19"/>
          <w:szCs w:val="19"/>
          <w:color w:val="auto"/>
        </w:rPr>
      </w:pPr>
    </w:p>
    <w:p>
      <w:pPr>
        <w:jc w:val="both"/>
        <w:ind w:left="1300" w:firstLine="1300"/>
        <w:spacing w:after="0" w:line="220" w:lineRule="auto"/>
        <w:tabs>
          <w:tab w:leader="none" w:pos="3107" w:val="left"/>
        </w:tabs>
        <w:numPr>
          <w:ilvl w:val="2"/>
          <w:numId w:val="4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party to this Agreement (and from time to time thereafter upon the reasonable request of the Borrower or the Administrative Agent), whichever of the following is applicable:</w:t>
      </w:r>
    </w:p>
    <w:p>
      <w:pPr>
        <w:spacing w:after="0" w:line="169" w:lineRule="exact"/>
        <w:rPr>
          <w:rFonts w:ascii="Arial" w:cs="Arial" w:eastAsia="Arial" w:hAnsi="Arial"/>
          <w:sz w:val="20"/>
          <w:szCs w:val="20"/>
          <w:color w:val="auto"/>
        </w:rPr>
      </w:pPr>
    </w:p>
    <w:p>
      <w:pPr>
        <w:jc w:val="both"/>
        <w:ind w:left="1960" w:firstLine="1288"/>
        <w:spacing w:after="0" w:line="214" w:lineRule="auto"/>
        <w:tabs>
          <w:tab w:leader="none" w:pos="3777" w:val="left"/>
        </w:tabs>
        <w:numPr>
          <w:ilvl w:val="3"/>
          <w:numId w:val="43"/>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originals or certified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3" w:name="page74"/>
    <w:bookmarkEnd w:id="73"/>
    <w:p>
      <w:pPr>
        <w:jc w:val="both"/>
        <w:ind w:left="1960" w:firstLine="1288"/>
        <w:spacing w:after="0" w:line="252" w:lineRule="auto"/>
        <w:tabs>
          <w:tab w:leader="none" w:pos="3739"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executed originals or certified copies of IRS Form W-8ECI claiming that specified payments (as applicable) hereunder or any other Loan Documents (as applicable) constitute income that is effectively connected with such Foreign Lender’s conduct of a trade or business in the United States or IRS Form W-8EXP;</w:t>
      </w:r>
    </w:p>
    <w:p>
      <w:pPr>
        <w:spacing w:after="0" w:line="158" w:lineRule="exact"/>
        <w:rPr>
          <w:rFonts w:ascii="Arial" w:cs="Arial" w:eastAsia="Arial" w:hAnsi="Arial"/>
          <w:sz w:val="18"/>
          <w:szCs w:val="18"/>
          <w:color w:val="auto"/>
        </w:rPr>
      </w:pPr>
    </w:p>
    <w:p>
      <w:pPr>
        <w:jc w:val="both"/>
        <w:ind w:left="1960" w:firstLine="1288"/>
        <w:spacing w:after="0" w:line="226" w:lineRule="auto"/>
        <w:tabs>
          <w:tab w:leader="none" w:pos="3756"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C-1</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b w:val="1"/>
          <w:bCs w:val="1"/>
          <w:i w:val="1"/>
          <w:iCs w:val="1"/>
          <w:color w:val="auto"/>
        </w:rPr>
        <w:t>U.S. Tax Compliance Certificate</w:t>
      </w:r>
      <w:r>
        <w:rPr>
          <w:rFonts w:ascii="Arial" w:cs="Arial" w:eastAsia="Arial" w:hAnsi="Arial"/>
          <w:sz w:val="19"/>
          <w:szCs w:val="19"/>
          <w:color w:val="auto"/>
        </w:rPr>
        <w:t>”) and (y) executed originals or certified copies of IRS Form W-8BEN or IRS Form W-8BEN-E; or</w:t>
      </w:r>
    </w:p>
    <w:p>
      <w:pPr>
        <w:spacing w:after="0" w:line="169" w:lineRule="exact"/>
        <w:rPr>
          <w:rFonts w:ascii="Arial" w:cs="Arial" w:eastAsia="Arial" w:hAnsi="Arial"/>
          <w:sz w:val="19"/>
          <w:szCs w:val="19"/>
          <w:color w:val="auto"/>
        </w:rPr>
      </w:pPr>
    </w:p>
    <w:p>
      <w:pPr>
        <w:jc w:val="both"/>
        <w:ind w:left="1960" w:firstLine="1288"/>
        <w:spacing w:after="0" w:line="225" w:lineRule="auto"/>
        <w:tabs>
          <w:tab w:leader="none" w:pos="3685"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or certified copies of IRS Form W-8IMY, accompanied by IRS Form W-8ECI, IRS Form W-8BEN or IRS Form W-8BEN-E, a U.S. Tax Compliance Certificate substantially in the form of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C-3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C-4</w:t>
      </w:r>
      <w:r>
        <w:rPr>
          <w:rFonts w:ascii="Arial" w:cs="Arial" w:eastAsia="Arial" w:hAnsi="Arial"/>
          <w:sz w:val="19"/>
          <w:szCs w:val="19"/>
          <w:color w:val="auto"/>
        </w:rPr>
        <w:t xml:space="preserve"> on behalf of each such direct and indirect partner;</w:t>
      </w:r>
    </w:p>
    <w:p>
      <w:pPr>
        <w:spacing w:after="0" w:line="172" w:lineRule="exact"/>
        <w:rPr>
          <w:rFonts w:ascii="Arial" w:cs="Arial" w:eastAsia="Arial" w:hAnsi="Arial"/>
          <w:sz w:val="19"/>
          <w:szCs w:val="19"/>
          <w:color w:val="auto"/>
        </w:rPr>
      </w:pPr>
    </w:p>
    <w:p>
      <w:pPr>
        <w:jc w:val="both"/>
        <w:ind w:left="1300" w:firstLine="1300"/>
        <w:spacing w:after="0" w:line="223" w:lineRule="auto"/>
        <w:tabs>
          <w:tab w:leader="none" w:pos="3107"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party to this Agreement (and from time to time thereafter upon the reasonable request of the Borrower or the Administrative Agent), executed originals or certified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1" w:lineRule="exact"/>
        <w:rPr>
          <w:rFonts w:ascii="Arial" w:cs="Arial" w:eastAsia="Arial" w:hAnsi="Arial"/>
          <w:sz w:val="19"/>
          <w:szCs w:val="19"/>
          <w:color w:val="auto"/>
        </w:rPr>
      </w:pPr>
    </w:p>
    <w:p>
      <w:pPr>
        <w:jc w:val="both"/>
        <w:ind w:left="1300" w:firstLine="1300"/>
        <w:spacing w:after="0" w:line="235" w:lineRule="auto"/>
        <w:tabs>
          <w:tab w:leader="none" w:pos="32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Recipient has complied with such Recipient’s obligations under FATCA or to determine the amount to deduct and withhold from such payment. Solely for purposes of this clause (D), “FATCA” shall include any amendments made to FATCA after the date of this Agreement.</w:t>
      </w:r>
    </w:p>
    <w:p>
      <w:pPr>
        <w:spacing w:after="0" w:line="174"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Each Recipient agrees that if any form or certification it previously delivered expires or becomes obsolete or inaccurate in any respect, it shall update such form or certification or promptly notify the Borrower and the Administrative Agent in writing of its legal</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inability to do so. Notwithstanding any other provision of this paragraph (f), a Recipient shall not be required to deliver any form that such Recipient is not legally eligible to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4" w:name="page75"/>
    <w:bookmarkEnd w:id="74"/>
    <w:p>
      <w:pPr>
        <w:jc w:val="both"/>
        <w:ind w:firstLine="1304"/>
        <w:spacing w:after="0" w:line="221" w:lineRule="auto"/>
        <w:tabs>
          <w:tab w:leader="none" w:pos="172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(directly or on an affiliated group basis) of any Taxes (for this purpose, including a credit in lieu of a refund (for the avoidance of doubt, any such credit shall not include a federal foreign tax credit under Code Section 901)) as to which it has been indemnified pursuant to this Section 2.17 (including by the payment of additional amounts pursuant to this Section 2.17), it shall pay to the indemnifying party an amount equal to such refund (but only to the extent of indemnity payments made, or additional amounts paid,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9" w:lineRule="exact"/>
        <w:rPr>
          <w:rFonts w:ascii="Arial" w:cs="Arial" w:eastAsia="Arial" w:hAnsi="Arial"/>
          <w:sz w:val="19"/>
          <w:szCs w:val="19"/>
          <w:color w:val="auto"/>
        </w:rPr>
      </w:pPr>
    </w:p>
    <w:p>
      <w:pPr>
        <w:jc w:val="both"/>
        <w:ind w:firstLine="1304"/>
        <w:spacing w:after="0" w:line="223" w:lineRule="auto"/>
        <w:tabs>
          <w:tab w:leader="none" w:pos="191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5" w:lineRule="exact"/>
        <w:rPr>
          <w:rFonts w:ascii="Arial" w:cs="Arial" w:eastAsia="Arial" w:hAnsi="Arial"/>
          <w:sz w:val="20"/>
          <w:szCs w:val="20"/>
          <w:color w:val="auto"/>
        </w:rPr>
      </w:pPr>
    </w:p>
    <w:p>
      <w:pPr>
        <w:ind w:left="1680" w:hanging="376"/>
        <w:spacing w:after="0"/>
        <w:tabs>
          <w:tab w:leader="none" w:pos="168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2.17, the term “</w:t>
      </w:r>
      <w:r>
        <w:rPr>
          <w:rFonts w:ascii="Arial" w:cs="Arial" w:eastAsia="Arial" w:hAnsi="Arial"/>
          <w:sz w:val="20"/>
          <w:szCs w:val="20"/>
          <w:b w:val="1"/>
          <w:bCs w:val="1"/>
          <w:i w:val="1"/>
          <w:iCs w:val="1"/>
          <w:color w:val="auto"/>
        </w:rPr>
        <w:t>applicable law</w:t>
      </w:r>
      <w:r>
        <w:rPr>
          <w:rFonts w:ascii="Arial" w:cs="Arial" w:eastAsia="Arial" w:hAnsi="Arial"/>
          <w:sz w:val="20"/>
          <w:szCs w:val="20"/>
          <w:color w:val="auto"/>
        </w:rPr>
        <w:t>” includes FATCA.</w:t>
      </w:r>
    </w:p>
    <w:p>
      <w:pPr>
        <w:spacing w:after="0" w:line="17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 (a) The Borrower shall make each payment required to</w:t>
      </w:r>
    </w:p>
    <w:p>
      <w:pPr>
        <w:spacing w:after="0" w:line="226" w:lineRule="auto"/>
        <w:rPr>
          <w:sz w:val="20"/>
          <w:szCs w:val="20"/>
          <w:color w:val="auto"/>
        </w:rPr>
      </w:pPr>
      <w:r>
        <w:rPr>
          <w:rFonts w:ascii="Arial" w:cs="Arial" w:eastAsia="Arial" w:hAnsi="Arial"/>
          <w:sz w:val="18"/>
          <w:szCs w:val="18"/>
          <w:color w:val="auto"/>
        </w:rPr>
        <w:t>be made by it hereunder (whether of principal, interest, fees, or of amounts payable under Section 2.15, 2.16 or 2.17, or otherwise) prior to 12:00 noon, New York City time, on the date when due, in immediately available funds, without set off or counterclaim. Any amounts</w:t>
      </w:r>
    </w:p>
    <w:p>
      <w:pPr>
        <w:spacing w:after="0" w:line="224" w:lineRule="auto"/>
        <w:rPr>
          <w:sz w:val="20"/>
          <w:szCs w:val="20"/>
          <w:color w:val="auto"/>
        </w:rPr>
      </w:pPr>
      <w:r>
        <w:rPr>
          <w:rFonts w:ascii="Arial" w:cs="Arial" w:eastAsia="Arial" w:hAnsi="Arial"/>
          <w:sz w:val="19"/>
          <w:szCs w:val="19"/>
          <w:color w:val="auto"/>
        </w:rPr>
        <w:t>received after such time on any date may, in the discretion of the Administrative Agent, be deemed to have been received on the next</w:t>
      </w:r>
    </w:p>
    <w:p>
      <w:pPr>
        <w:jc w:val="both"/>
        <w:spacing w:after="0" w:line="226" w:lineRule="auto"/>
        <w:rPr>
          <w:sz w:val="20"/>
          <w:szCs w:val="20"/>
          <w:color w:val="auto"/>
        </w:rPr>
      </w:pPr>
      <w:r>
        <w:rPr>
          <w:rFonts w:ascii="Arial" w:cs="Arial" w:eastAsia="Arial" w:hAnsi="Arial"/>
          <w:sz w:val="18"/>
          <w:szCs w:val="18"/>
          <w:color w:val="auto"/>
        </w:rPr>
        <w:t>succeeding Business Day for purposes of calculating interest thereon. All such payments shall be made to the Administrative Agent at the Payment Office, except that payments pursuant to Sections 2.15, 2.16, 2.17 and 10.03 shall be made directly to the Persons entitled thereto.</w:t>
      </w:r>
    </w:p>
    <w:p>
      <w:pPr>
        <w:spacing w:after="0" w:line="236" w:lineRule="auto"/>
        <w:rPr>
          <w:sz w:val="20"/>
          <w:szCs w:val="20"/>
          <w:color w:val="auto"/>
        </w:rPr>
      </w:pPr>
      <w:r>
        <w:rPr>
          <w:rFonts w:ascii="Arial" w:cs="Arial" w:eastAsia="Arial" w:hAnsi="Arial"/>
          <w:sz w:val="18"/>
          <w:szCs w:val="18"/>
          <w:color w:val="auto"/>
        </w:rPr>
        <w:t>The Administrative Agent shall distribute any such payments received by it for the account of any other Person to the appropriate recipient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promptly following receipt thereof. If any payment hereunder shall be due on a day that is not a Business Day, the date for payment shall be extended to the next succeeding Business Day, and, in the case of any payment accruing interest, interest thereon shall be payable for the</w:t>
      </w:r>
    </w:p>
    <w:p>
      <w:pPr>
        <w:spacing w:after="0" w:line="236" w:lineRule="auto"/>
        <w:rPr>
          <w:sz w:val="20"/>
          <w:szCs w:val="20"/>
          <w:color w:val="auto"/>
        </w:rPr>
      </w:pPr>
      <w:r>
        <w:rPr>
          <w:rFonts w:ascii="Arial" w:cs="Arial" w:eastAsia="Arial" w:hAnsi="Arial"/>
          <w:sz w:val="18"/>
          <w:szCs w:val="18"/>
          <w:color w:val="auto"/>
        </w:rPr>
        <w:t>period of such extension. All payments hereunder shall be made in Dollars. Each payment (including each prepayment) by the Borrower on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account of principal of and interest on the Loans shall be made pro rata according to the respective outstanding principal amounts of the Loans then held by the Lenders.</w:t>
      </w:r>
    </w:p>
    <w:p>
      <w:pPr>
        <w:spacing w:after="0" w:line="170" w:lineRule="exact"/>
        <w:rPr>
          <w:sz w:val="20"/>
          <w:szCs w:val="20"/>
          <w:color w:val="auto"/>
        </w:rPr>
      </w:pPr>
    </w:p>
    <w:p>
      <w:pPr>
        <w:jc w:val="both"/>
        <w:ind w:firstLine="1304"/>
        <w:spacing w:after="0" w:line="218" w:lineRule="auto"/>
        <w:tabs>
          <w:tab w:leader="none" w:pos="1765"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57" w:lineRule="exact"/>
        <w:rPr>
          <w:rFonts w:ascii="Arial" w:cs="Arial" w:eastAsia="Arial" w:hAnsi="Arial"/>
          <w:sz w:val="20"/>
          <w:szCs w:val="20"/>
          <w:color w:val="auto"/>
        </w:rPr>
      </w:pPr>
    </w:p>
    <w:p>
      <w:pPr>
        <w:jc w:val="both"/>
        <w:ind w:firstLine="1304"/>
        <w:spacing w:after="0" w:line="231" w:lineRule="auto"/>
        <w:tabs>
          <w:tab w:leader="none" w:pos="1767"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any Lender shall, by exercising any right of set 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necessary so that the benefit of all such payments shall be shared by the Lenders ratably in accordance with the aggregate amount of principal</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of and accrued interest on their respective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w:t>
      </w:r>
    </w:p>
    <w:p>
      <w:pPr>
        <w:spacing w:after="0" w:line="235" w:lineRule="auto"/>
        <w:rPr>
          <w:sz w:val="20"/>
          <w:szCs w:val="20"/>
          <w:color w:val="auto"/>
        </w:rPr>
      </w:pPr>
      <w:r>
        <w:rPr>
          <w:rFonts w:ascii="Arial" w:cs="Arial" w:eastAsia="Arial" w:hAnsi="Arial"/>
          <w:sz w:val="18"/>
          <w:szCs w:val="18"/>
          <w:color w:val="auto"/>
        </w:rPr>
        <w:t>without interest, and (ii) the provisions of this paragraph shall not be construed to apply to any payment made by the Borrower pursuant to</w:t>
      </w:r>
    </w:p>
    <w:p>
      <w:pPr>
        <w:spacing w:after="0" w:line="226" w:lineRule="auto"/>
        <w:rPr>
          <w:sz w:val="20"/>
          <w:szCs w:val="20"/>
          <w:color w:val="auto"/>
        </w:rPr>
      </w:pPr>
      <w:r>
        <w:rPr>
          <w:rFonts w:ascii="Arial" w:cs="Arial" w:eastAsia="Arial" w:hAnsi="Arial"/>
          <w:sz w:val="18"/>
          <w:szCs w:val="18"/>
          <w:color w:val="auto"/>
        </w:rPr>
        <w:t>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w:t>
      </w:r>
    </w:p>
    <w:p>
      <w:pPr>
        <w:spacing w:after="0" w:line="236" w:lineRule="auto"/>
        <w:rPr>
          <w:sz w:val="20"/>
          <w:szCs w:val="20"/>
          <w:color w:val="auto"/>
        </w:rPr>
      </w:pPr>
      <w:r>
        <w:rPr>
          <w:rFonts w:ascii="Arial" w:cs="Arial" w:eastAsia="Arial" w:hAnsi="Arial"/>
          <w:sz w:val="18"/>
          <w:szCs w:val="18"/>
          <w:color w:val="auto"/>
        </w:rPr>
        <w:t>to which the provisions of this paragraph shall apply). The Borrower consents to the foregoing and agrees, to the extent it may effectively do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amount of such participation.</w:t>
      </w:r>
    </w:p>
    <w:p>
      <w:pPr>
        <w:spacing w:after="0" w:line="173" w:lineRule="exact"/>
        <w:rPr>
          <w:sz w:val="20"/>
          <w:szCs w:val="20"/>
          <w:color w:val="auto"/>
        </w:rPr>
      </w:pPr>
    </w:p>
    <w:p>
      <w:pPr>
        <w:ind w:left="1740" w:hanging="436"/>
        <w:spacing w:after="0"/>
        <w:tabs>
          <w:tab w:leader="none" w:pos="17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firstLine="1304"/>
        <w:spacing w:after="0" w:line="228" w:lineRule="auto"/>
        <w:tabs>
          <w:tab w:leader="none" w:pos="1862"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pursuant to Section 10.03(c), then the Administrative Agent may, in its discretion and notwithstanding any contrary provision hereof, apply any amounts thereafter received by the Administrative Agent for the account of such Lender to satisfy such Lender’s obligations under such Sections until all such unsatisfied obligations are fully paid, and/or (ii) hold such amounts in a segregated account over which the Administrative Agent shall have exclusive control as cash collateral for, and application to, any future funding obligations of such Lender under any such Section, in the case of each of clause (i) and (ii) above, in any order as determined by the Administrative Agent in its discretion.</w:t>
      </w:r>
    </w:p>
    <w:p>
      <w:pPr>
        <w:spacing w:after="0" w:line="14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 (a) If any Lender requests compensation under Section 2.15, or if</w:t>
      </w:r>
    </w:p>
    <w:p>
      <w:pPr>
        <w:spacing w:after="0" w:line="226" w:lineRule="auto"/>
        <w:rPr>
          <w:sz w:val="20"/>
          <w:szCs w:val="20"/>
          <w:color w:val="auto"/>
        </w:rPr>
      </w:pPr>
      <w:r>
        <w:rPr>
          <w:rFonts w:ascii="Arial" w:cs="Arial" w:eastAsia="Arial" w:hAnsi="Arial"/>
          <w:sz w:val="18"/>
          <w:szCs w:val="18"/>
          <w:color w:val="auto"/>
        </w:rPr>
        <w:t>the Borrower is required to pay any Indemnified Taxes or additional amounts to any Lender or any Governmental Authority for the account of any Lender pursuant to Section 2.17, then such Lender shall use reasonable efforts to designate a different lending office for funding or</w:t>
      </w:r>
    </w:p>
    <w:p>
      <w:pPr>
        <w:spacing w:after="0" w:line="224" w:lineRule="auto"/>
        <w:rPr>
          <w:sz w:val="20"/>
          <w:szCs w:val="20"/>
          <w:color w:val="auto"/>
        </w:rPr>
      </w:pPr>
      <w:r>
        <w:rPr>
          <w:rFonts w:ascii="Arial" w:cs="Arial" w:eastAsia="Arial" w:hAnsi="Arial"/>
          <w:sz w:val="19"/>
          <w:szCs w:val="19"/>
          <w:color w:val="auto"/>
        </w:rPr>
        <w:t>booking its Loans hereunder or to assign its rights and obligations hereunder to another of its offices, branches or affiliates, if, in the</w:t>
      </w:r>
    </w:p>
    <w:p>
      <w:pPr>
        <w:spacing w:after="0" w:line="226" w:lineRule="auto"/>
        <w:rPr>
          <w:sz w:val="20"/>
          <w:szCs w:val="20"/>
          <w:color w:val="auto"/>
        </w:rPr>
      </w:pPr>
      <w:r>
        <w:rPr>
          <w:rFonts w:ascii="Arial" w:cs="Arial" w:eastAsia="Arial" w:hAnsi="Arial"/>
          <w:sz w:val="18"/>
          <w:szCs w:val="18"/>
          <w:color w:val="auto"/>
        </w:rPr>
        <w:t>judgment of such Lender, such designation or assignment (i) would eliminate or reduce amounts payable pursuant to Sections 2.15 or 2.17, as the case may be, in the future and (ii) would not subject such Lender to any unreimbursed cost or expense and would not otherwise be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disadvantageous to such Lender. The Borrower hereby agrees to pay all reasonable costs and expenses incurred by any Lender in connection with any such designation or assignment.</w:t>
      </w:r>
    </w:p>
    <w:p>
      <w:pPr>
        <w:spacing w:after="0" w:line="156" w:lineRule="exact"/>
        <w:rPr>
          <w:sz w:val="20"/>
          <w:szCs w:val="20"/>
          <w:color w:val="auto"/>
        </w:rPr>
      </w:pPr>
    </w:p>
    <w:p>
      <w:pPr>
        <w:jc w:val="both"/>
        <w:ind w:firstLine="1304"/>
        <w:spacing w:after="0" w:line="233" w:lineRule="auto"/>
        <w:tabs>
          <w:tab w:leader="none" w:pos="17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If (1) any Lender requests compensation under Section 2.15, or (2) the Borrower is required to pay any Indemnified Taxes or additional amounts to any Lender or any Governmental Authority for the account of any Lender pursuant to Section 2.17, or (3) any Lender becomes Defaulting Lender, or (4) any Lender has refused to consent to any proposed amendment, modification, waiver, termination or consent with respect to any provision of this Agreement or any other Loan Document that, pursuant to Section 10.02, requires the consent of all Lenders or each Lender affected thereby and with respect to which Lenders constituting the Required Lenders have consented to such proposed amendment, modification, waiver, termination or consent, or (5) any Lender constitutes a Non-Extending Lender, then the Borrower may, at its sole expense and effort, upon notice to such Lender and the Administrative Agent, require such Lender to assign and delegate, without recourse (in accordance with and subject to the restrictions contained in Section 10.04), all its interests, rights (other than its existing rights to payments pursuant to Sections 2.15 or 2.17) and obligations under this Agreement to an assignee that shall assume such obligations (which assignee may be another Lender, if a Lender accepts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or payments required to be made pursuant to Section 2.17, such assignment will result in a reduction in such compensation or payments, and (iv) in the case of any such assignment resulting from a Lender’s refusal to consent to a proposed amendment, modification, waiver, termination or consent, the assignee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approve the proposed amendment, modification, waiver, termination or consent. A Lender shall not be required to make any such assignment</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2.20</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spacing w:after="0" w:line="189" w:lineRule="exact"/>
        <w:rPr>
          <w:sz w:val="20"/>
          <w:szCs w:val="20"/>
          <w:color w:val="auto"/>
        </w:rPr>
      </w:pPr>
    </w:p>
    <w:p>
      <w:pPr>
        <w:ind w:firstLine="1304"/>
        <w:spacing w:after="0" w:line="229" w:lineRule="auto"/>
        <w:tabs>
          <w:tab w:leader="none" w:pos="1749"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Notwithstanding any provision of this Agreement to the contrary, if any Lender becomes a Defaulting Lender, then so long as such Lender is a Defaulting Lender</w:t>
      </w:r>
    </w:p>
    <w:p>
      <w:pPr>
        <w:spacing w:after="0" w:line="168" w:lineRule="exact"/>
        <w:rPr>
          <w:rFonts w:ascii="Arial" w:cs="Arial" w:eastAsia="Arial" w:hAnsi="Arial"/>
          <w:sz w:val="20"/>
          <w:szCs w:val="20"/>
          <w:color w:val="auto"/>
        </w:rPr>
      </w:pPr>
    </w:p>
    <w:p>
      <w:pPr>
        <w:jc w:val="both"/>
        <w:ind w:left="660" w:firstLine="1292"/>
        <w:spacing w:after="0" w:line="243" w:lineRule="auto"/>
        <w:tabs>
          <w:tab w:leader="none" w:pos="2378"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Commitments and Loan Exposure of such Defaulting Lender shall not be included in determining whether the Required Lenders have taken or may take any action hereunder (including any consent to any amendment, waiver or other modification pursuant to Section 10.02);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(y) such Defaulting Lender’s Commitments may not be increased or extended without its consent and (z) the principal amount of, or interest or fees payable on, Loans may not be reduced or excused or the scheduled date of payment may not be postponed as to such Defaulting Lender without such Defaulting Lender’s consent;</w:t>
      </w:r>
    </w:p>
    <w:p>
      <w:pPr>
        <w:spacing w:after="0" w:line="153" w:lineRule="exact"/>
        <w:rPr>
          <w:rFonts w:ascii="Arial" w:cs="Arial" w:eastAsia="Arial" w:hAnsi="Arial"/>
          <w:sz w:val="18"/>
          <w:szCs w:val="18"/>
          <w:color w:val="auto"/>
        </w:rPr>
      </w:pPr>
    </w:p>
    <w:p>
      <w:pPr>
        <w:jc w:val="both"/>
        <w:ind w:left="660" w:firstLine="1292"/>
        <w:spacing w:after="0" w:line="232" w:lineRule="auto"/>
        <w:tabs>
          <w:tab w:leader="none" w:pos="23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10.08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(x) such payment is a payment of the principal amount of any Loans in respect of which such Defaulting Lender has not fully funded its appropriate share, and (y) such Loans were made when the conditions set forth in Section 4.01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under the Facility without giving effect to Section 2.20(a)(i). Any payments, prepayments or other amounts paid or payable to a Defaulting Lender that are applied (or held) to pay amounts owed by a Defaulting Lender pursuant to this Section 2.20(a)(ii) shall be deemed paid to and redirected by such Defaulting Lender, and each Lender irrevocably consents hereto.</w:t>
      </w:r>
    </w:p>
    <w:p>
      <w:pPr>
        <w:spacing w:after="0" w:line="17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2.21</w:t>
      </w:r>
      <w:r>
        <w:rPr>
          <w:sz w:val="20"/>
          <w:szCs w:val="20"/>
          <w:color w:val="auto"/>
        </w:rPr>
        <w:tab/>
      </w:r>
      <w:r>
        <w:rPr>
          <w:rFonts w:ascii="Arial" w:cs="Arial" w:eastAsia="Arial" w:hAnsi="Arial"/>
          <w:sz w:val="18"/>
          <w:szCs w:val="18"/>
          <w:u w:val="single" w:color="auto"/>
          <w:color w:val="auto"/>
        </w:rPr>
        <w:t>[Reserved</w:t>
      </w:r>
      <w:r>
        <w:rPr>
          <w:rFonts w:ascii="Arial" w:cs="Arial" w:eastAsia="Arial" w:hAnsi="Arial"/>
          <w:sz w:val="18"/>
          <w:szCs w:val="18"/>
          <w:u w:val="single" w:color="auto"/>
          <w:color w:val="0000FF"/>
        </w:rPr>
        <w:t>].</w:t>
      </w:r>
      <w:r>
        <w:rPr>
          <w:rFonts w:ascii="Arial" w:cs="Arial" w:eastAsia="Arial" w:hAnsi="Arial"/>
          <w:sz w:val="18"/>
          <w:szCs w:val="18"/>
          <w:color w:val="FF0000"/>
          <w:strike w:val="1"/>
        </w:rPr>
        <w:t>].</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2.22</w:t>
      </w:r>
      <w:r>
        <w:rPr>
          <w:sz w:val="20"/>
          <w:szCs w:val="20"/>
          <w:color w:val="auto"/>
        </w:rPr>
        <w:tab/>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31" w:lineRule="auto"/>
        <w:tabs>
          <w:tab w:leader="none" w:pos="1808"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Requests for Extension</w:t>
      </w:r>
      <w:r>
        <w:rPr>
          <w:rFonts w:ascii="Arial" w:cs="Arial" w:eastAsia="Arial" w:hAnsi="Arial"/>
          <w:sz w:val="19"/>
          <w:szCs w:val="19"/>
          <w:color w:val="auto"/>
        </w:rPr>
        <w:t>. The Borrower may, by notice to the Administrative Agent (who shall promptly notify the Lenders) not later than 30 days prior to the date of a proposed extension (each such date of such proposed extension, an “</w:t>
      </w:r>
      <w:r>
        <w:rPr>
          <w:rFonts w:ascii="Arial" w:cs="Arial" w:eastAsia="Arial" w:hAnsi="Arial"/>
          <w:sz w:val="19"/>
          <w:szCs w:val="19"/>
          <w:b w:val="1"/>
          <w:bCs w:val="1"/>
          <w:i w:val="1"/>
          <w:iCs w:val="1"/>
          <w:color w:val="auto"/>
        </w:rPr>
        <w:t>Extension Date</w:t>
      </w:r>
      <w:r>
        <w:rPr>
          <w:rFonts w:ascii="Arial" w:cs="Arial" w:eastAsia="Arial" w:hAnsi="Arial"/>
          <w:sz w:val="19"/>
          <w:szCs w:val="19"/>
          <w:color w:val="auto"/>
        </w:rPr>
        <w:t>”), request that each Lender extend such Lender’s Maturity Date then in effect for such Lender (the “</w:t>
      </w:r>
      <w:r>
        <w:rPr>
          <w:rFonts w:ascii="Arial" w:cs="Arial" w:eastAsia="Arial" w:hAnsi="Arial"/>
          <w:sz w:val="19"/>
          <w:szCs w:val="19"/>
          <w:b w:val="1"/>
          <w:bCs w:val="1"/>
          <w:i w:val="1"/>
          <w:iCs w:val="1"/>
          <w:color w:val="auto"/>
        </w:rPr>
        <w:t>Applicable Maturity Date</w:t>
      </w:r>
      <w:r>
        <w:rPr>
          <w:rFonts w:ascii="Arial" w:cs="Arial" w:eastAsia="Arial" w:hAnsi="Arial"/>
          <w:sz w:val="19"/>
          <w:szCs w:val="19"/>
          <w:color w:val="auto"/>
        </w:rPr>
        <w:t>”), to a date (the “</w:t>
      </w:r>
      <w:r>
        <w:rPr>
          <w:rFonts w:ascii="Arial" w:cs="Arial" w:eastAsia="Arial" w:hAnsi="Arial"/>
          <w:sz w:val="19"/>
          <w:szCs w:val="19"/>
          <w:b w:val="1"/>
          <w:bCs w:val="1"/>
          <w:i w:val="1"/>
          <w:iCs w:val="1"/>
          <w:color w:val="auto"/>
        </w:rPr>
        <w:t>Extended Maturity Date</w:t>
      </w:r>
      <w:r>
        <w:rPr>
          <w:rFonts w:ascii="Arial" w:cs="Arial" w:eastAsia="Arial" w:hAnsi="Arial"/>
          <w:sz w:val="19"/>
          <w:szCs w:val="19"/>
          <w:color w:val="auto"/>
        </w:rPr>
        <w:t>”) that is at least one year after the Applicable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7" w:name="page78"/>
    <w:bookmarkEnd w:id="77"/>
    <w:p>
      <w:pPr>
        <w:jc w:val="both"/>
        <w:ind w:firstLine="1304"/>
        <w:spacing w:after="0" w:line="235" w:lineRule="auto"/>
        <w:tabs>
          <w:tab w:leader="none" w:pos="191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Lender Elections to Extend</w:t>
      </w:r>
      <w:r>
        <w:rPr>
          <w:rFonts w:ascii="Arial" w:cs="Arial" w:eastAsia="Arial" w:hAnsi="Arial"/>
          <w:sz w:val="18"/>
          <w:szCs w:val="18"/>
          <w:color w:val="auto"/>
        </w:rPr>
        <w:t>. Each Lender, acting in its sole and individual discretion, shall, by notice to the Administrative Agent given not later than the date that is 10 days after the date on which the Administrative Agent received the Borrower’s extension request (the “</w:t>
      </w:r>
      <w:r>
        <w:rPr>
          <w:rFonts w:ascii="Arial" w:cs="Arial" w:eastAsia="Arial" w:hAnsi="Arial"/>
          <w:sz w:val="18"/>
          <w:szCs w:val="18"/>
          <w:b w:val="1"/>
          <w:bCs w:val="1"/>
          <w:i w:val="1"/>
          <w:iCs w:val="1"/>
          <w:color w:val="auto"/>
        </w:rPr>
        <w:t>Lender Notice Date</w:t>
      </w:r>
      <w:r>
        <w:rPr>
          <w:rFonts w:ascii="Arial" w:cs="Arial" w:eastAsia="Arial" w:hAnsi="Arial"/>
          <w:sz w:val="18"/>
          <w:szCs w:val="18"/>
          <w:color w:val="auto"/>
        </w:rPr>
        <w:t>”), advise the Administrative Agent whether or not such Lender agrees to such extension (each Lender that determines to so extend its Applicable Maturity Date, an “</w:t>
      </w:r>
      <w:r>
        <w:rPr>
          <w:rFonts w:ascii="Arial" w:cs="Arial" w:eastAsia="Arial" w:hAnsi="Arial"/>
          <w:sz w:val="18"/>
          <w:szCs w:val="18"/>
          <w:b w:val="1"/>
          <w:bCs w:val="1"/>
          <w:i w:val="1"/>
          <w:iCs w:val="1"/>
          <w:color w:val="auto"/>
        </w:rPr>
        <w:t>Extending Lender</w:t>
      </w:r>
      <w:r>
        <w:rPr>
          <w:rFonts w:ascii="Arial" w:cs="Arial" w:eastAsia="Arial" w:hAnsi="Arial"/>
          <w:sz w:val="18"/>
          <w:szCs w:val="18"/>
          <w:color w:val="auto"/>
        </w:rPr>
        <w:t>”). Each Lender that determines not to so extend its Applicable Maturity Date (a “</w:t>
      </w:r>
      <w:r>
        <w:rPr>
          <w:rFonts w:ascii="Arial" w:cs="Arial" w:eastAsia="Arial" w:hAnsi="Arial"/>
          <w:sz w:val="18"/>
          <w:szCs w:val="18"/>
          <w:b w:val="1"/>
          <w:bCs w:val="1"/>
          <w:i w:val="1"/>
          <w:iCs w:val="1"/>
          <w:color w:val="auto"/>
        </w:rPr>
        <w:t>Non-Extending Lender</w:t>
      </w:r>
      <w:r>
        <w:rPr>
          <w:rFonts w:ascii="Arial" w:cs="Arial" w:eastAsia="Arial" w:hAnsi="Arial"/>
          <w:sz w:val="18"/>
          <w:szCs w:val="18"/>
          <w:color w:val="auto"/>
        </w:rPr>
        <w:t xml:space="preserve">”)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w:t>
      </w:r>
      <w:r>
        <w:rPr>
          <w:rFonts w:ascii="Arial" w:cs="Arial" w:eastAsia="Arial" w:hAnsi="Arial"/>
          <w:sz w:val="18"/>
          <w:szCs w:val="18"/>
          <w:color w:val="FF0000"/>
          <w:strike w:val="1"/>
        </w:rPr>
        <w:t>any</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Borrower for extension of the Applicable Maturity Date.</w:t>
      </w:r>
    </w:p>
    <w:p>
      <w:pPr>
        <w:spacing w:after="0" w:line="173" w:lineRule="exact"/>
        <w:rPr>
          <w:rFonts w:ascii="Arial" w:cs="Arial" w:eastAsia="Arial" w:hAnsi="Arial"/>
          <w:sz w:val="18"/>
          <w:szCs w:val="18"/>
          <w:color w:val="auto"/>
        </w:rPr>
      </w:pPr>
    </w:p>
    <w:p>
      <w:pPr>
        <w:jc w:val="both"/>
        <w:ind w:firstLine="1304"/>
        <w:spacing w:after="0" w:line="252" w:lineRule="auto"/>
        <w:tabs>
          <w:tab w:leader="none" w:pos="192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w:t>
      </w:r>
      <w:r>
        <w:rPr>
          <w:rFonts w:ascii="Arial" w:cs="Arial" w:eastAsia="Arial" w:hAnsi="Arial"/>
          <w:sz w:val="18"/>
          <w:szCs w:val="18"/>
          <w:color w:val="auto"/>
        </w:rPr>
        <w:t>t. The Administrative Agent shall notify the Borrower of each Lender’s determination under this Section 2.22 no later than the earlier of (i) the date that is 15 days prior to the applicable Extension Date (or, if such date is not a Business Day, on the next preceding Business Day) and (ii) the date that is 5 days following the applicable Lender Notice Date.</w:t>
      </w:r>
    </w:p>
    <w:p>
      <w:pPr>
        <w:spacing w:after="0" w:line="158" w:lineRule="exact"/>
        <w:rPr>
          <w:rFonts w:ascii="Arial" w:cs="Arial" w:eastAsia="Arial" w:hAnsi="Arial"/>
          <w:sz w:val="18"/>
          <w:szCs w:val="18"/>
          <w:color w:val="auto"/>
        </w:rPr>
      </w:pPr>
    </w:p>
    <w:p>
      <w:pPr>
        <w:jc w:val="both"/>
        <w:ind w:firstLine="1304"/>
        <w:spacing w:after="0" w:line="235" w:lineRule="auto"/>
        <w:tabs>
          <w:tab w:leader="none" w:pos="184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Additional Commitment Lenders</w:t>
      </w:r>
      <w:r>
        <w:rPr>
          <w:rFonts w:ascii="Arial" w:cs="Arial" w:eastAsia="Arial" w:hAnsi="Arial"/>
          <w:sz w:val="18"/>
          <w:szCs w:val="18"/>
          <w:color w:val="auto"/>
        </w:rPr>
        <w:t>. The Borrower shall have the right, but shall not be obligated, on or before the Applicable Maturity Date for any Non-Extending Lender, to replace such Non-Extending Lender with, and add as a “Lender” under this Agreement in place thereof, one or more financial institutions that are Eligible Assignees (each, an “</w:t>
      </w:r>
      <w:r>
        <w:rPr>
          <w:rFonts w:ascii="Arial" w:cs="Arial" w:eastAsia="Arial" w:hAnsi="Arial"/>
          <w:sz w:val="18"/>
          <w:szCs w:val="18"/>
          <w:b w:val="1"/>
          <w:bCs w:val="1"/>
          <w:i w:val="1"/>
          <w:iCs w:val="1"/>
          <w:color w:val="auto"/>
        </w:rPr>
        <w:t>Additional Commitment Lender</w:t>
      </w:r>
      <w:r>
        <w:rPr>
          <w:rFonts w:ascii="Arial" w:cs="Arial" w:eastAsia="Arial" w:hAnsi="Arial"/>
          <w:sz w:val="18"/>
          <w:szCs w:val="18"/>
          <w:color w:val="auto"/>
        </w:rPr>
        <w:t>”) approved by the Administrative Agent, each of which applicable Additional Commitment Lenders shall have entered into an Assignment and Assumption (in accordance with and subject to the restrictions contained in Section 10.04, with the Borrower or replacement Lender obligated to pay any applicable processing or recordation fee) with such Non-Extending Lender, pursuant to which such Additional Commitment Lenders shall, effective on or before the Applicable Maturity Date for such Non-Extending Lender, assume Loans (and, if any such Additional Commitment Lender is already a Lender, its outstanding Loans so assumed shall be in addition to such Lender’s outstanding Loans hereunder on such date). The Administrative Agent may effect such amendments to this Agreement as are reasonably necessary to provide for any such extensions with the consent of the Borrower but without the consent of any other Lenders.</w:t>
      </w:r>
    </w:p>
    <w:p>
      <w:pPr>
        <w:spacing w:after="0" w:line="160" w:lineRule="exact"/>
        <w:rPr>
          <w:rFonts w:ascii="Arial" w:cs="Arial" w:eastAsia="Arial" w:hAnsi="Arial"/>
          <w:sz w:val="18"/>
          <w:szCs w:val="18"/>
          <w:color w:val="auto"/>
        </w:rPr>
      </w:pPr>
    </w:p>
    <w:p>
      <w:pPr>
        <w:jc w:val="both"/>
        <w:ind w:firstLine="1304"/>
        <w:spacing w:after="0" w:line="238" w:lineRule="auto"/>
        <w:tabs>
          <w:tab w:leader="none" w:pos="179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Minimum Extension Requirement</w:t>
      </w:r>
      <w:r>
        <w:rPr>
          <w:rFonts w:ascii="Arial" w:cs="Arial" w:eastAsia="Arial" w:hAnsi="Arial"/>
          <w:sz w:val="18"/>
          <w:szCs w:val="18"/>
          <w:color w:val="auto"/>
        </w:rPr>
        <w:t>. If (and only if) the aggregate Loan Exposure of the Lenders that have agreed to extend their Applicable Maturity Date and the newly assumed outstanding Loans of any Additional Commitment Lenders is more than 50% of the aggregate amount of the aggregate Loan Exposure in effect immediately prior to the applicable Extension Date, then, effective as of the applicable Extension Date, the Applicable Maturity Date of each Extending Lender and of each Additional Commitment Lender shall be extended to the Extended Maturity Date (except that, if such date is not a Business Day, such Extended Maturity Date shall be the next preceding Business Day), and each Additional Commitment Lender shall thereupon become a “Lender” for all purposes of this Agreement and shall be bound by the provisions of this Agreement as a Lender hereunder and shall have the obligations of a Lender hereunder.</w:t>
      </w:r>
    </w:p>
    <w:p>
      <w:pPr>
        <w:spacing w:after="0" w:line="169" w:lineRule="exact"/>
        <w:rPr>
          <w:rFonts w:ascii="Arial" w:cs="Arial" w:eastAsia="Arial" w:hAnsi="Arial"/>
          <w:sz w:val="18"/>
          <w:szCs w:val="18"/>
          <w:color w:val="auto"/>
        </w:rPr>
      </w:pPr>
    </w:p>
    <w:p>
      <w:pPr>
        <w:jc w:val="both"/>
        <w:ind w:firstLine="1304"/>
        <w:spacing w:after="0" w:line="237" w:lineRule="auto"/>
        <w:tabs>
          <w:tab w:leader="none" w:pos="177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w:t>
      </w:r>
      <w:r>
        <w:rPr>
          <w:rFonts w:ascii="Arial" w:cs="Arial" w:eastAsia="Arial" w:hAnsi="Arial"/>
          <w:sz w:val="18"/>
          <w:szCs w:val="18"/>
          <w:color w:val="auto"/>
        </w:rPr>
        <w:t>. Notwithstanding the foregoing, any extension of any Applicable Maturity Date pursuant to this Section 2.22 shall not be effective with respect to any Extending Lender and each Additional Commitment Lender unless (i) no Default or Event of Default shall have occurred and be continuing on the applicable Extension Date and immediately after giving effect thereto; and (ii) the representations and warranties of the Borrower set forth in this Agreement, and of each Loan Party in each of the other Loan Documents to which it is a party, are true and correct in all material respects (or in all respects if the applicable representation or warranty is qualified by Material Adverse Effect or materiality) on and as of the applicable Extension Date and after giving effect thereto, as though made on and as of such date (or, if any such representation or warranty is expressly stated to have been made as of a specific date, as of such date), as evidenced by delivery of a certificate of a Financial Officer of the Borrower on the Extension Date.</w:t>
      </w:r>
    </w:p>
    <w:p>
      <w:pPr>
        <w:spacing w:after="0" w:line="160" w:lineRule="exact"/>
        <w:rPr>
          <w:rFonts w:ascii="Arial" w:cs="Arial" w:eastAsia="Arial" w:hAnsi="Arial"/>
          <w:sz w:val="18"/>
          <w:szCs w:val="18"/>
          <w:color w:val="auto"/>
        </w:rPr>
      </w:pPr>
    </w:p>
    <w:p>
      <w:pPr>
        <w:ind w:firstLine="1304"/>
        <w:spacing w:after="0" w:line="236" w:lineRule="auto"/>
        <w:tabs>
          <w:tab w:leader="none" w:pos="1846"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Maturity Date for Non-Extending Lenders</w:t>
      </w:r>
      <w:r>
        <w:rPr>
          <w:rFonts w:ascii="Arial" w:cs="Arial" w:eastAsia="Arial" w:hAnsi="Arial"/>
          <w:sz w:val="20"/>
          <w:szCs w:val="20"/>
          <w:color w:val="auto"/>
        </w:rPr>
        <w:t>. On the Applicable Maturity Date of each Non-Extending Lender, the Borrower shall repay such Non-Extending Lender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8" w:name="page79"/>
    <w:bookmarkEnd w:id="78"/>
    <w:p>
      <w:pPr>
        <w:spacing w:after="0" w:line="236" w:lineRule="auto"/>
        <w:rPr>
          <w:sz w:val="20"/>
          <w:szCs w:val="20"/>
          <w:color w:val="auto"/>
        </w:rPr>
      </w:pP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(and shall pay to such Non-Extending Lender all of the other Obligations due and owing to it under this Agreement, including any additional amounts required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5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u w:val="single" w:color="auto"/>
          <w:color w:val="auto"/>
        </w:rPr>
        <w:t>Conflicting Provisions</w:t>
      </w:r>
      <w:r>
        <w:rPr>
          <w:rFonts w:ascii="Arial" w:cs="Arial" w:eastAsia="Arial" w:hAnsi="Arial"/>
          <w:sz w:val="19"/>
          <w:szCs w:val="19"/>
          <w:color w:val="auto"/>
        </w:rPr>
        <w:t>. This Section 2.22 shall supersede any provisions in Section 2.18 or Section 10.02 to the</w:t>
      </w:r>
    </w:p>
    <w:p>
      <w:pPr>
        <w:spacing w:after="0"/>
        <w:rPr>
          <w:sz w:val="20"/>
          <w:szCs w:val="20"/>
          <w:color w:val="auto"/>
        </w:rPr>
      </w:pPr>
      <w:r>
        <w:rPr>
          <w:rFonts w:ascii="Arial" w:cs="Arial" w:eastAsia="Arial" w:hAnsi="Arial"/>
          <w:sz w:val="20"/>
          <w:szCs w:val="20"/>
          <w:color w:val="auto"/>
        </w:rPr>
        <w:t>contrary.</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2.23</w:t>
      </w:r>
      <w:r>
        <w:rPr>
          <w:sz w:val="20"/>
          <w:szCs w:val="20"/>
          <w:color w:val="auto"/>
        </w:rPr>
        <w:tab/>
      </w: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 Notwithstanding anything to the contrary herein or in any other Loan Document:</w:t>
      </w:r>
    </w:p>
    <w:p>
      <w:pPr>
        <w:spacing w:after="0" w:line="175" w:lineRule="exact"/>
        <w:rPr>
          <w:sz w:val="20"/>
          <w:szCs w:val="20"/>
          <w:color w:val="auto"/>
        </w:rPr>
      </w:pPr>
    </w:p>
    <w:p>
      <w:pPr>
        <w:jc w:val="both"/>
        <w:ind w:firstLine="1304"/>
        <w:spacing w:after="0" w:line="235" w:lineRule="auto"/>
        <w:tabs>
          <w:tab w:leader="none" w:pos="1740" w:val="left"/>
        </w:tabs>
        <w:numPr>
          <w:ilvl w:val="0"/>
          <w:numId w:val="53"/>
        </w:numPr>
        <w:rPr>
          <w:rFonts w:ascii="Arial" w:cs="Arial" w:eastAsia="Arial" w:hAnsi="Arial"/>
          <w:sz w:val="18"/>
          <w:szCs w:val="18"/>
          <w:color w:val="FF0000"/>
          <w:strike w:val="1"/>
        </w:rPr>
      </w:pPr>
      <w:r>
        <w:rPr>
          <w:rFonts w:ascii="Arial" w:cs="Arial" w:eastAsia="Arial" w:hAnsi="Arial"/>
          <w:sz w:val="18"/>
          <w:szCs w:val="18"/>
          <w:i w:val="1"/>
          <w:iCs w:val="1"/>
          <w:color w:val="FF0000"/>
          <w:strike w:val="1"/>
        </w:rPr>
        <w:t>Replacing LIBOR</w:t>
      </w:r>
      <w:r>
        <w:rPr>
          <w:rFonts w:ascii="Arial" w:cs="Arial" w:eastAsia="Arial" w:hAnsi="Arial"/>
          <w:sz w:val="18"/>
          <w:szCs w:val="18"/>
          <w:color w:val="FF0000"/>
          <w:strike w:val="1"/>
        </w:rPr>
        <w:t>. On March 5, 2021 ICE Benchmark Administration (“</w:t>
      </w:r>
      <w:r>
        <w:rPr>
          <w:rFonts w:ascii="Arial" w:cs="Arial" w:eastAsia="Arial" w:hAnsi="Arial"/>
          <w:sz w:val="18"/>
          <w:szCs w:val="18"/>
          <w:b w:val="1"/>
          <w:bCs w:val="1"/>
          <w:i w:val="1"/>
          <w:iCs w:val="1"/>
          <w:color w:val="FF0000"/>
          <w:strike w:val="1"/>
        </w:rPr>
        <w:t>IBA</w:t>
      </w:r>
      <w:r>
        <w:rPr>
          <w:rFonts w:ascii="Arial" w:cs="Arial" w:eastAsia="Arial" w:hAnsi="Arial"/>
          <w:sz w:val="18"/>
          <w:szCs w:val="18"/>
          <w:color w:val="FF0000"/>
          <w:strike w:val="1"/>
        </w:rPr>
        <w:t>”), the entity that calculates and publishes</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LIBOR, and the U.K. Financial Conduct Authority (“</w:t>
      </w:r>
      <w:r>
        <w:rPr>
          <w:rFonts w:ascii="Arial" w:cs="Arial" w:eastAsia="Arial" w:hAnsi="Arial"/>
          <w:sz w:val="18"/>
          <w:szCs w:val="18"/>
          <w:b w:val="1"/>
          <w:bCs w:val="1"/>
          <w:i w:val="1"/>
          <w:iCs w:val="1"/>
          <w:color w:val="FF0000"/>
          <w:strike w:val="1"/>
        </w:rPr>
        <w:t>FCA</w:t>
      </w:r>
      <w:r>
        <w:rPr>
          <w:rFonts w:ascii="Arial" w:cs="Arial" w:eastAsia="Arial" w:hAnsi="Arial"/>
          <w:sz w:val="18"/>
          <w:szCs w:val="18"/>
          <w:color w:val="FF0000"/>
          <w:strike w:val="1"/>
        </w:rPr>
        <w:t xml:space="preserve">”), the regulatory supervisor of IBA, made public statements regarding the future cessation of LIBOR. According to the FCA, IBA will permanently cease publication of (i) the 1-week and 2-month LIBOR settings following the publication of such settings on December 31, 2021, and (ii) the overnight/Spot Next, 1-month, 3-month, 6-month and 12-month LIBOR settings, immediately following the publication of such settings on June 30, 2023. As a consequence, (x) on January 1, 2022, any option to select 1 week or 2-month LIBOR will no longer be available and (y) on the earliest of (i) July 1, 2023, (ii) the date that all Available Tenors of LIBOR have either permanently or indefinitely ceased to be provided by IBA or have been announced by the FCA pursuant to </w:t>
      </w:r>
      <w:r>
        <w:rPr>
          <w:rFonts w:ascii="Arial" w:cs="Arial" w:eastAsia="Arial" w:hAnsi="Arial"/>
          <w:sz w:val="18"/>
          <w:szCs w:val="18"/>
          <w:color w:val="008000"/>
          <w:strike w:val="1"/>
        </w:rPr>
        <w:t xml:space="preserve">public statement or publication of information </w:t>
      </w:r>
      <w:r>
        <w:rPr>
          <w:rFonts w:ascii="Arial" w:cs="Arial" w:eastAsia="Arial" w:hAnsi="Arial"/>
          <w:sz w:val="18"/>
          <w:szCs w:val="18"/>
          <w:color w:val="FF0000"/>
          <w:strike w:val="1"/>
        </w:rPr>
        <w:t>to be no longer representative and (iii) the Early Opt-in Effective Date, if the then-current</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Benchmark is LIBOR, the applicable Benchmark Replacement will replace such Benchmark, in the case of both clauses (x) and (y), </w:t>
      </w:r>
      <w:r>
        <w:rPr>
          <w:rFonts w:ascii="Arial" w:cs="Arial" w:eastAsia="Arial" w:hAnsi="Arial"/>
          <w:sz w:val="18"/>
          <w:szCs w:val="18"/>
          <w:color w:val="008000"/>
          <w:strike w:val="1"/>
        </w:rPr>
        <w:t>for all</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purposes hereunder and under any Loan Document in respect of any setting of such Benchmark on such day and all subsequent settings without any amendment to, or further action by or consent of any other party to, this Agreement or any other Loan Document</w:t>
      </w:r>
      <w:r>
        <w:rPr>
          <w:rFonts w:ascii="Arial" w:cs="Arial" w:eastAsia="Arial" w:hAnsi="Arial"/>
          <w:sz w:val="18"/>
          <w:szCs w:val="18"/>
          <w:color w:val="FF0000"/>
          <w:strike w:val="1"/>
        </w:rPr>
        <w:t>. If the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Benchmark Replacement is Daily Simple SOFR, </w:t>
      </w:r>
      <w:r>
        <w:rPr>
          <w:rFonts w:ascii="Arial" w:cs="Arial" w:eastAsia="Arial" w:hAnsi="Arial"/>
          <w:sz w:val="18"/>
          <w:szCs w:val="18"/>
          <w:color w:val="008000"/>
          <w:strike w:val="1"/>
        </w:rPr>
        <w:t>all interest payments in respect of such Loans will be payable on a quarterly basis.</w:t>
      </w:r>
    </w:p>
    <w:p>
      <w:pPr>
        <w:spacing w:after="0" w:line="14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b</w:t>
      </w:r>
      <w:r>
        <w:rPr>
          <w:rFonts w:ascii="Arial" w:cs="Arial" w:eastAsia="Arial" w:hAnsi="Arial"/>
          <w:sz w:val="20"/>
          <w:szCs w:val="20"/>
          <w:u w:val="single" w:color="auto"/>
          <w:color w:val="0000FF"/>
        </w:rPr>
        <w:t>a</w:t>
      </w:r>
      <w:r>
        <w:rPr>
          <w:rFonts w:ascii="Arial" w:cs="Arial" w:eastAsia="Arial" w:hAnsi="Arial"/>
          <w:sz w:val="20"/>
          <w:szCs w:val="20"/>
          <w:color w:val="auto"/>
        </w:rPr>
        <w:t>)</w:t>
      </w:r>
      <w:r>
        <w:rPr>
          <w:sz w:val="20"/>
          <w:szCs w:val="20"/>
          <w:color w:val="auto"/>
        </w:rPr>
        <w:tab/>
      </w:r>
      <w:r>
        <w:rPr>
          <w:rFonts w:ascii="Arial" w:cs="Arial" w:eastAsia="Arial" w:hAnsi="Arial"/>
          <w:sz w:val="18"/>
          <w:szCs w:val="18"/>
          <w:i w:val="1"/>
          <w:iCs w:val="1"/>
          <w:color w:val="FF0000"/>
          <w:strike w:val="1"/>
        </w:rPr>
        <w:t>Replacing Other Benchmarks</w:t>
      </w:r>
      <w:r>
        <w:rPr>
          <w:rFonts w:ascii="Arial" w:cs="Arial" w:eastAsia="Arial" w:hAnsi="Arial"/>
          <w:sz w:val="18"/>
          <w:szCs w:val="18"/>
          <w:u w:val="single" w:color="auto"/>
          <w:color w:val="0000FF"/>
          <w:strike w:val="1"/>
        </w:rPr>
        <w:t>Benchmark Replacement</w:t>
      </w:r>
      <w:r>
        <w:rPr>
          <w:rFonts w:ascii="Arial" w:cs="Arial" w:eastAsia="Arial" w:hAnsi="Arial"/>
          <w:sz w:val="18"/>
          <w:szCs w:val="18"/>
          <w:color w:val="000000"/>
          <w:strike w:val="1"/>
        </w:rPr>
        <w:t>. If any Benchmark Transition Event</w:t>
      </w:r>
      <w:r>
        <w:rPr>
          <w:rFonts w:ascii="Arial" w:cs="Arial" w:eastAsia="Arial" w:hAnsi="Arial"/>
          <w:sz w:val="18"/>
          <w:szCs w:val="18"/>
          <w:i w:val="1"/>
          <w:iCs w:val="1"/>
          <w:color w:val="FF0000"/>
          <w:strike w:val="1"/>
        </w:rPr>
        <w:t xml:space="preserve"> </w:t>
      </w:r>
      <w:r>
        <w:rPr>
          <w:rFonts w:ascii="Arial" w:cs="Arial" w:eastAsia="Arial" w:hAnsi="Arial"/>
          <w:sz w:val="18"/>
          <w:szCs w:val="18"/>
          <w:u w:val="single" w:color="auto"/>
          <w:color w:val="0000FF"/>
          <w:strike w:val="1"/>
        </w:rPr>
        <w:t>and its related Benchmark</w:t>
      </w:r>
    </w:p>
    <w:p>
      <w:pPr>
        <w:jc w:val="both"/>
        <w:spacing w:after="0" w:line="226" w:lineRule="auto"/>
        <w:rPr>
          <w:sz w:val="20"/>
          <w:szCs w:val="20"/>
          <w:color w:val="auto"/>
        </w:rPr>
      </w:pPr>
      <w:r>
        <w:rPr>
          <w:rFonts w:ascii="Arial" w:cs="Arial" w:eastAsia="Arial" w:hAnsi="Arial"/>
          <w:sz w:val="18"/>
          <w:szCs w:val="18"/>
          <w:u w:val="single" w:color="auto"/>
          <w:color w:val="0000FF"/>
        </w:rPr>
        <w:t>Replacement Date</w:t>
      </w:r>
      <w:r>
        <w:rPr>
          <w:rFonts w:ascii="Arial" w:cs="Arial" w:eastAsia="Arial" w:hAnsi="Arial"/>
          <w:sz w:val="18"/>
          <w:szCs w:val="18"/>
          <w:color w:val="0000FF"/>
        </w:rPr>
        <w:t xml:space="preserve"> </w:t>
      </w:r>
      <w:r>
        <w:rPr>
          <w:rFonts w:ascii="Arial" w:cs="Arial" w:eastAsia="Arial" w:hAnsi="Arial"/>
          <w:sz w:val="18"/>
          <w:szCs w:val="18"/>
          <w:color w:val="000000"/>
        </w:rPr>
        <w:t>occurs after the date hereof</w:t>
      </w:r>
      <w:r>
        <w:rPr>
          <w:rFonts w:ascii="Arial" w:cs="Arial" w:eastAsia="Arial" w:hAnsi="Arial"/>
          <w:sz w:val="18"/>
          <w:szCs w:val="18"/>
          <w:color w:val="0000FF"/>
        </w:rPr>
        <w:t xml:space="preserve"> </w:t>
      </w:r>
      <w:r>
        <w:rPr>
          <w:rFonts w:ascii="Arial" w:cs="Arial" w:eastAsia="Arial" w:hAnsi="Arial"/>
          <w:sz w:val="18"/>
          <w:szCs w:val="18"/>
          <w:color w:val="FF0000"/>
          <w:strike w:val="1"/>
        </w:rPr>
        <w:t>(other than as described above in clause (a))</w:t>
      </w:r>
      <w:r>
        <w:rPr>
          <w:rFonts w:ascii="Arial" w:cs="Arial" w:eastAsia="Arial" w:hAnsi="Arial"/>
          <w:sz w:val="18"/>
          <w:szCs w:val="18"/>
          <w:color w:val="0000FF"/>
        </w:rPr>
        <w:t xml:space="preserve"> </w:t>
      </w:r>
      <w:r>
        <w:rPr>
          <w:rFonts w:ascii="Arial" w:cs="Arial" w:eastAsia="Arial" w:hAnsi="Arial"/>
          <w:sz w:val="18"/>
          <w:szCs w:val="18"/>
          <w:color w:val="000000"/>
        </w:rPr>
        <w:t>with respect to any</w:t>
      </w:r>
      <w:r>
        <w:rPr>
          <w:rFonts w:ascii="Arial" w:cs="Arial" w:eastAsia="Arial" w:hAnsi="Arial"/>
          <w:sz w:val="18"/>
          <w:szCs w:val="18"/>
          <w:color w:val="0000FF"/>
        </w:rPr>
        <w:t xml:space="preserve"> </w:t>
      </w:r>
      <w:r>
        <w:rPr>
          <w:rFonts w:ascii="Arial" w:cs="Arial" w:eastAsia="Arial" w:hAnsi="Arial"/>
          <w:sz w:val="18"/>
          <w:szCs w:val="18"/>
          <w:color w:val="FF0000"/>
          <w:strike w:val="1"/>
        </w:rPr>
        <w:t>Benchmark</w:t>
      </w:r>
      <w:r>
        <w:rPr>
          <w:rFonts w:ascii="Arial" w:cs="Arial" w:eastAsia="Arial" w:hAnsi="Arial"/>
          <w:sz w:val="18"/>
          <w:szCs w:val="18"/>
          <w:u w:val="single" w:color="auto"/>
          <w:color w:val="0000FF"/>
        </w:rPr>
        <w:t>then-current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Benchmark, then (x) if a Benchmark Replacement is determined in accordance with clause (1) of the definition of “Benchmark Replacement”</w:t>
      </w:r>
    </w:p>
    <w:p>
      <w:pPr>
        <w:spacing w:after="0" w:line="236" w:lineRule="auto"/>
        <w:rPr>
          <w:sz w:val="20"/>
          <w:szCs w:val="20"/>
          <w:color w:val="auto"/>
        </w:rPr>
      </w:pPr>
      <w:r>
        <w:rPr>
          <w:rFonts w:ascii="Arial" w:cs="Arial" w:eastAsia="Arial" w:hAnsi="Arial"/>
          <w:sz w:val="18"/>
          <w:szCs w:val="18"/>
          <w:u w:val="single" w:color="auto"/>
          <w:color w:val="0000FF"/>
        </w:rPr>
        <w:t xml:space="preserve">for such Benchmark Replacement Date, such Benchmark Replacement will replace such Benchmark </w:t>
      </w:r>
      <w:r>
        <w:rPr>
          <w:rFonts w:ascii="Arial" w:cs="Arial" w:eastAsia="Arial" w:hAnsi="Arial"/>
          <w:sz w:val="18"/>
          <w:szCs w:val="18"/>
          <w:u w:val="single" w:color="auto"/>
          <w:color w:val="008000"/>
        </w:rPr>
        <w:t>for all purposes hereunder and under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8000"/>
        </w:rPr>
        <w:t xml:space="preserve">any Loan Document in respect of any setting of such Benchmark on such day and all subsequent settings without any amendment to, or further action by or consent of any other party to, this Agreement or any other Loan Document </w:t>
      </w:r>
      <w:r>
        <w:rPr>
          <w:rFonts w:ascii="Arial" w:cs="Arial" w:eastAsia="Arial" w:hAnsi="Arial"/>
          <w:sz w:val="18"/>
          <w:szCs w:val="18"/>
          <w:u w:val="single" w:color="auto"/>
          <w:color w:val="0000FF"/>
        </w:rPr>
        <w:t>and (y) if a Benchmark Replacement is</w:t>
      </w:r>
    </w:p>
    <w:p>
      <w:pPr>
        <w:spacing w:after="0" w:line="224" w:lineRule="auto"/>
        <w:rPr>
          <w:sz w:val="20"/>
          <w:szCs w:val="20"/>
          <w:color w:val="auto"/>
        </w:rPr>
      </w:pPr>
      <w:r>
        <w:rPr>
          <w:rFonts w:ascii="Arial" w:cs="Arial" w:eastAsia="Arial" w:hAnsi="Arial"/>
          <w:sz w:val="19"/>
          <w:szCs w:val="19"/>
          <w:u w:val="single" w:color="auto"/>
          <w:color w:val="0000FF"/>
        </w:rPr>
        <w:t>determined in accordance with clause (2) of the definition of “Benchmark Replacement” for such Benchmark Replacement Date</w:t>
      </w:r>
      <w:r>
        <w:rPr>
          <w:rFonts w:ascii="Arial" w:cs="Arial" w:eastAsia="Arial" w:hAnsi="Arial"/>
          <w:sz w:val="19"/>
          <w:szCs w:val="19"/>
          <w:color w:val="000000"/>
        </w:rPr>
        <w:t>, the</w:t>
      </w:r>
    </w:p>
    <w:p>
      <w:pPr>
        <w:spacing w:after="0" w:line="226" w:lineRule="auto"/>
        <w:rPr>
          <w:sz w:val="20"/>
          <w:szCs w:val="20"/>
          <w:color w:val="auto"/>
        </w:rPr>
      </w:pPr>
      <w:r>
        <w:rPr>
          <w:rFonts w:ascii="Arial" w:cs="Arial" w:eastAsia="Arial" w:hAnsi="Arial"/>
          <w:sz w:val="18"/>
          <w:szCs w:val="18"/>
          <w:color w:val="auto"/>
        </w:rPr>
        <w:t>applicable Benchmark will be replaced with the applicable Benchmark Replacement for all purposes hereunder and under any Loan Document in respect of any Benchmark setting on the later of (i) 5:00 p.m. (New York City time) on the fifth (5th) Business Day after the</w:t>
      </w:r>
    </w:p>
    <w:p>
      <w:pPr>
        <w:spacing w:after="0" w:line="236" w:lineRule="auto"/>
        <w:rPr>
          <w:sz w:val="20"/>
          <w:szCs w:val="20"/>
          <w:color w:val="auto"/>
        </w:rPr>
      </w:pPr>
      <w:r>
        <w:rPr>
          <w:rFonts w:ascii="Arial" w:cs="Arial" w:eastAsia="Arial" w:hAnsi="Arial"/>
          <w:sz w:val="18"/>
          <w:szCs w:val="18"/>
          <w:color w:val="auto"/>
        </w:rPr>
        <w:t>date notice of such Benchmark Replacement is provided to the Lenders and the Borrower (together, if applicable, with an amendment to this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implementing such Benchmark Replacement and any applicable Benchmark Replacement Conforming Changes) or (ii) such other date as may be determined by the Administrative Agent, in each case, without any further action or consent of any other party to this</w:t>
      </w:r>
    </w:p>
    <w:p>
      <w:pPr>
        <w:spacing w:after="0" w:line="236" w:lineRule="auto"/>
        <w:rPr>
          <w:sz w:val="20"/>
          <w:szCs w:val="20"/>
          <w:color w:val="auto"/>
        </w:rPr>
      </w:pPr>
      <w:r>
        <w:rPr>
          <w:rFonts w:ascii="Arial" w:cs="Arial" w:eastAsia="Arial" w:hAnsi="Arial"/>
          <w:sz w:val="18"/>
          <w:szCs w:val="18"/>
          <w:color w:val="auto"/>
        </w:rPr>
        <w:t>Agreement or any other Loan Document, so long as the Administrative Agent has not received, by such time (or, in the case of clause (ii)</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above, such time as may be specified by the Administrative Agent as a deadline to receive objections, but in any case, no less than five (5) Business Days after the date such notice is provided to the Lenders and the Borrower), written notice of objection to such Benchmark</w:t>
      </w:r>
    </w:p>
    <w:p>
      <w:pPr>
        <w:spacing w:after="0" w:line="224" w:lineRule="auto"/>
        <w:rPr>
          <w:sz w:val="20"/>
          <w:szCs w:val="20"/>
          <w:color w:val="auto"/>
        </w:rPr>
      </w:pPr>
      <w:r>
        <w:rPr>
          <w:rFonts w:ascii="Arial" w:cs="Arial" w:eastAsia="Arial" w:hAnsi="Arial"/>
          <w:sz w:val="19"/>
          <w:szCs w:val="19"/>
          <w:color w:val="auto"/>
        </w:rPr>
        <w:t>Replacement from Lenders comprising the Required Lenders. At any time that the administrator of any then-current Benchmark has</w:t>
      </w:r>
    </w:p>
    <w:p>
      <w:pPr>
        <w:spacing w:after="0" w:line="226" w:lineRule="auto"/>
        <w:rPr>
          <w:sz w:val="20"/>
          <w:szCs w:val="20"/>
          <w:color w:val="auto"/>
        </w:rPr>
      </w:pPr>
      <w:r>
        <w:rPr>
          <w:rFonts w:ascii="Arial" w:cs="Arial" w:eastAsia="Arial" w:hAnsi="Arial"/>
          <w:sz w:val="18"/>
          <w:szCs w:val="18"/>
          <w:color w:val="auto"/>
        </w:rPr>
        <w:t>permanently or indefinitely ceased to provide such Benchmark or such Benchmark has been announced by the regulatory supervisor for the administrator of such Benchmark pursuant to public statement or publication of information to be no longer representative of the underlying</w:t>
      </w:r>
    </w:p>
    <w:p>
      <w:pPr>
        <w:spacing w:after="0" w:line="236" w:lineRule="auto"/>
        <w:rPr>
          <w:sz w:val="20"/>
          <w:szCs w:val="20"/>
          <w:color w:val="auto"/>
        </w:rPr>
      </w:pPr>
      <w:r>
        <w:rPr>
          <w:rFonts w:ascii="Arial" w:cs="Arial" w:eastAsia="Arial" w:hAnsi="Arial"/>
          <w:sz w:val="18"/>
          <w:szCs w:val="18"/>
          <w:color w:val="auto"/>
        </w:rPr>
        <w:t>market and economic reality that such Benchmark is intended to measure and that representativeness will not be restored, the Borrower may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revoke any request for a borrowing of, conversion to or continuation of Loans to be made, converted or continued that would bear interest by reference to such Benchmark until the Borrower’s receipt of notice from the Administrative Agent that a Benchmark Replacement has</w:t>
      </w:r>
    </w:p>
    <w:p>
      <w:pPr>
        <w:spacing w:after="0" w:line="236" w:lineRule="auto"/>
        <w:rPr>
          <w:sz w:val="20"/>
          <w:szCs w:val="20"/>
          <w:color w:val="auto"/>
        </w:rPr>
      </w:pPr>
      <w:r>
        <w:rPr>
          <w:rFonts w:ascii="Arial" w:cs="Arial" w:eastAsia="Arial" w:hAnsi="Arial"/>
          <w:sz w:val="18"/>
          <w:szCs w:val="18"/>
          <w:color w:val="auto"/>
        </w:rPr>
        <w:t>replaced such Benchmark, and, failing that, the Borrower will be deemed to have converted any such request into a request for a borrowing</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or conversion to ABR Loans. During the period referenced in the foregoing sentence, the component of ABR based upon the applicable Benchmark will not be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any determination of ABR. </w:t>
      </w:r>
      <w:r>
        <w:rPr>
          <w:rFonts w:ascii="Arial" w:cs="Arial" w:eastAsia="Arial" w:hAnsi="Arial"/>
          <w:sz w:val="18"/>
          <w:szCs w:val="18"/>
          <w:color w:val="0000FF"/>
        </w:rPr>
        <w:t>If the Benchmark Replacement is Adjusted Daily Simple SOFR</w:t>
      </w:r>
      <w:r>
        <w:rPr>
          <w:rFonts w:ascii="Arial" w:cs="Arial" w:eastAsia="Arial" w:hAnsi="Arial"/>
          <w:sz w:val="18"/>
          <w:szCs w:val="18"/>
          <w:color w:val="auto"/>
        </w:rPr>
        <w:t xml:space="preserve"> </w:t>
      </w:r>
      <w:r>
        <w:rPr>
          <w:rFonts w:ascii="Arial" w:cs="Arial" w:eastAsia="Arial" w:hAnsi="Arial"/>
          <w:sz w:val="18"/>
          <w:szCs w:val="18"/>
          <w:u w:val="single" w:color="auto"/>
          <w:color w:val="008000"/>
        </w:rPr>
        <w:t>all interest payments in respect of such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0</wp:posOffset>
            </wp:positionV>
            <wp:extent cx="33674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8000"/>
        </w:rPr>
        <w:t>will be payable on a quarterly basis.</w:t>
      </w:r>
    </w:p>
    <w:p>
      <w:pPr>
        <w:spacing w:after="0" w:line="15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xml:space="preserve">. </w:t>
      </w:r>
      <w:r>
        <w:rPr>
          <w:rFonts w:ascii="Arial" w:cs="Arial" w:eastAsia="Arial" w:hAnsi="Arial"/>
          <w:sz w:val="18"/>
          <w:szCs w:val="18"/>
          <w:color w:val="FF0000"/>
          <w:strike w:val="1"/>
        </w:rPr>
        <w:t>In connection with the implementation and administration of a</w:t>
      </w:r>
      <w:r>
        <w:rPr>
          <w:rFonts w:ascii="Arial" w:cs="Arial" w:eastAsia="Arial" w:hAnsi="Arial"/>
          <w:sz w:val="18"/>
          <w:szCs w:val="18"/>
          <w:u w:val="single" w:color="auto"/>
          <w:color w:val="0000FF"/>
        </w:rPr>
        <w:t>With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respect to Adjusted Term SOFR or any</w:t>
      </w:r>
      <w:r>
        <w:rPr>
          <w:rFonts w:ascii="Arial" w:cs="Arial" w:eastAsia="Arial" w:hAnsi="Arial"/>
          <w:sz w:val="18"/>
          <w:szCs w:val="18"/>
          <w:color w:val="0000FF"/>
        </w:rPr>
        <w:t xml:space="preserve"> </w:t>
      </w:r>
      <w:r>
        <w:rPr>
          <w:rFonts w:ascii="Arial" w:cs="Arial" w:eastAsia="Arial" w:hAnsi="Arial"/>
          <w:sz w:val="18"/>
          <w:szCs w:val="18"/>
          <w:color w:val="000000"/>
        </w:rPr>
        <w:t>Benchmark Replacement</w:t>
      </w:r>
      <w:r>
        <w:rPr>
          <w:rFonts w:ascii="Arial" w:cs="Arial" w:eastAsia="Arial" w:hAnsi="Arial"/>
          <w:sz w:val="18"/>
          <w:szCs w:val="18"/>
          <w:color w:val="0000FF"/>
        </w:rPr>
        <w:t xml:space="preserve"> </w:t>
      </w:r>
      <w:r>
        <w:rPr>
          <w:rFonts w:ascii="Arial" w:cs="Arial" w:eastAsia="Arial" w:hAnsi="Arial"/>
          <w:sz w:val="18"/>
          <w:szCs w:val="18"/>
          <w:color w:val="FF0000"/>
          <w:strike w:val="1"/>
        </w:rPr>
        <w:t>(whether in connection with the replacement of LIBOR or any future</w:t>
      </w:r>
    </w:p>
    <w:p>
      <w:pPr>
        <w:spacing w:after="0" w:line="215" w:lineRule="auto"/>
        <w:rPr>
          <w:sz w:val="20"/>
          <w:szCs w:val="20"/>
          <w:color w:val="auto"/>
        </w:rPr>
      </w:pPr>
      <w:r>
        <w:rPr>
          <w:rFonts w:ascii="Arial" w:cs="Arial" w:eastAsia="Arial" w:hAnsi="Arial"/>
          <w:sz w:val="19"/>
          <w:szCs w:val="19"/>
          <w:color w:val="FF0000"/>
          <w:strike w:val="1"/>
        </w:rPr>
        <w:t>Benchmark)</w:t>
      </w:r>
      <w:r>
        <w:rPr>
          <w:rFonts w:ascii="Arial" w:cs="Arial" w:eastAsia="Arial" w:hAnsi="Arial"/>
          <w:sz w:val="19"/>
          <w:szCs w:val="19"/>
          <w:color w:val="000000"/>
        </w:rPr>
        <w:t>, the Administrative Agent will have the right to make Benchmark Replacement Conforming Changes from time to time and,</w:t>
      </w:r>
      <w:r>
        <w:rPr>
          <w:rFonts w:ascii="Arial" w:cs="Arial" w:eastAsia="Arial" w:hAnsi="Arial"/>
          <w:sz w:val="19"/>
          <w:szCs w:val="19"/>
          <w:color w:val="FF0000"/>
        </w:rPr>
        <w:t xml:space="preserve"> </w:t>
      </w:r>
      <w:r>
        <w:rPr>
          <w:rFonts w:ascii="Arial" w:cs="Arial" w:eastAsia="Arial" w:hAnsi="Arial"/>
          <w:sz w:val="19"/>
          <w:szCs w:val="19"/>
          <w:color w:val="000000"/>
        </w:rPr>
        <w:t>notwithstanding anything to the contrary herein or in any other Loan Document, any amendments implementing such Benchmark</w:t>
      </w:r>
    </w:p>
    <w:p>
      <w:pPr>
        <w:spacing w:after="0" w:line="227" w:lineRule="auto"/>
        <w:rPr>
          <w:sz w:val="20"/>
          <w:szCs w:val="20"/>
          <w:color w:val="auto"/>
        </w:rPr>
      </w:pPr>
      <w:r>
        <w:rPr>
          <w:rFonts w:ascii="Arial" w:cs="Arial" w:eastAsia="Arial" w:hAnsi="Arial"/>
          <w:sz w:val="20"/>
          <w:szCs w:val="20"/>
          <w:color w:val="auto"/>
        </w:rPr>
        <w:t>Replacement Conforming Changes will become effective without any further action or consent of any other party to this Agreement or any other Loan Document.</w:t>
      </w:r>
    </w:p>
    <w:p>
      <w:pPr>
        <w:spacing w:after="0" w:line="156" w:lineRule="exact"/>
        <w:rPr>
          <w:sz w:val="20"/>
          <w:szCs w:val="20"/>
          <w:color w:val="auto"/>
        </w:rPr>
      </w:pPr>
    </w:p>
    <w:p>
      <w:pPr>
        <w:ind w:firstLine="1296"/>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d</w:t>
      </w:r>
      <w:r>
        <w:rPr>
          <w:rFonts w:ascii="Arial" w:cs="Arial" w:eastAsia="Arial" w:hAnsi="Arial"/>
          <w:sz w:val="19"/>
          <w:szCs w:val="19"/>
          <w:u w:val="single" w:color="auto"/>
          <w:color w:val="0000FF"/>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Borrower and the Lenders of (i) the implementation of any Benchmark Replacement and (ii) the effectiveness of any Benchmark Replacement</w:t>
      </w:r>
    </w:p>
    <w:p>
      <w:pPr>
        <w:spacing w:after="0" w:line="226" w:lineRule="auto"/>
        <w:rPr>
          <w:sz w:val="20"/>
          <w:szCs w:val="20"/>
          <w:color w:val="auto"/>
        </w:rPr>
      </w:pPr>
      <w:r>
        <w:rPr>
          <w:rFonts w:ascii="Arial" w:cs="Arial" w:eastAsia="Arial" w:hAnsi="Arial"/>
          <w:sz w:val="18"/>
          <w:szCs w:val="18"/>
          <w:color w:val="auto"/>
        </w:rPr>
        <w:t>Conforming Changes. Any determination, decision or election that may be made by the Administrative Agent or, if applicable, any Lender (or group of Lenders)</w:t>
      </w:r>
      <w:r>
        <w:rPr>
          <w:rFonts w:ascii="Arial" w:cs="Arial" w:eastAsia="Arial" w:hAnsi="Arial"/>
          <w:sz w:val="18"/>
          <w:szCs w:val="18"/>
          <w:color w:val="FF0000"/>
          <w:strike w:val="1"/>
        </w:rPr>
        <w:t>,</w:t>
      </w:r>
      <w:r>
        <w:rPr>
          <w:rFonts w:ascii="Arial" w:cs="Arial" w:eastAsia="Arial" w:hAnsi="Arial"/>
          <w:sz w:val="18"/>
          <w:szCs w:val="18"/>
          <w:color w:val="auto"/>
        </w:rPr>
        <w:t xml:space="preserve"> pursuant to this Section including, without limitation, any determination with respect to a tenor, rate or adjustment, or</w:t>
      </w:r>
    </w:p>
    <w:p>
      <w:pPr>
        <w:spacing w:after="0" w:line="236" w:lineRule="auto"/>
        <w:rPr>
          <w:sz w:val="20"/>
          <w:szCs w:val="20"/>
          <w:color w:val="auto"/>
        </w:rPr>
      </w:pPr>
      <w:r>
        <w:rPr>
          <w:rFonts w:ascii="Arial" w:cs="Arial" w:eastAsia="Arial" w:hAnsi="Arial"/>
          <w:sz w:val="18"/>
          <w:szCs w:val="18"/>
          <w:color w:val="auto"/>
        </w:rPr>
        <w:t>implementation of any Benchmark Replacement Conforming Changes, the timing of implementation of any Benchmark Replacement or of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occurrence or non-occurrence of an event, circumstance or date and any decision to take or refrain from taking any action, will be conclusive and binding on all parties hereto absent manifest error and may be made in its or their, as applicable, sole discretion and without</w:t>
      </w:r>
    </w:p>
    <w:p>
      <w:pPr>
        <w:spacing w:after="0" w:line="236" w:lineRule="auto"/>
        <w:rPr>
          <w:sz w:val="20"/>
          <w:szCs w:val="20"/>
          <w:color w:val="auto"/>
        </w:rPr>
      </w:pPr>
      <w:r>
        <w:rPr>
          <w:rFonts w:ascii="Arial" w:cs="Arial" w:eastAsia="Arial" w:hAnsi="Arial"/>
          <w:sz w:val="18"/>
          <w:szCs w:val="18"/>
          <w:color w:val="auto"/>
        </w:rPr>
        <w:t>consent from any other party to this Agreement or any other Loan Document, except, in each case, as expressly required pursuant to this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Section, and shall not be a basis of any claim of liability of any kind or nature by any party hereto, all such claims being hereby waived individually by each party hereto.</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Unavailability</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Period</w:t>
      </w:r>
      <w:r>
        <w:rPr>
          <w:rFonts w:ascii="Arial" w:cs="Arial" w:eastAsia="Arial" w:hAnsi="Arial"/>
          <w:sz w:val="18"/>
          <w:szCs w:val="18"/>
          <w:u w:val="single" w:color="auto"/>
          <w:color w:val="0000FF"/>
        </w:rPr>
        <w:t>of Tenor of Benchmark</w:t>
      </w:r>
      <w:r>
        <w:rPr>
          <w:rFonts w:ascii="Arial" w:cs="Arial" w:eastAsia="Arial" w:hAnsi="Arial"/>
          <w:sz w:val="18"/>
          <w:szCs w:val="18"/>
          <w:color w:val="auto"/>
        </w:rPr>
        <w:t xml:space="preserve">. At any time (including in connection with the implementation of a Benchmark Replacement), (i) if a then-current Benchmark is a term rate (including </w:t>
      </w:r>
      <w:r>
        <w:rPr>
          <w:rFonts w:ascii="Arial" w:cs="Arial" w:eastAsia="Arial" w:hAnsi="Arial"/>
          <w:sz w:val="18"/>
          <w:szCs w:val="18"/>
          <w:u w:val="single" w:color="auto"/>
          <w:color w:val="0000FF"/>
        </w:rPr>
        <w:t>Adjusted</w:t>
      </w:r>
      <w:r>
        <w:rPr>
          <w:rFonts w:ascii="Arial" w:cs="Arial" w:eastAsia="Arial" w:hAnsi="Arial"/>
          <w:sz w:val="18"/>
          <w:szCs w:val="18"/>
          <w:color w:val="auto"/>
        </w:rPr>
        <w:t xml:space="preserve"> Term SOFR</w:t>
      </w:r>
      <w:r>
        <w:rPr>
          <w:rFonts w:ascii="Arial" w:cs="Arial" w:eastAsia="Arial" w:hAnsi="Arial"/>
          <w:sz w:val="18"/>
          <w:szCs w:val="18"/>
          <w:color w:val="FF0000"/>
          <w:strike w:val="1"/>
        </w:rPr>
        <w:t>, LIBOR, or</w:t>
      </w:r>
    </w:p>
    <w:p>
      <w:pPr>
        <w:spacing w:after="0" w:line="235" w:lineRule="auto"/>
        <w:rPr>
          <w:sz w:val="20"/>
          <w:szCs w:val="20"/>
          <w:color w:val="auto"/>
        </w:rPr>
      </w:pPr>
      <w:r>
        <w:rPr>
          <w:rFonts w:ascii="Arial" w:cs="Arial" w:eastAsia="Arial" w:hAnsi="Arial"/>
          <w:sz w:val="18"/>
          <w:szCs w:val="18"/>
          <w:color w:val="FF0000"/>
          <w:strike w:val="1"/>
        </w:rPr>
        <w:t>any alternative rate selected in an Early Opt-in Election), then</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may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modify the definition of “Interest Period” (or</w:t>
      </w:r>
    </w:p>
    <w:p>
      <w:pPr>
        <w:spacing w:after="0" w:line="226" w:lineRule="auto"/>
        <w:rPr>
          <w:sz w:val="20"/>
          <w:szCs w:val="20"/>
          <w:color w:val="auto"/>
        </w:rPr>
      </w:pPr>
      <w:r>
        <w:rPr>
          <w:rFonts w:ascii="Arial" w:cs="Arial" w:eastAsia="Arial" w:hAnsi="Arial"/>
          <w:sz w:val="18"/>
          <w:szCs w:val="18"/>
          <w:u w:val="single" w:color="auto"/>
          <w:color w:val="0000FF"/>
        </w:rPr>
        <w:t>any similar or analogous definition) to</w:t>
      </w:r>
      <w:r>
        <w:rPr>
          <w:rFonts w:ascii="Arial" w:cs="Arial" w:eastAsia="Arial" w:hAnsi="Arial"/>
          <w:sz w:val="18"/>
          <w:szCs w:val="18"/>
          <w:color w:val="0000FF"/>
        </w:rPr>
        <w:t xml:space="preserve"> </w:t>
      </w:r>
      <w:r>
        <w:rPr>
          <w:rFonts w:ascii="Arial" w:cs="Arial" w:eastAsia="Arial" w:hAnsi="Arial"/>
          <w:sz w:val="18"/>
          <w:szCs w:val="18"/>
          <w:color w:val="000000"/>
        </w:rPr>
        <w:t>remove any tenor of such Benchmark that is unavailable or non-representative for such Benchmark</w:t>
      </w:r>
      <w:r>
        <w:rPr>
          <w:rFonts w:ascii="Arial" w:cs="Arial" w:eastAsia="Arial" w:hAnsi="Arial"/>
          <w:sz w:val="18"/>
          <w:szCs w:val="18"/>
          <w:color w:val="0000FF"/>
        </w:rPr>
        <w:t xml:space="preserve"> </w:t>
      </w:r>
      <w:r>
        <w:rPr>
          <w:rFonts w:ascii="Arial" w:cs="Arial" w:eastAsia="Arial" w:hAnsi="Arial"/>
          <w:sz w:val="18"/>
          <w:szCs w:val="18"/>
          <w:color w:val="000000"/>
        </w:rPr>
        <w:t>(including any Benchmark Replacement) settings and (ii) if such tenor becomes available or representative, the Administrative Agent may</w:t>
      </w:r>
    </w:p>
    <w:p>
      <w:pPr>
        <w:spacing w:after="0" w:line="224" w:lineRule="auto"/>
        <w:rPr>
          <w:sz w:val="20"/>
          <w:szCs w:val="20"/>
          <w:color w:val="auto"/>
        </w:rPr>
      </w:pPr>
      <w:r>
        <w:rPr>
          <w:rFonts w:ascii="Arial" w:cs="Arial" w:eastAsia="Arial" w:hAnsi="Arial"/>
          <w:sz w:val="19"/>
          <w:szCs w:val="19"/>
          <w:u w:val="single" w:color="auto"/>
          <w:color w:val="0000FF"/>
        </w:rPr>
        <w:t>modify the definition of “Interest Period” (or any similar or analogous definition) to</w:t>
      </w:r>
      <w:r>
        <w:rPr>
          <w:rFonts w:ascii="Arial" w:cs="Arial" w:eastAsia="Arial" w:hAnsi="Arial"/>
          <w:sz w:val="19"/>
          <w:szCs w:val="19"/>
          <w:color w:val="0000FF"/>
        </w:rPr>
        <w:t xml:space="preserve"> </w:t>
      </w:r>
      <w:r>
        <w:rPr>
          <w:rFonts w:ascii="Arial" w:cs="Arial" w:eastAsia="Arial" w:hAnsi="Arial"/>
          <w:sz w:val="19"/>
          <w:szCs w:val="19"/>
          <w:color w:val="000000"/>
        </w:rPr>
        <w:t>reinstate any previously removed tenor for such</w:t>
      </w:r>
    </w:p>
    <w:p>
      <w:pPr>
        <w:spacing w:after="0"/>
        <w:rPr>
          <w:sz w:val="20"/>
          <w:szCs w:val="20"/>
          <w:color w:val="auto"/>
        </w:rPr>
      </w:pPr>
      <w:r>
        <w:rPr>
          <w:rFonts w:ascii="Arial" w:cs="Arial" w:eastAsia="Arial" w:hAnsi="Arial"/>
          <w:sz w:val="20"/>
          <w:szCs w:val="20"/>
          <w:color w:val="auto"/>
        </w:rPr>
        <w:t>Benchmark (including any Benchmark Replacement) settings.</w:t>
      </w:r>
    </w:p>
    <w:p>
      <w:pPr>
        <w:spacing w:after="0" w:line="15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f</w:t>
      </w:r>
      <w:r>
        <w:rPr>
          <w:rFonts w:ascii="Arial" w:cs="Arial" w:eastAsia="Arial" w:hAnsi="Arial"/>
          <w:sz w:val="20"/>
          <w:szCs w:val="20"/>
          <w:u w:val="single" w:color="auto"/>
          <w:color w:val="0000FF"/>
        </w:rPr>
        <w:t>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Certain Defined Terms</w:t>
      </w:r>
      <w:r>
        <w:rPr>
          <w:rFonts w:ascii="Arial" w:cs="Arial" w:eastAsia="Arial" w:hAnsi="Arial"/>
          <w:sz w:val="20"/>
          <w:szCs w:val="20"/>
          <w:color w:val="auto"/>
        </w:rPr>
        <w:t xml:space="preserve">. As used in this Section </w:t>
      </w:r>
      <w:r>
        <w:rPr>
          <w:rFonts w:ascii="Arial" w:cs="Arial" w:eastAsia="Arial" w:hAnsi="Arial"/>
          <w:sz w:val="20"/>
          <w:szCs w:val="20"/>
          <w:u w:val="single" w:color="auto"/>
          <w:color w:val="0000FF"/>
        </w:rPr>
        <w:t>2.23, Section 1.01</w:t>
      </w:r>
      <w:r>
        <w:rPr>
          <w:rFonts w:ascii="Arial" w:cs="Arial" w:eastAsia="Arial" w:hAnsi="Arial"/>
          <w:sz w:val="20"/>
          <w:szCs w:val="20"/>
          <w:color w:val="auto"/>
        </w:rPr>
        <w:t xml:space="preserve"> and Section 1.07, the following terms have the following meanings:</w:t>
      </w:r>
    </w:p>
    <w:p>
      <w:pPr>
        <w:spacing w:after="0" w:line="169" w:lineRule="exact"/>
        <w:rPr>
          <w:sz w:val="20"/>
          <w:szCs w:val="20"/>
          <w:color w:val="auto"/>
        </w:rPr>
      </w:pPr>
    </w:p>
    <w:p>
      <w:pPr>
        <w:ind w:left="1300" w:right="20" w:firstLine="648"/>
        <w:spacing w:after="0" w:line="23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Adjusted Daily Simple SOFR</w:t>
      </w:r>
      <w:r>
        <w:rPr>
          <w:rFonts w:ascii="Arial" w:cs="Arial" w:eastAsia="Arial" w:hAnsi="Arial"/>
          <w:sz w:val="18"/>
          <w:szCs w:val="18"/>
          <w:u w:val="single" w:color="auto"/>
          <w:color w:val="0000FF"/>
        </w:rPr>
        <w:t xml:space="preserve">” means with respect to any Daily Simple SOFR Loan, a rate per annum equal to the sum of (a) Daily Simple SOFR and (b) the SOFR Index Adjustment;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however</w:t>
      </w:r>
      <w:r>
        <w:rPr>
          <w:rFonts w:ascii="Arial" w:cs="Arial" w:eastAsia="Arial" w:hAnsi="Arial"/>
          <w:sz w:val="18"/>
          <w:szCs w:val="18"/>
          <w:u w:val="single" w:color="auto"/>
          <w:color w:val="0000FF"/>
        </w:rPr>
        <w:t>, that if Adjusted Daily Simple SOFR</w:t>
      </w:r>
    </w:p>
    <w:p>
      <w:pPr>
        <w:ind w:left="1300"/>
        <w:spacing w:after="0"/>
        <w:rPr>
          <w:sz w:val="20"/>
          <w:szCs w:val="20"/>
          <w:color w:val="auto"/>
        </w:rPr>
      </w:pPr>
      <w:r>
        <w:rPr>
          <w:rFonts w:ascii="Arial" w:cs="Arial" w:eastAsia="Arial" w:hAnsi="Arial"/>
          <w:sz w:val="20"/>
          <w:szCs w:val="20"/>
          <w:u w:val="single" w:color="auto"/>
          <w:color w:val="0000FF"/>
        </w:rPr>
        <w:t>as determined above would be less than 0%, Adjusted Daily Simple SOFR shall be deemed to be 0%.</w:t>
      </w:r>
    </w:p>
    <w:p>
      <w:pPr>
        <w:spacing w:after="0" w:line="173" w:lineRule="exact"/>
        <w:rPr>
          <w:sz w:val="20"/>
          <w:szCs w:val="20"/>
          <w:color w:val="auto"/>
        </w:rPr>
      </w:pPr>
    </w:p>
    <w:p>
      <w:pPr>
        <w:ind w:left="1300"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Tenor</w:t>
      </w:r>
      <w:r>
        <w:rPr>
          <w:rFonts w:ascii="Arial" w:cs="Arial" w:eastAsia="Arial" w:hAnsi="Arial"/>
          <w:sz w:val="19"/>
          <w:szCs w:val="19"/>
          <w:color w:val="auto"/>
        </w:rPr>
        <w:t>” means, as of any date of determination and with respect to the then-current Benchmark, as applicable, (x) if the then-current Benchmark is a term rate, any tenor for such Benchmark that is or may be used for</w:t>
      </w:r>
    </w:p>
    <w:p>
      <w:pPr>
        <w:ind w:left="1300"/>
        <w:spacing w:after="0" w:line="236" w:lineRule="auto"/>
        <w:rPr>
          <w:sz w:val="20"/>
          <w:szCs w:val="20"/>
          <w:color w:val="auto"/>
        </w:rPr>
      </w:pPr>
      <w:r>
        <w:rPr>
          <w:rFonts w:ascii="Arial" w:cs="Arial" w:eastAsia="Arial" w:hAnsi="Arial"/>
          <w:sz w:val="18"/>
          <w:szCs w:val="18"/>
          <w:color w:val="auto"/>
        </w:rPr>
        <w:t>determining the length of an Interest Period or (y) otherwise, any payment period for interest calculated with reference to</w:t>
      </w:r>
    </w:p>
    <w:p>
      <w:pPr>
        <w:ind w:left="1300"/>
        <w:spacing w:after="0" w:line="250" w:lineRule="auto"/>
        <w:rPr>
          <w:sz w:val="20"/>
          <w:szCs w:val="20"/>
          <w:color w:val="auto"/>
        </w:rPr>
      </w:pPr>
      <w:r>
        <w:rPr>
          <w:rFonts w:ascii="Arial" w:cs="Arial" w:eastAsia="Arial" w:hAnsi="Arial"/>
          <w:sz w:val="18"/>
          <w:szCs w:val="18"/>
          <w:color w:val="auto"/>
        </w:rPr>
        <w:t>such Benchmark, as applicable, pursuant to this Agreement as of such date</w:t>
      </w:r>
      <w:r>
        <w:rPr>
          <w:rFonts w:ascii="Arial" w:cs="Arial" w:eastAsia="Arial" w:hAnsi="Arial"/>
          <w:sz w:val="18"/>
          <w:szCs w:val="18"/>
          <w:u w:val="single" w:color="auto"/>
          <w:color w:val="0000FF"/>
        </w:rPr>
        <w:t>; provided that any tenor for a Benchmark that is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then-removed from the definition of “Interest Period” pursuant to Section 2.23(d) shall not be an Available Tenor</w:t>
      </w:r>
      <w:r>
        <w:rPr>
          <w:rFonts w:ascii="Arial" w:cs="Arial" w:eastAsia="Arial" w:hAnsi="Arial"/>
          <w:sz w:val="18"/>
          <w:szCs w:val="18"/>
          <w:color w:val="000000"/>
        </w:rPr>
        <w: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w:t>
      </w:r>
      <w:r>
        <w:rPr>
          <w:rFonts w:ascii="Arial" w:cs="Arial" w:eastAsia="Arial" w:hAnsi="Arial"/>
          <w:sz w:val="19"/>
          <w:szCs w:val="19"/>
          <w:color w:val="auto"/>
        </w:rPr>
        <w:t xml:space="preserve">” means, initially,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w:t>
      </w:r>
      <w:r>
        <w:rPr>
          <w:rFonts w:ascii="Arial" w:cs="Arial" w:eastAsia="Arial" w:hAnsi="Arial"/>
          <w:sz w:val="19"/>
          <w:szCs w:val="19"/>
          <w:color w:val="FF0000"/>
          <w:strike w:val="1"/>
        </w:rPr>
        <w:t>replacement for the</w:t>
      </w:r>
      <w:r>
        <w:rPr>
          <w:rFonts w:ascii="Arial" w:cs="Arial" w:eastAsia="Arial" w:hAnsi="Arial"/>
          <w:sz w:val="19"/>
          <w:szCs w:val="19"/>
          <w:color w:val="auto"/>
        </w:rPr>
        <w:t xml:space="preserve"> Benchmark</w:t>
      </w:r>
    </w:p>
    <w:p>
      <w:pPr>
        <w:ind w:left="1300"/>
        <w:spacing w:after="0" w:line="226" w:lineRule="auto"/>
        <w:rPr>
          <w:sz w:val="20"/>
          <w:szCs w:val="20"/>
          <w:color w:val="auto"/>
        </w:rPr>
      </w:pPr>
      <w:r>
        <w:rPr>
          <w:rFonts w:ascii="Arial" w:cs="Arial" w:eastAsia="Arial" w:hAnsi="Arial"/>
          <w:sz w:val="18"/>
          <w:szCs w:val="18"/>
          <w:u w:val="single" w:color="auto"/>
          <w:color w:val="0000FF"/>
        </w:rPr>
        <w:t>Transition Event</w:t>
      </w:r>
      <w:r>
        <w:rPr>
          <w:rFonts w:ascii="Arial" w:cs="Arial" w:eastAsia="Arial" w:hAnsi="Arial"/>
          <w:sz w:val="18"/>
          <w:szCs w:val="18"/>
          <w:color w:val="0000FF"/>
        </w:rPr>
        <w:t xml:space="preserve"> </w:t>
      </w:r>
      <w:r>
        <w:rPr>
          <w:rFonts w:ascii="Arial" w:cs="Arial" w:eastAsia="Arial" w:hAnsi="Arial"/>
          <w:sz w:val="18"/>
          <w:szCs w:val="18"/>
          <w:color w:val="000000"/>
        </w:rPr>
        <w:t>has occurred</w:t>
      </w:r>
      <w:r>
        <w:rPr>
          <w:rFonts w:ascii="Arial" w:cs="Arial" w:eastAsia="Arial" w:hAnsi="Arial"/>
          <w:sz w:val="18"/>
          <w:szCs w:val="18"/>
          <w:color w:val="0000FF"/>
        </w:rPr>
        <w:t xml:space="preserve"> </w:t>
      </w:r>
      <w:r>
        <w:rPr>
          <w:rFonts w:ascii="Arial" w:cs="Arial" w:eastAsia="Arial" w:hAnsi="Arial"/>
          <w:sz w:val="18"/>
          <w:szCs w:val="18"/>
          <w:color w:val="FF0000"/>
          <w:strike w:val="1"/>
        </w:rPr>
        <w:t>pursuant to this Section</w:t>
      </w:r>
      <w:r>
        <w:rPr>
          <w:rFonts w:ascii="Arial" w:cs="Arial" w:eastAsia="Arial" w:hAnsi="Arial"/>
          <w:sz w:val="18"/>
          <w:szCs w:val="18"/>
          <w:u w:val="single" w:color="auto"/>
          <w:color w:val="0000FF"/>
        </w:rPr>
        <w:t>with respect to the applicable then-current Benchmark</w:t>
      </w:r>
      <w:r>
        <w:rPr>
          <w:rFonts w:ascii="Arial" w:cs="Arial" w:eastAsia="Arial" w:hAnsi="Arial"/>
          <w:sz w:val="18"/>
          <w:szCs w:val="18"/>
          <w:color w:val="000000"/>
        </w:rPr>
        <w:t>, then</w:t>
      </w:r>
      <w:r>
        <w:rPr>
          <w:rFonts w:ascii="Arial" w:cs="Arial" w:eastAsia="Arial" w:hAnsi="Arial"/>
          <w:sz w:val="18"/>
          <w:szCs w:val="18"/>
          <w:color w:val="0000FF"/>
        </w:rPr>
        <w:t xml:space="preserve"> </w:t>
      </w:r>
      <w:r>
        <w:rPr>
          <w:rFonts w:ascii="Arial" w:cs="Arial" w:eastAsia="Arial" w:hAnsi="Arial"/>
          <w:sz w:val="18"/>
          <w:szCs w:val="18"/>
          <w:color w:val="000000"/>
        </w:rPr>
        <w:t>“Benchmark” means the applicable Benchmark Replacement to the extent that such Benchmark Replacement has replaced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such prior benchmark rate </w:t>
      </w:r>
      <w:r>
        <w:rPr>
          <w:rFonts w:ascii="Arial" w:cs="Arial" w:eastAsia="Arial" w:hAnsi="Arial"/>
          <w:sz w:val="20"/>
          <w:szCs w:val="20"/>
          <w:u w:val="single" w:color="auto"/>
          <w:color w:val="0000FF"/>
        </w:rPr>
        <w:t>pursuant to Section 2.23(a)</w:t>
      </w:r>
      <w:r>
        <w:rPr>
          <w:rFonts w:ascii="Arial" w:cs="Arial" w:eastAsia="Arial" w:hAnsi="Arial"/>
          <w:sz w:val="20"/>
          <w:szCs w:val="20"/>
          <w:color w:val="auto"/>
        </w:rPr>
        <w:t>. Any reference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80" w:name="page81"/>
    <w:bookmarkEnd w:id="80"/>
    <w:p>
      <w:pPr>
        <w:ind w:left="1280"/>
        <w:spacing w:after="0"/>
        <w:rPr>
          <w:sz w:val="20"/>
          <w:szCs w:val="20"/>
          <w:color w:val="auto"/>
        </w:rPr>
      </w:pPr>
      <w:r>
        <w:rPr>
          <w:rFonts w:ascii="Arial" w:cs="Arial" w:eastAsia="Arial" w:hAnsi="Arial"/>
          <w:sz w:val="20"/>
          <w:szCs w:val="20"/>
          <w:color w:val="auto"/>
        </w:rPr>
        <w:t>“Benchmark” shall include, as applicable, the published component used in the calculation thereof.</w:t>
      </w:r>
    </w:p>
    <w:p>
      <w:pPr>
        <w:spacing w:after="0" w:line="189" w:lineRule="exact"/>
        <w:rPr>
          <w:sz w:val="20"/>
          <w:szCs w:val="20"/>
          <w:color w:val="auto"/>
        </w:rPr>
      </w:pPr>
    </w:p>
    <w:p>
      <w:pPr>
        <w:ind w:left="128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Replacement</w:t>
      </w:r>
      <w:r>
        <w:rPr>
          <w:rFonts w:ascii="Arial" w:cs="Arial" w:eastAsia="Arial" w:hAnsi="Arial"/>
          <w:sz w:val="18"/>
          <w:szCs w:val="18"/>
          <w:color w:val="auto"/>
        </w:rPr>
        <w:t>” means, for any Available Tenor</w:t>
      </w:r>
      <w:r>
        <w:rPr>
          <w:rFonts w:ascii="Arial" w:cs="Arial" w:eastAsia="Arial" w:hAnsi="Arial"/>
          <w:sz w:val="18"/>
          <w:szCs w:val="18"/>
          <w:u w:val="single" w:color="auto"/>
          <w:color w:val="0000FF"/>
        </w:rPr>
        <w:t>, the first alternative set forth in the order</w:t>
      </w:r>
      <w:r>
        <w:rPr>
          <w:rFonts w:ascii="Arial" w:cs="Arial" w:eastAsia="Arial" w:hAnsi="Arial"/>
          <w:sz w:val="18"/>
          <w:szCs w:val="18"/>
          <w:color w:val="auto"/>
        </w:rPr>
        <w:t xml:space="preserve"> </w:t>
      </w:r>
      <w:r>
        <w:rPr>
          <w:rFonts w:ascii="Arial" w:cs="Arial" w:eastAsia="Arial" w:hAnsi="Arial"/>
          <w:sz w:val="18"/>
          <w:szCs w:val="18"/>
          <w:u w:val="single" w:color="auto"/>
          <w:color w:val="008000"/>
        </w:rPr>
        <w:t>below that can</w:t>
      </w:r>
      <w:r>
        <w:rPr>
          <w:rFonts w:ascii="Arial" w:cs="Arial" w:eastAsia="Arial" w:hAnsi="Arial"/>
          <w:sz w:val="18"/>
          <w:szCs w:val="18"/>
          <w:color w:val="auto"/>
        </w:rPr>
        <w:t xml:space="preserve"> </w:t>
      </w:r>
      <w:r>
        <w:rPr>
          <w:rFonts w:ascii="Arial" w:cs="Arial" w:eastAsia="Arial" w:hAnsi="Arial"/>
          <w:sz w:val="18"/>
          <w:szCs w:val="18"/>
          <w:u w:val="single" w:color="auto"/>
          <w:color w:val="008000"/>
        </w:rPr>
        <w:t>be determined by the Administrative Agent for the</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relevant then-current Benchmark on the Benchmark Replacement Date</w:t>
      </w:r>
      <w:r>
        <w:rPr>
          <w:rFonts w:ascii="Arial" w:cs="Arial" w:eastAsia="Arial" w:hAnsi="Arial"/>
          <w:sz w:val="18"/>
          <w:szCs w:val="18"/>
          <w:color w:val="000000"/>
        </w:rPr>
        <w:t>:</w:t>
      </w:r>
    </w:p>
    <w:p>
      <w:pPr>
        <w:spacing w:after="0" w:line="144" w:lineRule="exact"/>
        <w:rPr>
          <w:sz w:val="20"/>
          <w:szCs w:val="20"/>
          <w:color w:val="auto"/>
        </w:rPr>
      </w:pPr>
    </w:p>
    <w:p>
      <w:pPr>
        <w:ind w:left="3000" w:hanging="420"/>
        <w:spacing w:after="0"/>
        <w:tabs>
          <w:tab w:leader="none" w:pos="3000" w:val="left"/>
        </w:tabs>
        <w:numPr>
          <w:ilvl w:val="1"/>
          <w:numId w:val="54"/>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Adjusted Daily Simple SOFR; or</w:t>
      </w:r>
    </w:p>
    <w:p>
      <w:pPr>
        <w:spacing w:after="0" w:line="188" w:lineRule="exact"/>
        <w:rPr>
          <w:rFonts w:ascii="Arial" w:cs="Arial" w:eastAsia="Arial" w:hAnsi="Arial"/>
          <w:sz w:val="20"/>
          <w:szCs w:val="20"/>
          <w:u w:val="single" w:color="auto"/>
          <w:color w:val="0000FF"/>
        </w:rPr>
      </w:pPr>
    </w:p>
    <w:p>
      <w:pPr>
        <w:ind w:left="1280" w:right="20" w:firstLine="652"/>
        <w:spacing w:after="0" w:line="229" w:lineRule="auto"/>
        <w:tabs>
          <w:tab w:leader="none" w:pos="2424" w:val="left"/>
        </w:tabs>
        <w:numPr>
          <w:ilvl w:val="0"/>
          <w:numId w:val="55"/>
        </w:numPr>
        <w:rPr>
          <w:rFonts w:ascii="Arial" w:cs="Arial" w:eastAsia="Arial" w:hAnsi="Arial"/>
          <w:sz w:val="20"/>
          <w:szCs w:val="20"/>
          <w:color w:val="FF0000"/>
          <w:strike w:val="1"/>
        </w:rPr>
      </w:pPr>
      <w:r>
        <w:rPr>
          <w:rFonts w:ascii="Arial" w:cs="Arial" w:eastAsia="Arial" w:hAnsi="Arial"/>
          <w:sz w:val="20"/>
          <w:szCs w:val="20"/>
          <w:color w:val="FF0000"/>
          <w:strike w:val="1"/>
        </w:rPr>
        <w:t xml:space="preserve">for purposes of clause (a) of this Section, the first alternative set forth </w:t>
      </w:r>
      <w:r>
        <w:rPr>
          <w:rFonts w:ascii="Arial" w:cs="Arial" w:eastAsia="Arial" w:hAnsi="Arial"/>
          <w:sz w:val="20"/>
          <w:szCs w:val="20"/>
          <w:color w:val="008000"/>
          <w:strike w:val="1"/>
        </w:rPr>
        <w:t>below that can be determined by the</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Administrative Agent for the </w:t>
      </w:r>
      <w:r>
        <w:rPr>
          <w:rFonts w:ascii="Arial" w:cs="Arial" w:eastAsia="Arial" w:hAnsi="Arial"/>
          <w:sz w:val="20"/>
          <w:szCs w:val="20"/>
          <w:color w:val="FF0000"/>
          <w:strike w:val="1"/>
        </w:rPr>
        <w:t>applicable Benchmark:</w:t>
      </w:r>
    </w:p>
    <w:p>
      <w:pPr>
        <w:spacing w:after="0" w:line="168" w:lineRule="exact"/>
        <w:rPr>
          <w:rFonts w:ascii="Arial" w:cs="Arial" w:eastAsia="Arial" w:hAnsi="Arial"/>
          <w:sz w:val="20"/>
          <w:szCs w:val="20"/>
          <w:color w:val="FF0000"/>
          <w:strike w:val="1"/>
        </w:rPr>
      </w:pPr>
    </w:p>
    <w:p>
      <w:pPr>
        <w:jc w:val="both"/>
        <w:ind w:left="1280" w:firstLine="652"/>
        <w:spacing w:after="0" w:line="223" w:lineRule="auto"/>
        <w:tabs>
          <w:tab w:leader="none" w:pos="2437" w:val="left"/>
        </w:tabs>
        <w:numPr>
          <w:ilvl w:val="0"/>
          <w:numId w:val="55"/>
        </w:numPr>
        <w:rPr>
          <w:rFonts w:ascii="Arial" w:cs="Arial" w:eastAsia="Arial" w:hAnsi="Arial"/>
          <w:sz w:val="20"/>
          <w:szCs w:val="20"/>
          <w:color w:val="FF0000"/>
          <w:strike w:val="1"/>
        </w:rPr>
      </w:pPr>
      <w:r>
        <w:rPr>
          <w:rFonts w:ascii="Arial" w:cs="Arial" w:eastAsia="Arial" w:hAnsi="Arial"/>
          <w:sz w:val="20"/>
          <w:szCs w:val="20"/>
          <w:color w:val="FF0000"/>
          <w:strike w:val="1"/>
        </w:rPr>
        <w:t>the sum of: (i) Term SOFR and (ii) 0.11448% (11.448 basis points) for an Available Tenor of one-month’s duration, 0.26161% (26.161 basis points) for an Available Tenor of three-months’ duration, and 0.42826% (42.826 basis points) for an Available Tenor of six-months’ duration; or</w:t>
      </w:r>
    </w:p>
    <w:p>
      <w:pPr>
        <w:spacing w:after="0" w:line="168" w:lineRule="exact"/>
        <w:rPr>
          <w:rFonts w:ascii="Arial" w:cs="Arial" w:eastAsia="Arial" w:hAnsi="Arial"/>
          <w:sz w:val="20"/>
          <w:szCs w:val="20"/>
          <w:color w:val="FF0000"/>
          <w:strike w:val="1"/>
        </w:rPr>
      </w:pPr>
    </w:p>
    <w:p>
      <w:pPr>
        <w:jc w:val="both"/>
        <w:ind w:left="1280" w:firstLine="652"/>
        <w:spacing w:after="0" w:line="231" w:lineRule="auto"/>
        <w:tabs>
          <w:tab w:leader="none" w:pos="2437" w:val="left"/>
        </w:tabs>
        <w:numPr>
          <w:ilvl w:val="0"/>
          <w:numId w:val="55"/>
        </w:numPr>
        <w:rPr>
          <w:rFonts w:ascii="Arial" w:cs="Arial" w:eastAsia="Arial" w:hAnsi="Arial"/>
          <w:sz w:val="19"/>
          <w:szCs w:val="19"/>
          <w:color w:val="FF0000"/>
          <w:strike w:val="1"/>
        </w:rPr>
      </w:pPr>
      <w:r>
        <w:rPr>
          <w:rFonts w:ascii="Arial" w:cs="Arial" w:eastAsia="Arial" w:hAnsi="Arial"/>
          <w:sz w:val="19"/>
          <w:szCs w:val="19"/>
          <w:color w:val="FF0000"/>
          <w:strike w:val="1"/>
        </w:rPr>
        <w:t xml:space="preserve">the sum of: (i) Daily Simple SOFR and (ii) the spread adjustment for an Available Tenor of three-months’ duration (0.26161% (26.161 basis points)); </w:t>
      </w:r>
      <w:r>
        <w:rPr>
          <w:rFonts w:ascii="Arial" w:cs="Arial" w:eastAsia="Arial" w:hAnsi="Arial"/>
          <w:sz w:val="19"/>
          <w:szCs w:val="19"/>
          <w:i w:val="1"/>
          <w:iCs w:val="1"/>
          <w:color w:val="FF0000"/>
          <w:strike w:val="1"/>
        </w:rPr>
        <w:t>provided</w:t>
      </w:r>
      <w:r>
        <w:rPr>
          <w:rFonts w:ascii="Arial" w:cs="Arial" w:eastAsia="Arial" w:hAnsi="Arial"/>
          <w:sz w:val="19"/>
          <w:szCs w:val="19"/>
          <w:color w:val="FF0000"/>
          <w:strike w:val="1"/>
        </w:rPr>
        <w:t xml:space="preserve">, </w:t>
      </w:r>
      <w:r>
        <w:rPr>
          <w:rFonts w:ascii="Arial" w:cs="Arial" w:eastAsia="Arial" w:hAnsi="Arial"/>
          <w:sz w:val="19"/>
          <w:szCs w:val="19"/>
          <w:i w:val="1"/>
          <w:iCs w:val="1"/>
          <w:color w:val="FF0000"/>
          <w:strike w:val="1"/>
        </w:rPr>
        <w:t>however</w:t>
      </w:r>
      <w:r>
        <w:rPr>
          <w:rFonts w:ascii="Arial" w:cs="Arial" w:eastAsia="Arial" w:hAnsi="Arial"/>
          <w:sz w:val="19"/>
          <w:szCs w:val="19"/>
          <w:color w:val="FF0000"/>
          <w:strike w:val="1"/>
        </w:rPr>
        <w:t>, that notwithstanding the foregoing clauses (a) and (b), if an Early Opt-in Election has been made, the Benchmark Replacement will be the sum of the benchmark rate selected in connection with such Early Opt-in Election plus the related Benchmark Replacement Adjustment; and</w:t>
      </w:r>
    </w:p>
    <w:p>
      <w:pPr>
        <w:spacing w:after="0" w:line="171" w:lineRule="exact"/>
        <w:rPr>
          <w:sz w:val="20"/>
          <w:szCs w:val="20"/>
          <w:color w:val="auto"/>
        </w:rPr>
      </w:pPr>
    </w:p>
    <w:p>
      <w:pPr>
        <w:jc w:val="both"/>
        <w:ind w:left="1280" w:right="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4</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w:t>
      </w:r>
      <w:r>
        <w:rPr>
          <w:rFonts w:ascii="Arial" w:cs="Arial" w:eastAsia="Arial" w:hAnsi="Arial"/>
          <w:sz w:val="18"/>
          <w:szCs w:val="18"/>
          <w:color w:val="FF0000"/>
          <w:strike w:val="1"/>
        </w:rPr>
        <w:t>for purposes of clause (b) of this Section,</w:t>
      </w:r>
      <w:r>
        <w:rPr>
          <w:rFonts w:ascii="Arial" w:cs="Arial" w:eastAsia="Arial" w:hAnsi="Arial"/>
          <w:sz w:val="18"/>
          <w:szCs w:val="18"/>
          <w:color w:val="auto"/>
        </w:rPr>
        <w:t xml:space="preserve"> the sum of: (a) the alternate benchmark rate selected by the Administrative Agent and the Borrower as the replacement for the relevant then-current Benchmark for the applicable</w:t>
      </w:r>
    </w:p>
    <w:p>
      <w:pPr>
        <w:ind w:left="1280"/>
        <w:spacing w:after="0" w:line="235" w:lineRule="auto"/>
        <w:rPr>
          <w:sz w:val="20"/>
          <w:szCs w:val="20"/>
          <w:color w:val="auto"/>
        </w:rPr>
      </w:pPr>
      <w:r>
        <w:rPr>
          <w:rFonts w:ascii="Arial" w:cs="Arial" w:eastAsia="Arial" w:hAnsi="Arial"/>
          <w:sz w:val="18"/>
          <w:szCs w:val="18"/>
          <w:color w:val="auto"/>
        </w:rPr>
        <w:t>Corresponding Tenor giving due consideration to (i) any selection or recommendation of a replacement benchmark rate or</w:t>
      </w:r>
    </w:p>
    <w:p>
      <w:pPr>
        <w:jc w:val="both"/>
        <w:ind w:left="1280"/>
        <w:spacing w:after="0" w:line="215" w:lineRule="auto"/>
        <w:rPr>
          <w:sz w:val="20"/>
          <w:szCs w:val="20"/>
          <w:color w:val="auto"/>
        </w:rPr>
      </w:pPr>
      <w:r>
        <w:rPr>
          <w:rFonts w:ascii="Arial" w:cs="Arial" w:eastAsia="Arial" w:hAnsi="Arial"/>
          <w:sz w:val="19"/>
          <w:szCs w:val="19"/>
          <w:color w:val="auto"/>
        </w:rPr>
        <w:t>the mechanism for determining such a rate by the Relevant Governmental Body or (ii) any evolving or then-prevailing market convention for determining a benchmark rate as a replacement for the relevant then-current Benchmark for</w:t>
      </w:r>
    </w:p>
    <w:p>
      <w:pPr>
        <w:jc w:val="both"/>
        <w:ind w:left="1280"/>
        <w:spacing w:after="0" w:line="226" w:lineRule="auto"/>
        <w:rPr>
          <w:sz w:val="20"/>
          <w:szCs w:val="20"/>
          <w:color w:val="auto"/>
        </w:rPr>
      </w:pPr>
      <w:r>
        <w:rPr>
          <w:rFonts w:ascii="Arial" w:cs="Arial" w:eastAsia="Arial" w:hAnsi="Arial"/>
          <w:sz w:val="18"/>
          <w:szCs w:val="18"/>
          <w:color w:val="auto"/>
        </w:rPr>
        <w:t xml:space="preserve">syndicated credit facilities denominated in Dollars at such time </w:t>
      </w:r>
      <w:r>
        <w:rPr>
          <w:rFonts w:ascii="Arial" w:cs="Arial" w:eastAsia="Arial" w:hAnsi="Arial"/>
          <w:sz w:val="18"/>
          <w:szCs w:val="18"/>
          <w:u w:val="single" w:color="auto"/>
          <w:color w:val="0000FF"/>
        </w:rPr>
        <w:t>(in each case, rounded to the nearest 1/100,000th (one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hundred-thousandth) of a percentage point (or five decimal points))</w:t>
      </w:r>
      <w:r>
        <w:rPr>
          <w:rFonts w:ascii="Arial" w:cs="Arial" w:eastAsia="Arial" w:hAnsi="Arial"/>
          <w:sz w:val="18"/>
          <w:szCs w:val="18"/>
          <w:color w:val="0000FF"/>
        </w:rPr>
        <w:t xml:space="preserve"> </w:t>
      </w:r>
      <w:r>
        <w:rPr>
          <w:rFonts w:ascii="Arial" w:cs="Arial" w:eastAsia="Arial" w:hAnsi="Arial"/>
          <w:sz w:val="18"/>
          <w:szCs w:val="18"/>
          <w:color w:val="000000"/>
        </w:rPr>
        <w:t>and (b) the related Benchmark Replacement Adjustment;</w:t>
      </w:r>
    </w:p>
    <w:p>
      <w:pPr>
        <w:spacing w:after="0" w:line="2" w:lineRule="exact"/>
        <w:rPr>
          <w:sz w:val="20"/>
          <w:szCs w:val="20"/>
          <w:color w:val="auto"/>
        </w:rPr>
      </w:pPr>
    </w:p>
    <w:p>
      <w:pPr>
        <w:jc w:val="both"/>
        <w:ind w:left="1280"/>
        <w:spacing w:after="0" w:line="227" w:lineRule="auto"/>
        <w:rPr>
          <w:sz w:val="20"/>
          <w:szCs w:val="20"/>
          <w:color w:val="auto"/>
        </w:rPr>
      </w:pPr>
      <w:r>
        <w:rPr>
          <w:rFonts w:ascii="Arial" w:cs="Arial" w:eastAsia="Arial" w:hAnsi="Arial"/>
          <w:sz w:val="20"/>
          <w:szCs w:val="20"/>
          <w:u w:val="single" w:color="auto"/>
          <w:color w:val="0000FF"/>
        </w:rPr>
        <w:t>provided that any such Benchmark Replacement shall be administratively feasible as determined by the Administrative Agent in its sole discretion;</w:t>
      </w:r>
    </w:p>
    <w:p>
      <w:pPr>
        <w:spacing w:after="0" w:line="156" w:lineRule="exact"/>
        <w:rPr>
          <w:sz w:val="20"/>
          <w:szCs w:val="20"/>
          <w:color w:val="auto"/>
        </w:rPr>
      </w:pPr>
    </w:p>
    <w:p>
      <w:pPr>
        <w:jc w:val="both"/>
        <w:ind w:left="1280"/>
        <w:spacing w:after="0" w:line="227" w:lineRule="auto"/>
        <w:rPr>
          <w:sz w:val="20"/>
          <w:szCs w:val="20"/>
          <w:color w:val="auto"/>
        </w:rPr>
      </w:pPr>
      <w:r>
        <w:rPr>
          <w:rFonts w:ascii="Arial" w:cs="Arial" w:eastAsia="Arial" w:hAnsi="Arial"/>
          <w:sz w:val="20"/>
          <w:szCs w:val="20"/>
          <w:color w:val="auto"/>
        </w:rPr>
        <w:t>provided</w:t>
      </w:r>
      <w:r>
        <w:rPr>
          <w:rFonts w:ascii="Arial" w:cs="Arial" w:eastAsia="Arial" w:hAnsi="Arial"/>
          <w:sz w:val="20"/>
          <w:szCs w:val="20"/>
          <w:u w:val="single" w:color="auto"/>
          <w:color w:val="0000FF"/>
        </w:rPr>
        <w:t>, further,</w:t>
      </w:r>
      <w:r>
        <w:rPr>
          <w:rFonts w:ascii="Arial" w:cs="Arial" w:eastAsia="Arial" w:hAnsi="Arial"/>
          <w:sz w:val="20"/>
          <w:szCs w:val="20"/>
          <w:color w:val="auto"/>
        </w:rPr>
        <w:t xml:space="preserve"> that, if the Benchmark Replacement as determined pursuant to clause (1) or (2) above would be less than the Floor, the Benchmark Replacement will be deemed to be the Floor for all purposes of this Agreement and the other Loan Documents.</w:t>
      </w:r>
    </w:p>
    <w:p>
      <w:pPr>
        <w:spacing w:after="0" w:line="157" w:lineRule="exact"/>
        <w:rPr>
          <w:sz w:val="20"/>
          <w:szCs w:val="20"/>
          <w:color w:val="auto"/>
        </w:rPr>
      </w:pPr>
    </w:p>
    <w:p>
      <w:pPr>
        <w:jc w:val="both"/>
        <w:ind w:left="128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Replacement Adjustment</w:t>
      </w:r>
      <w:r>
        <w:rPr>
          <w:rFonts w:ascii="Arial" w:cs="Arial" w:eastAsia="Arial" w:hAnsi="Arial"/>
          <w:sz w:val="18"/>
          <w:szCs w:val="18"/>
          <w:color w:val="auto"/>
        </w:rPr>
        <w:t>” means, with respect to any replacement of a then-current Benchmark with an Unadjusted Benchmark Replacement for any applicable Interest Period and Available Tenor for any setting of such</w:t>
      </w:r>
    </w:p>
    <w:p>
      <w:pPr>
        <w:jc w:val="both"/>
        <w:ind w:left="1280"/>
        <w:spacing w:after="0" w:line="226" w:lineRule="auto"/>
        <w:rPr>
          <w:sz w:val="20"/>
          <w:szCs w:val="20"/>
          <w:color w:val="auto"/>
        </w:rPr>
      </w:pPr>
      <w:r>
        <w:rPr>
          <w:rFonts w:ascii="Arial" w:cs="Arial" w:eastAsia="Arial" w:hAnsi="Arial"/>
          <w:sz w:val="18"/>
          <w:szCs w:val="18"/>
          <w:color w:val="auto"/>
        </w:rPr>
        <w:t>Unadjusted Benchmark Replacement, the spread adjustment, or method for calculating or determining such spread adjustment</w:t>
      </w:r>
      <w:r>
        <w:rPr>
          <w:rFonts w:ascii="Arial" w:cs="Arial" w:eastAsia="Arial" w:hAnsi="Arial"/>
          <w:sz w:val="18"/>
          <w:szCs w:val="18"/>
          <w:color w:val="FF0000"/>
          <w:strike w:val="1"/>
        </w:rPr>
        <w:t>,</w:t>
      </w:r>
      <w:r>
        <w:rPr>
          <w:rFonts w:ascii="Arial" w:cs="Arial" w:eastAsia="Arial" w:hAnsi="Arial"/>
          <w:sz w:val="18"/>
          <w:szCs w:val="18"/>
          <w:color w:val="auto"/>
        </w:rPr>
        <w:t xml:space="preserve"> (which may be a positive or negative value or zero) that has been selected by the Administrative Agent and the</w:t>
      </w:r>
    </w:p>
    <w:p>
      <w:pPr>
        <w:ind w:left="1280"/>
        <w:spacing w:after="0" w:line="224" w:lineRule="auto"/>
        <w:rPr>
          <w:sz w:val="20"/>
          <w:szCs w:val="20"/>
          <w:color w:val="auto"/>
        </w:rPr>
      </w:pPr>
      <w:r>
        <w:rPr>
          <w:rFonts w:ascii="Arial" w:cs="Arial" w:eastAsia="Arial" w:hAnsi="Arial"/>
          <w:sz w:val="19"/>
          <w:szCs w:val="19"/>
          <w:color w:val="auto"/>
        </w:rPr>
        <w:t>Borrower for the applicable Corresponding Tenor giving due consideration to (i) any selection or recommendation of a</w:t>
      </w:r>
    </w:p>
    <w:p>
      <w:pPr>
        <w:jc w:val="both"/>
        <w:ind w:left="1280"/>
        <w:spacing w:after="0" w:line="255" w:lineRule="auto"/>
        <w:rPr>
          <w:sz w:val="20"/>
          <w:szCs w:val="20"/>
          <w:color w:val="auto"/>
        </w:rPr>
      </w:pPr>
      <w:r>
        <w:rPr>
          <w:rFonts w:ascii="Arial" w:cs="Arial" w:eastAsia="Arial" w:hAnsi="Arial"/>
          <w:sz w:val="16"/>
          <w:szCs w:val="16"/>
          <w:color w:val="auto"/>
        </w:rPr>
        <w:t>spread adjustment, or method for calculating or determining such spread adjustment, for the replacement of such Benchmark with the applicable Unadjusted Benchmark Replacement by the Relevant Governmental Body and/or (ii) any evolving or</w:t>
      </w:r>
    </w:p>
    <w:p>
      <w:pPr>
        <w:ind w:left="1280"/>
        <w:spacing w:after="0" w:line="223" w:lineRule="auto"/>
        <w:rPr>
          <w:sz w:val="20"/>
          <w:szCs w:val="20"/>
          <w:color w:val="auto"/>
        </w:rPr>
      </w:pPr>
      <w:r>
        <w:rPr>
          <w:rFonts w:ascii="Arial" w:cs="Arial" w:eastAsia="Arial" w:hAnsi="Arial"/>
          <w:sz w:val="19"/>
          <w:szCs w:val="19"/>
          <w:color w:val="auto"/>
        </w:rPr>
        <w:t>then-prevailing market convention for determining a spread adjustment, or method for calculating or determining such</w:t>
      </w:r>
    </w:p>
    <w:p>
      <w:pPr>
        <w:jc w:val="both"/>
        <w:ind w:left="1280"/>
        <w:spacing w:after="0" w:line="220" w:lineRule="auto"/>
        <w:rPr>
          <w:sz w:val="20"/>
          <w:szCs w:val="20"/>
          <w:color w:val="auto"/>
        </w:rPr>
      </w:pPr>
      <w:r>
        <w:rPr>
          <w:rFonts w:ascii="Arial" w:cs="Arial" w:eastAsia="Arial" w:hAnsi="Arial"/>
          <w:sz w:val="20"/>
          <w:szCs w:val="20"/>
          <w:color w:val="auto"/>
        </w:rPr>
        <w:t>spread adjustment, for the replacement of such Benchmark with the applicable Unadjusted Benchmark Replacement for syndicated credit facilities denominated in Dollars at such time.</w:t>
      </w:r>
    </w:p>
    <w:p>
      <w:pPr>
        <w:spacing w:after="0" w:line="170" w:lineRule="exact"/>
        <w:rPr>
          <w:sz w:val="20"/>
          <w:szCs w:val="20"/>
          <w:color w:val="auto"/>
        </w:rPr>
      </w:pPr>
    </w:p>
    <w:p>
      <w:pPr>
        <w:ind w:left="12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 Conforming Changes</w:t>
      </w:r>
      <w:r>
        <w:rPr>
          <w:rFonts w:ascii="Arial" w:cs="Arial" w:eastAsia="Arial" w:hAnsi="Arial"/>
          <w:sz w:val="20"/>
          <w:szCs w:val="20"/>
          <w:color w:val="auto"/>
        </w:rPr>
        <w:t xml:space="preserve">” means, with respect to </w:t>
      </w:r>
      <w:r>
        <w:rPr>
          <w:rFonts w:ascii="Arial" w:cs="Arial" w:eastAsia="Arial" w:hAnsi="Arial"/>
          <w:sz w:val="20"/>
          <w:szCs w:val="20"/>
          <w:u w:val="single" w:color="auto"/>
          <w:color w:val="0000FF"/>
        </w:rPr>
        <w:t>Adjusted Term SOFR or</w:t>
      </w:r>
      <w:r>
        <w:rPr>
          <w:rFonts w:ascii="Arial" w:cs="Arial" w:eastAsia="Arial" w:hAnsi="Arial"/>
          <w:sz w:val="20"/>
          <w:szCs w:val="20"/>
          <w:color w:val="auto"/>
        </w:rPr>
        <w:t xml:space="preserve"> any Benchmark Replacement, any technical, administrative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20"/>
          </w:cols>
          <w:pgMar w:left="340" w:top="1405" w:right="339" w:bottom="1440" w:gutter="0" w:footer="0" w:header="0"/>
        </w:sectPr>
      </w:pPr>
    </w:p>
    <w:bookmarkStart w:id="81" w:name="page82"/>
    <w:bookmarkEnd w:id="81"/>
    <w:p>
      <w:pPr>
        <w:ind w:left="1280"/>
        <w:spacing w:after="0"/>
        <w:rPr>
          <w:sz w:val="20"/>
          <w:szCs w:val="20"/>
          <w:color w:val="auto"/>
        </w:rPr>
      </w:pPr>
      <w:r>
        <w:rPr>
          <w:rFonts w:ascii="Arial" w:cs="Arial" w:eastAsia="Arial" w:hAnsi="Arial"/>
          <w:sz w:val="18"/>
          <w:szCs w:val="18"/>
          <w:color w:val="auto"/>
        </w:rPr>
        <w:t>operational changes (including changes to the definition of “ABR,” the definition of “Alternate Base Rate,” the definition of</w:t>
      </w:r>
    </w:p>
    <w:p>
      <w:pPr>
        <w:spacing w:after="0" w:line="12" w:lineRule="exact"/>
        <w:rPr>
          <w:sz w:val="20"/>
          <w:szCs w:val="20"/>
          <w:color w:val="auto"/>
        </w:rPr>
      </w:pPr>
    </w:p>
    <w:p>
      <w:pPr>
        <w:ind w:left="1280" w:right="20"/>
        <w:spacing w:after="0" w:line="226" w:lineRule="auto"/>
        <w:rPr>
          <w:sz w:val="20"/>
          <w:szCs w:val="20"/>
          <w:color w:val="auto"/>
        </w:rPr>
      </w:pPr>
      <w:r>
        <w:rPr>
          <w:rFonts w:ascii="Arial" w:cs="Arial" w:eastAsia="Arial" w:hAnsi="Arial"/>
          <w:sz w:val="18"/>
          <w:szCs w:val="18"/>
          <w:color w:val="auto"/>
        </w:rPr>
        <w:t>“Business Day,” the definition of “</w:t>
      </w:r>
      <w:r>
        <w:rPr>
          <w:rFonts w:ascii="Arial" w:cs="Arial" w:eastAsia="Arial" w:hAnsi="Arial"/>
          <w:sz w:val="18"/>
          <w:szCs w:val="18"/>
          <w:u w:val="single" w:color="auto"/>
          <w:color w:val="0000FF"/>
        </w:rPr>
        <w:t>SOFR Business Day,” the definition of “</w:t>
      </w:r>
      <w:r>
        <w:rPr>
          <w:rFonts w:ascii="Arial" w:cs="Arial" w:eastAsia="Arial" w:hAnsi="Arial"/>
          <w:sz w:val="18"/>
          <w:szCs w:val="18"/>
          <w:color w:val="auto"/>
        </w:rPr>
        <w:t>Interest Period,” timing and frequency of determining rates and making payments of interest, timing of borrowing requests or prepayment, conversion or continuation</w:t>
      </w:r>
    </w:p>
    <w:p>
      <w:pPr>
        <w:ind w:left="1280"/>
        <w:spacing w:after="0" w:line="224" w:lineRule="auto"/>
        <w:rPr>
          <w:sz w:val="20"/>
          <w:szCs w:val="20"/>
          <w:color w:val="auto"/>
        </w:rPr>
      </w:pPr>
      <w:r>
        <w:rPr>
          <w:rFonts w:ascii="Arial" w:cs="Arial" w:eastAsia="Arial" w:hAnsi="Arial"/>
          <w:sz w:val="19"/>
          <w:szCs w:val="19"/>
          <w:color w:val="auto"/>
        </w:rPr>
        <w:t>notices, the applicability and length of lookback periods, the applicability of breakage provisions, and other technical,</w:t>
      </w:r>
    </w:p>
    <w:p>
      <w:pPr>
        <w:ind w:left="1280"/>
        <w:spacing w:after="0" w:line="215" w:lineRule="auto"/>
        <w:rPr>
          <w:sz w:val="20"/>
          <w:szCs w:val="20"/>
          <w:color w:val="auto"/>
        </w:rPr>
      </w:pPr>
      <w:r>
        <w:rPr>
          <w:rFonts w:ascii="Arial" w:cs="Arial" w:eastAsia="Arial" w:hAnsi="Arial"/>
          <w:sz w:val="19"/>
          <w:szCs w:val="19"/>
          <w:color w:val="auto"/>
        </w:rPr>
        <w:t>administrative or operational matters) that the Administrative Agent decides (</w:t>
      </w:r>
      <w:r>
        <w:rPr>
          <w:rFonts w:ascii="Arial" w:cs="Arial" w:eastAsia="Arial" w:hAnsi="Arial"/>
          <w:sz w:val="19"/>
          <w:szCs w:val="19"/>
          <w:color w:val="FF0000"/>
          <w:strike w:val="1"/>
        </w:rPr>
        <w:t>which decision, solely in the case of any Early</w:t>
      </w:r>
      <w:r>
        <w:rPr>
          <w:rFonts w:ascii="Arial" w:cs="Arial" w:eastAsia="Arial" w:hAnsi="Arial"/>
          <w:sz w:val="19"/>
          <w:szCs w:val="19"/>
          <w:color w:val="auto"/>
        </w:rPr>
        <w:t xml:space="preserve"> </w:t>
      </w:r>
      <w:r>
        <w:rPr>
          <w:rFonts w:ascii="Arial" w:cs="Arial" w:eastAsia="Arial" w:hAnsi="Arial"/>
          <w:sz w:val="19"/>
          <w:szCs w:val="19"/>
          <w:color w:val="FF0000"/>
          <w:strike w:val="1"/>
        </w:rPr>
        <w:t>Opt-in Election, shall be made</w:t>
      </w:r>
      <w:r>
        <w:rPr>
          <w:rFonts w:ascii="Arial" w:cs="Arial" w:eastAsia="Arial" w:hAnsi="Arial"/>
          <w:sz w:val="19"/>
          <w:szCs w:val="19"/>
          <w:color w:val="FF0000"/>
        </w:rPr>
        <w:t xml:space="preserve"> </w:t>
      </w:r>
      <w:r>
        <w:rPr>
          <w:rFonts w:ascii="Arial" w:cs="Arial" w:eastAsia="Arial" w:hAnsi="Arial"/>
          <w:sz w:val="19"/>
          <w:szCs w:val="19"/>
          <w:color w:val="000000"/>
        </w:rPr>
        <w:t>in consultation with the Borrower) may be appropriate to reflect the adoption and</w:t>
      </w:r>
    </w:p>
    <w:p>
      <w:pPr>
        <w:ind w:left="1280"/>
        <w:spacing w:after="0" w:line="234" w:lineRule="auto"/>
        <w:rPr>
          <w:sz w:val="20"/>
          <w:szCs w:val="20"/>
          <w:color w:val="auto"/>
        </w:rPr>
      </w:pPr>
      <w:r>
        <w:rPr>
          <w:rFonts w:ascii="Arial" w:cs="Arial" w:eastAsia="Arial" w:hAnsi="Arial"/>
          <w:sz w:val="18"/>
          <w:szCs w:val="18"/>
          <w:color w:val="auto"/>
        </w:rPr>
        <w:t xml:space="preserve">implementation of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Adjusted Term SOFR or any</w:t>
      </w:r>
      <w:r>
        <w:rPr>
          <w:rFonts w:ascii="Arial" w:cs="Arial" w:eastAsia="Arial" w:hAnsi="Arial"/>
          <w:sz w:val="18"/>
          <w:szCs w:val="18"/>
          <w:color w:val="auto"/>
        </w:rPr>
        <w:t xml:space="preserve"> Benchmark Replacement and to permit the administration thereof by the</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color w:val="auto"/>
        </w:rPr>
        <w:t>Administrative Agent in a manner substantially consistent with market practice (or, if the Administrative Agent decides that adoption of any portion of such market practice is not administratively feasible or if the Administrative Agent determines</w:t>
      </w:r>
    </w:p>
    <w:p>
      <w:pPr>
        <w:ind w:left="1280"/>
        <w:spacing w:after="0" w:line="236" w:lineRule="auto"/>
        <w:rPr>
          <w:sz w:val="20"/>
          <w:szCs w:val="20"/>
          <w:color w:val="auto"/>
        </w:rPr>
      </w:pPr>
      <w:r>
        <w:rPr>
          <w:rFonts w:ascii="Arial" w:cs="Arial" w:eastAsia="Arial" w:hAnsi="Arial"/>
          <w:sz w:val="18"/>
          <w:szCs w:val="18"/>
          <w:color w:val="auto"/>
        </w:rPr>
        <w:t xml:space="preserve">that no market practice for the administration of </w:t>
      </w:r>
      <w:r>
        <w:rPr>
          <w:rFonts w:ascii="Arial" w:cs="Arial" w:eastAsia="Arial" w:hAnsi="Arial"/>
          <w:sz w:val="18"/>
          <w:szCs w:val="18"/>
          <w:u w:val="single" w:color="auto"/>
          <w:color w:val="0000FF"/>
        </w:rPr>
        <w:t>Adjusted Term SOFR or</w:t>
      </w:r>
      <w:r>
        <w:rPr>
          <w:rFonts w:ascii="Arial" w:cs="Arial" w:eastAsia="Arial" w:hAnsi="Arial"/>
          <w:sz w:val="18"/>
          <w:szCs w:val="18"/>
          <w:color w:val="auto"/>
        </w:rPr>
        <w:t xml:space="preserve"> such Benchmark Replacement exists, in such other</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color w:val="auto"/>
        </w:rPr>
        <w:t>manner of administration as the Administrative Agent decides (</w:t>
      </w:r>
      <w:r>
        <w:rPr>
          <w:rFonts w:ascii="Arial" w:cs="Arial" w:eastAsia="Arial" w:hAnsi="Arial"/>
          <w:sz w:val="18"/>
          <w:szCs w:val="18"/>
          <w:color w:val="FF0000"/>
          <w:strike w:val="1"/>
        </w:rPr>
        <w:t>which decision, solely in the case of any Early Opt-in</w:t>
      </w:r>
      <w:r>
        <w:rPr>
          <w:rFonts w:ascii="Arial" w:cs="Arial" w:eastAsia="Arial" w:hAnsi="Arial"/>
          <w:sz w:val="18"/>
          <w:szCs w:val="18"/>
          <w:color w:val="auto"/>
        </w:rPr>
        <w:t xml:space="preserve"> </w:t>
      </w:r>
      <w:r>
        <w:rPr>
          <w:rFonts w:ascii="Arial" w:cs="Arial" w:eastAsia="Arial" w:hAnsi="Arial"/>
          <w:sz w:val="18"/>
          <w:szCs w:val="18"/>
          <w:color w:val="FF0000"/>
          <w:strike w:val="1"/>
        </w:rPr>
        <w:t>Election, shall be made</w:t>
      </w:r>
      <w:r>
        <w:rPr>
          <w:rFonts w:ascii="Arial" w:cs="Arial" w:eastAsia="Arial" w:hAnsi="Arial"/>
          <w:sz w:val="18"/>
          <w:szCs w:val="18"/>
          <w:color w:val="FF0000"/>
        </w:rPr>
        <w:t xml:space="preserve"> </w:t>
      </w:r>
      <w:r>
        <w:rPr>
          <w:rFonts w:ascii="Arial" w:cs="Arial" w:eastAsia="Arial" w:hAnsi="Arial"/>
          <w:sz w:val="18"/>
          <w:szCs w:val="18"/>
          <w:color w:val="000000"/>
        </w:rPr>
        <w:t>in consultation with the Borrower) is reasonably necessary in connection with the administration of</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this Agreement and the other Loan Documents).</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8"/>
          <w:szCs w:val="18"/>
          <w:i w:val="1"/>
          <w:iCs w:val="1"/>
          <w:u w:val="single" w:color="auto"/>
          <w:color w:val="0000FF"/>
        </w:rPr>
        <w:t>“</w:t>
      </w:r>
      <w:r>
        <w:rPr>
          <w:rFonts w:ascii="Arial" w:cs="Arial" w:eastAsia="Arial" w:hAnsi="Arial"/>
          <w:sz w:val="18"/>
          <w:szCs w:val="18"/>
          <w:b w:val="1"/>
          <w:bCs w:val="1"/>
          <w:i w:val="1"/>
          <w:iCs w:val="1"/>
          <w:u w:val="single" w:color="auto"/>
          <w:color w:val="0000FF"/>
        </w:rPr>
        <w:t>Benchmark Replacement Date</w:t>
      </w:r>
      <w:r>
        <w:rPr>
          <w:rFonts w:ascii="Arial" w:cs="Arial" w:eastAsia="Arial" w:hAnsi="Arial"/>
          <w:sz w:val="18"/>
          <w:szCs w:val="18"/>
          <w:u w:val="single" w:color="auto"/>
          <w:color w:val="0000FF"/>
        </w:rPr>
        <w:t>” means the earlier to occur of the following events with respect to the then-current</w:t>
      </w:r>
    </w:p>
    <w:p>
      <w:pPr>
        <w:ind w:left="1280"/>
        <w:spacing w:after="0"/>
        <w:rPr>
          <w:sz w:val="20"/>
          <w:szCs w:val="20"/>
          <w:color w:val="auto"/>
        </w:rPr>
      </w:pPr>
      <w:r>
        <w:rPr>
          <w:rFonts w:ascii="Arial" w:cs="Arial" w:eastAsia="Arial" w:hAnsi="Arial"/>
          <w:sz w:val="20"/>
          <w:szCs w:val="20"/>
          <w:u w:val="single" w:color="auto"/>
          <w:color w:val="0000FF"/>
        </w:rPr>
        <w:t>Benchmark:</w:t>
      </w:r>
    </w:p>
    <w:p>
      <w:pPr>
        <w:spacing w:after="0" w:line="173" w:lineRule="exact"/>
        <w:rPr>
          <w:sz w:val="20"/>
          <w:szCs w:val="20"/>
          <w:color w:val="auto"/>
        </w:rPr>
      </w:pPr>
    </w:p>
    <w:p>
      <w:pPr>
        <w:jc w:val="both"/>
        <w:ind w:left="1280" w:firstLine="652"/>
        <w:spacing w:after="0" w:line="220" w:lineRule="auto"/>
        <w:tabs>
          <w:tab w:leader="none" w:pos="2345" w:val="left"/>
        </w:tabs>
        <w:numPr>
          <w:ilvl w:val="0"/>
          <w:numId w:val="5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in the case of clause (a) of the definition of “Benchmark Transition Event,” the later of (i) the date of the </w:t>
      </w:r>
      <w:r>
        <w:rPr>
          <w:rFonts w:ascii="Arial" w:cs="Arial" w:eastAsia="Arial" w:hAnsi="Arial"/>
          <w:sz w:val="20"/>
          <w:szCs w:val="20"/>
          <w:u w:val="single" w:color="auto"/>
          <w:color w:val="008000"/>
        </w:rPr>
        <w:t>public</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statement or publication of information </w:t>
      </w:r>
      <w:r>
        <w:rPr>
          <w:rFonts w:ascii="Arial" w:cs="Arial" w:eastAsia="Arial" w:hAnsi="Arial"/>
          <w:sz w:val="20"/>
          <w:szCs w:val="20"/>
          <w:u w:val="single" w:color="auto"/>
          <w:color w:val="0000FF"/>
        </w:rPr>
        <w:t>referenced therein and (ii) the date on which the administrator of such Benchmark (or</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rPr>
        <w:t>the published component used in the calculation thereof) permanently or indefinitely ceases to provide all Available Tenors of such Benchmark (or such component thereof); or</w:t>
      </w:r>
    </w:p>
    <w:p>
      <w:pPr>
        <w:spacing w:after="0" w:line="155" w:lineRule="exact"/>
        <w:rPr>
          <w:rFonts w:ascii="Arial" w:cs="Arial" w:eastAsia="Arial" w:hAnsi="Arial"/>
          <w:sz w:val="20"/>
          <w:szCs w:val="20"/>
          <w:u w:val="single" w:color="auto"/>
          <w:color w:val="0000FF"/>
        </w:rPr>
      </w:pPr>
    </w:p>
    <w:p>
      <w:pPr>
        <w:jc w:val="both"/>
        <w:ind w:left="1280" w:firstLine="652"/>
        <w:spacing w:after="0" w:line="217" w:lineRule="auto"/>
        <w:tabs>
          <w:tab w:leader="none" w:pos="2464" w:val="left"/>
        </w:tabs>
        <w:numPr>
          <w:ilvl w:val="0"/>
          <w:numId w:val="5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clause (b)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therein and even if any Available Tenor of such Benchmark (or such component thereof) continues to be provided on such date.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0000FF"/>
        </w:rPr>
        <w:t>For the avoidance of doubt, the “Benchmark Replacement Date” will be deemed to have occurred in the case of clause (a) or</w:t>
      </w:r>
    </w:p>
    <w:p>
      <w:pPr>
        <w:spacing w:after="0" w:line="12" w:lineRule="exact"/>
        <w:rPr>
          <w:sz w:val="20"/>
          <w:szCs w:val="20"/>
          <w:color w:val="auto"/>
        </w:rPr>
      </w:pPr>
    </w:p>
    <w:p>
      <w:pPr>
        <w:ind w:left="1280" w:firstLine="4"/>
        <w:spacing w:after="0" w:line="239" w:lineRule="auto"/>
        <w:tabs>
          <w:tab w:leader="none" w:pos="1568" w:val="left"/>
        </w:tabs>
        <w:numPr>
          <w:ilvl w:val="0"/>
          <w:numId w:val="5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with 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ind w:left="1280" w:firstLine="648"/>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Transition Event</w:t>
      </w:r>
      <w:r>
        <w:rPr>
          <w:rFonts w:ascii="Arial" w:cs="Arial" w:eastAsia="Arial" w:hAnsi="Arial"/>
          <w:sz w:val="19"/>
          <w:szCs w:val="19"/>
          <w:color w:val="auto"/>
        </w:rPr>
        <w:t xml:space="preserve">” means, with respect to any then-current Benchmark </w:t>
      </w:r>
      <w:r>
        <w:rPr>
          <w:rFonts w:ascii="Arial" w:cs="Arial" w:eastAsia="Arial" w:hAnsi="Arial"/>
          <w:sz w:val="19"/>
          <w:szCs w:val="19"/>
          <w:color w:val="FF0000"/>
        </w:rPr>
        <w:t>(other than LIBOR)</w:t>
      </w:r>
      <w:r>
        <w:rPr>
          <w:rFonts w:ascii="Arial" w:cs="Arial" w:eastAsia="Arial" w:hAnsi="Arial"/>
          <w:sz w:val="19"/>
          <w:szCs w:val="19"/>
          <w:color w:val="auto"/>
        </w:rPr>
        <w:t>, the occurrence of a public statement or publication of information by or on behalf of the administrator of the then-current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-187325</wp:posOffset>
            </wp:positionV>
            <wp:extent cx="11233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1280"/>
        <w:spacing w:after="0" w:line="226" w:lineRule="auto"/>
        <w:rPr>
          <w:sz w:val="20"/>
          <w:szCs w:val="20"/>
          <w:color w:val="auto"/>
        </w:rPr>
      </w:pPr>
      <w:r>
        <w:rPr>
          <w:rFonts w:ascii="Arial" w:cs="Arial" w:eastAsia="Arial" w:hAnsi="Arial"/>
          <w:sz w:val="18"/>
          <w:szCs w:val="18"/>
          <w:color w:val="auto"/>
        </w:rPr>
        <w:t xml:space="preserve">Benchmark, the regulatory supervisor for the administrator of such Benchmark, the Board </w:t>
      </w:r>
      <w:r>
        <w:rPr>
          <w:rFonts w:ascii="Arial" w:cs="Arial" w:eastAsia="Arial" w:hAnsi="Arial"/>
          <w:sz w:val="18"/>
          <w:szCs w:val="18"/>
          <w:color w:val="FF0000"/>
        </w:rPr>
        <w:t>of Governors of the Federal</w:t>
      </w:r>
      <w:r>
        <w:rPr>
          <w:rFonts w:ascii="Arial" w:cs="Arial" w:eastAsia="Arial" w:hAnsi="Arial"/>
          <w:sz w:val="18"/>
          <w:szCs w:val="18"/>
          <w:color w:val="auto"/>
        </w:rPr>
        <w:t xml:space="preserve"> </w:t>
      </w:r>
      <w:r>
        <w:rPr>
          <w:rFonts w:ascii="Arial" w:cs="Arial" w:eastAsia="Arial" w:hAnsi="Arial"/>
          <w:sz w:val="18"/>
          <w:szCs w:val="18"/>
          <w:color w:val="FF0000"/>
          <w:strike w:val="1"/>
        </w:rPr>
        <w:t>Reserve System</w:t>
      </w:r>
      <w:r>
        <w:rPr>
          <w:rFonts w:ascii="Arial" w:cs="Arial" w:eastAsia="Arial" w:hAnsi="Arial"/>
          <w:sz w:val="18"/>
          <w:szCs w:val="18"/>
          <w:color w:val="000000"/>
        </w:rPr>
        <w:t>, the Federal Reserve Bank of New York, an insolvency official with jurisdiction over the administrator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5580380</wp:posOffset>
            </wp:positionH>
            <wp:positionV relativeFrom="paragraph">
              <wp:posOffset>-177800</wp:posOffset>
            </wp:positionV>
            <wp:extent cx="1538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ind w:left="1280"/>
        <w:spacing w:after="0" w:line="236" w:lineRule="auto"/>
        <w:rPr>
          <w:sz w:val="20"/>
          <w:szCs w:val="20"/>
          <w:color w:val="auto"/>
        </w:rPr>
      </w:pPr>
      <w:r>
        <w:rPr>
          <w:rFonts w:ascii="Arial" w:cs="Arial" w:eastAsia="Arial" w:hAnsi="Arial"/>
          <w:sz w:val="18"/>
          <w:szCs w:val="18"/>
          <w:color w:val="auto"/>
        </w:rPr>
        <w:t>such Benchmark, a resolution authority with jurisdiction over the administrator for such Benchmark or a court or an entity</w:t>
      </w:r>
    </w:p>
    <w:p>
      <w:pPr>
        <w:spacing w:after="0" w:line="1" w:lineRule="exact"/>
        <w:rPr>
          <w:sz w:val="20"/>
          <w:szCs w:val="20"/>
          <w:color w:val="auto"/>
        </w:rPr>
      </w:pPr>
    </w:p>
    <w:p>
      <w:pPr>
        <w:jc w:val="both"/>
        <w:ind w:left="1280"/>
        <w:spacing w:after="0" w:line="215" w:lineRule="auto"/>
        <w:rPr>
          <w:sz w:val="20"/>
          <w:szCs w:val="20"/>
          <w:color w:val="auto"/>
        </w:rPr>
      </w:pPr>
      <w:r>
        <w:rPr>
          <w:rFonts w:ascii="Arial" w:cs="Arial" w:eastAsia="Arial" w:hAnsi="Arial"/>
          <w:sz w:val="19"/>
          <w:szCs w:val="19"/>
          <w:color w:val="auto"/>
        </w:rPr>
        <w:t>with similar insolvency or resolution authority over the administrator for such Benchmark, announcing or stating that (a) such administrator has ceased or will cease on a specified date to provide all Available Tenors of such Benchmark,</w:t>
      </w:r>
    </w:p>
    <w:p>
      <w:pPr>
        <w:ind w:left="1280"/>
        <w:spacing w:after="0" w:line="234" w:lineRule="auto"/>
        <w:rPr>
          <w:sz w:val="20"/>
          <w:szCs w:val="20"/>
          <w:color w:val="auto"/>
        </w:rPr>
      </w:pPr>
      <w:r>
        <w:rPr>
          <w:rFonts w:ascii="Arial" w:cs="Arial" w:eastAsia="Arial" w:hAnsi="Arial"/>
          <w:sz w:val="18"/>
          <w:szCs w:val="18"/>
          <w:color w:val="auto"/>
        </w:rPr>
        <w:t>permanently or indefinitely, provided that, at the time of such statement or publication, there is no successor administrator</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color w:val="auto"/>
        </w:rPr>
        <w:t>that will continue to provide any Available Tenor of such Benchmark or (b) all Available Tenors of such Benchmark are or will no longer be representative of the underlying market and economic reality that such Benchmark is intended to measure</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and that representativeness will not be restored.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20"/>
          </w:cols>
          <w:pgMar w:left="340" w:top="1405" w:right="339" w:bottom="1440" w:gutter="0" w:footer="0" w:header="0"/>
        </w:sectPr>
      </w:pPr>
    </w:p>
    <w:bookmarkStart w:id="82" w:name="page83"/>
    <w:bookmarkEnd w:id="82"/>
    <w:p>
      <w:pPr>
        <w:ind w:left="1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Corresponding Tenor</w:t>
      </w:r>
      <w:r>
        <w:rPr>
          <w:rFonts w:ascii="Arial" w:cs="Arial" w:eastAsia="Arial" w:hAnsi="Arial"/>
          <w:sz w:val="19"/>
          <w:szCs w:val="19"/>
          <w:color w:val="auto"/>
        </w:rPr>
        <w:t>” with respect to any Available Tenor means, as applicable, either a tenor (including</w:t>
      </w:r>
    </w:p>
    <w:p>
      <w:pPr>
        <w:ind w:left="1280"/>
        <w:spacing w:after="0" w:line="220" w:lineRule="auto"/>
        <w:rPr>
          <w:sz w:val="20"/>
          <w:szCs w:val="20"/>
          <w:color w:val="auto"/>
        </w:rPr>
      </w:pPr>
      <w:r>
        <w:rPr>
          <w:rFonts w:ascii="Arial" w:cs="Arial" w:eastAsia="Arial" w:hAnsi="Arial"/>
          <w:sz w:val="20"/>
          <w:szCs w:val="20"/>
          <w:color w:val="auto"/>
        </w:rPr>
        <w:t>overnight) or an interest payment period having approximately the same length (disregarding Business Day adjustment) as such Available Tenor.</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Simple SOFR</w:t>
      </w:r>
      <w:r>
        <w:rPr>
          <w:rFonts w:ascii="Arial" w:cs="Arial" w:eastAsia="Arial" w:hAnsi="Arial"/>
          <w:sz w:val="18"/>
          <w:szCs w:val="18"/>
          <w:color w:val="auto"/>
        </w:rPr>
        <w:t>” means, for any day</w:t>
      </w:r>
      <w:r>
        <w:rPr>
          <w:rFonts w:ascii="Arial" w:cs="Arial" w:eastAsia="Arial" w:hAnsi="Arial"/>
          <w:sz w:val="18"/>
          <w:szCs w:val="18"/>
          <w:color w:val="FF0000"/>
          <w:strike w:val="1"/>
        </w:rPr>
        <w:t>, SOFR, with the conventions for this rate (which will include a lookback)</w:t>
      </w:r>
    </w:p>
    <w:p>
      <w:pPr>
        <w:spacing w:after="0" w:line="12" w:lineRule="exact"/>
        <w:rPr>
          <w:sz w:val="20"/>
          <w:szCs w:val="20"/>
          <w:color w:val="auto"/>
        </w:rPr>
      </w:pPr>
    </w:p>
    <w:p>
      <w:pPr>
        <w:ind w:left="1280"/>
        <w:spacing w:after="0" w:line="215" w:lineRule="auto"/>
        <w:rPr>
          <w:sz w:val="20"/>
          <w:szCs w:val="20"/>
          <w:color w:val="auto"/>
        </w:rPr>
      </w:pPr>
      <w:r>
        <w:rPr>
          <w:rFonts w:ascii="Arial" w:cs="Arial" w:eastAsia="Arial" w:hAnsi="Arial"/>
          <w:sz w:val="19"/>
          <w:szCs w:val="19"/>
          <w:color w:val="FF0000"/>
          <w:strike w:val="1"/>
        </w:rPr>
        <w:t xml:space="preserve">being established by the Administrative Agent in accordance with the conventions for this rate recommended by the Relevant Governmental Body for determining “Daily Simple SOFR” for syndicated business loans; </w:t>
      </w:r>
      <w:r>
        <w:rPr>
          <w:rFonts w:ascii="Arial" w:cs="Arial" w:eastAsia="Arial" w:hAnsi="Arial"/>
          <w:sz w:val="19"/>
          <w:szCs w:val="19"/>
          <w:i w:val="1"/>
          <w:iCs w:val="1"/>
          <w:color w:val="FF0000"/>
          <w:strike w:val="1"/>
        </w:rPr>
        <w:t>provided, that</w:t>
      </w:r>
      <w:r>
        <w:rPr>
          <w:rFonts w:ascii="Arial" w:cs="Arial" w:eastAsia="Arial" w:hAnsi="Arial"/>
          <w:sz w:val="19"/>
          <w:szCs w:val="19"/>
          <w:color w:val="FF0000"/>
          <w:strike w:val="1"/>
        </w:rPr>
        <w:t xml:space="preserve"> if the</w:t>
      </w:r>
    </w:p>
    <w:p>
      <w:pPr>
        <w:ind w:left="1280"/>
        <w:spacing w:after="0" w:line="234" w:lineRule="auto"/>
        <w:rPr>
          <w:sz w:val="20"/>
          <w:szCs w:val="20"/>
          <w:color w:val="auto"/>
        </w:rPr>
      </w:pPr>
      <w:r>
        <w:rPr>
          <w:rFonts w:ascii="Arial" w:cs="Arial" w:eastAsia="Arial" w:hAnsi="Arial"/>
          <w:sz w:val="18"/>
          <w:szCs w:val="18"/>
          <w:color w:val="FF0000"/>
          <w:strike w:val="1"/>
        </w:rPr>
        <w:t>Administrative Agent decides that any such convention is not administratively feasible for the Administrative Agent, then</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color w:val="FF0000"/>
          <w:strike w:val="1"/>
        </w:rPr>
        <w:t xml:space="preserve">the Administrative Agent may establish another convention in its reasonable discretion. </w:t>
      </w:r>
      <w:r>
        <w:rPr>
          <w:rFonts w:ascii="Arial" w:cs="Arial" w:eastAsia="Arial" w:hAnsi="Arial"/>
          <w:sz w:val="18"/>
          <w:szCs w:val="18"/>
          <w:u w:val="single" w:color="auto"/>
          <w:color w:val="0000FF"/>
          <w:strike w:val="1"/>
        </w:rPr>
        <w:t>(a “</w:t>
      </w:r>
      <w:r>
        <w:rPr>
          <w:rFonts w:ascii="Arial" w:cs="Arial" w:eastAsia="Arial" w:hAnsi="Arial"/>
          <w:sz w:val="18"/>
          <w:szCs w:val="18"/>
          <w:b w:val="1"/>
          <w:bCs w:val="1"/>
          <w:i w:val="1"/>
          <w:iCs w:val="1"/>
          <w:u w:val="single" w:color="auto"/>
          <w:color w:val="0000FF"/>
          <w:strike w:val="1"/>
        </w:rPr>
        <w:t>Daily Simple SOFR Rate Day</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 rate per annum (rounded to the nearest 1/100,000th (one hundred-thousandth) of a percentage point (or five decimal</w:t>
      </w:r>
    </w:p>
    <w:p>
      <w:pPr>
        <w:ind w:left="1280"/>
        <w:spacing w:after="0" w:line="236" w:lineRule="auto"/>
        <w:rPr>
          <w:sz w:val="20"/>
          <w:szCs w:val="20"/>
          <w:color w:val="auto"/>
        </w:rPr>
      </w:pPr>
      <w:r>
        <w:rPr>
          <w:rFonts w:ascii="Arial" w:cs="Arial" w:eastAsia="Arial" w:hAnsi="Arial"/>
          <w:sz w:val="18"/>
          <w:szCs w:val="18"/>
          <w:u w:val="single" w:color="auto"/>
          <w:color w:val="0000FF"/>
        </w:rPr>
        <w:t>points)) equal to SOFR for the day (such day, the “</w:t>
      </w:r>
      <w:r>
        <w:rPr>
          <w:rFonts w:ascii="Arial" w:cs="Arial" w:eastAsia="Arial" w:hAnsi="Arial"/>
          <w:sz w:val="18"/>
          <w:szCs w:val="18"/>
          <w:b w:val="1"/>
          <w:bCs w:val="1"/>
          <w:i w:val="1"/>
          <w:iCs w:val="1"/>
          <w:u w:val="single" w:color="auto"/>
          <w:color w:val="0000FF"/>
        </w:rPr>
        <w:t>Daily Simple SOFR Lookback Day</w:t>
      </w:r>
      <w:r>
        <w:rPr>
          <w:rFonts w:ascii="Arial" w:cs="Arial" w:eastAsia="Arial" w:hAnsi="Arial"/>
          <w:sz w:val="18"/>
          <w:szCs w:val="18"/>
          <w:u w:val="single" w:color="auto"/>
          <w:color w:val="0000FF"/>
        </w:rPr>
        <w:t>”) that is five SOFR Business Days</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u w:val="single" w:color="auto"/>
          <w:color w:val="0000FF"/>
        </w:rPr>
        <w:t>prior to (i) if such Daily Simple SOFR Rate Day is a SOFR Business Day, such Daily Simple SOFR Rate Day or (ii) if such Daily Simple SOFR Rate Day is not a SOFR Business Day, the SOFR Business Day immediately preceding such Daily</w:t>
      </w:r>
    </w:p>
    <w:p>
      <w:pPr>
        <w:ind w:left="1280"/>
        <w:spacing w:after="0" w:line="236" w:lineRule="auto"/>
        <w:rPr>
          <w:sz w:val="20"/>
          <w:szCs w:val="20"/>
          <w:color w:val="auto"/>
        </w:rPr>
      </w:pPr>
      <w:r>
        <w:rPr>
          <w:rFonts w:ascii="Arial" w:cs="Arial" w:eastAsia="Arial" w:hAnsi="Arial"/>
          <w:sz w:val="18"/>
          <w:szCs w:val="18"/>
          <w:u w:val="single" w:color="auto"/>
          <w:color w:val="0000FF"/>
        </w:rPr>
        <w:t>Simple SOFR Rate Day, in each case, as and when SOFR for such Daily Simple SOFR Rate Day is published by the SOFR</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u w:val="single" w:color="auto"/>
          <w:color w:val="0000FF"/>
        </w:rPr>
        <w:t>Administrator on the SOFR Administrator’s Website. If by 5:00 pm (New York City time) on the second SOFR Business Day immediately following any Daily Simple SOFR Lookback Day, SOFR in respect of such Daily Simple SOFR Lookback</w:t>
      </w:r>
    </w:p>
    <w:p>
      <w:pPr>
        <w:ind w:left="1280"/>
        <w:spacing w:after="0" w:line="236" w:lineRule="auto"/>
        <w:rPr>
          <w:sz w:val="20"/>
          <w:szCs w:val="20"/>
          <w:color w:val="auto"/>
        </w:rPr>
      </w:pPr>
      <w:r>
        <w:rPr>
          <w:rFonts w:ascii="Arial" w:cs="Arial" w:eastAsia="Arial" w:hAnsi="Arial"/>
          <w:sz w:val="18"/>
          <w:szCs w:val="18"/>
          <w:u w:val="single" w:color="auto"/>
          <w:color w:val="0000FF"/>
        </w:rPr>
        <w:t>Day has not been published on the SOFR Administrator’s Website and a Benchmark Replacement Date with respect to Daily</w:t>
      </w:r>
    </w:p>
    <w:p>
      <w:pPr>
        <w:spacing w:after="0" w:line="1" w:lineRule="exact"/>
        <w:rPr>
          <w:sz w:val="20"/>
          <w:szCs w:val="20"/>
          <w:color w:val="auto"/>
        </w:rPr>
      </w:pPr>
    </w:p>
    <w:p>
      <w:pPr>
        <w:ind w:left="1280"/>
        <w:spacing w:after="0" w:line="215" w:lineRule="auto"/>
        <w:rPr>
          <w:sz w:val="20"/>
          <w:szCs w:val="20"/>
          <w:color w:val="auto"/>
        </w:rPr>
      </w:pPr>
      <w:r>
        <w:rPr>
          <w:rFonts w:ascii="Arial" w:cs="Arial" w:eastAsia="Arial" w:hAnsi="Arial"/>
          <w:sz w:val="19"/>
          <w:szCs w:val="19"/>
          <w:u w:val="single" w:color="auto"/>
          <w:color w:val="0000FF"/>
        </w:rPr>
        <w:t>Simple SOFR has not occurred, then SOFR for such Daily Simple SOFR Lookback Day will be SOFR as published in respect of the first preceding SOFR Business Day for which such SOFR was published on the SOFR Administrator’s</w:t>
      </w:r>
    </w:p>
    <w:p>
      <w:pPr>
        <w:ind w:left="1280"/>
        <w:spacing w:after="0" w:line="226" w:lineRule="auto"/>
        <w:rPr>
          <w:sz w:val="20"/>
          <w:szCs w:val="20"/>
          <w:color w:val="auto"/>
        </w:rPr>
      </w:pPr>
      <w:r>
        <w:rPr>
          <w:rFonts w:ascii="Arial" w:cs="Arial" w:eastAsia="Arial" w:hAnsi="Arial"/>
          <w:sz w:val="18"/>
          <w:szCs w:val="18"/>
          <w:u w:val="single" w:color="auto"/>
          <w:color w:val="0000FF"/>
        </w:rPr>
        <w:t>Website; provided, that any SOFR determined pursuant to this sentence shall be utilized for purposes of calculation of Daily Simple SOFR for no more than three consecutive Daily Simple SOFR Rate Days. Any change in Daily Simple SOFR due to</w:t>
      </w:r>
    </w:p>
    <w:p>
      <w:pPr>
        <w:spacing w:after="0" w:line="2" w:lineRule="exact"/>
        <w:rPr>
          <w:sz w:val="20"/>
          <w:szCs w:val="20"/>
          <w:color w:val="auto"/>
        </w:rPr>
      </w:pPr>
    </w:p>
    <w:p>
      <w:pPr>
        <w:ind w:left="1280"/>
        <w:spacing w:after="0" w:line="227" w:lineRule="auto"/>
        <w:rPr>
          <w:sz w:val="20"/>
          <w:szCs w:val="20"/>
          <w:color w:val="auto"/>
        </w:rPr>
      </w:pPr>
      <w:r>
        <w:rPr>
          <w:rFonts w:ascii="Arial" w:cs="Arial" w:eastAsia="Arial" w:hAnsi="Arial"/>
          <w:sz w:val="20"/>
          <w:szCs w:val="20"/>
          <w:u w:val="single" w:color="auto"/>
          <w:color w:val="0000FF"/>
        </w:rPr>
        <w:t>a change in SOFR shall be effective from and including the effective date of such change in SOFR without notice to the Borrower.</w:t>
      </w:r>
    </w:p>
    <w:p>
      <w:pPr>
        <w:spacing w:after="0" w:line="156" w:lineRule="exact"/>
        <w:rPr>
          <w:sz w:val="20"/>
          <w:szCs w:val="20"/>
          <w:color w:val="auto"/>
        </w:rPr>
      </w:pPr>
    </w:p>
    <w:p>
      <w:pPr>
        <w:ind w:left="194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Daily Simple SOFR Lookback Day</w:t>
      </w:r>
      <w:r>
        <w:rPr>
          <w:rFonts w:ascii="Arial" w:cs="Arial" w:eastAsia="Arial" w:hAnsi="Arial"/>
          <w:sz w:val="19"/>
          <w:szCs w:val="19"/>
          <w:u w:val="single" w:color="auto"/>
          <w:color w:val="0000FF"/>
        </w:rPr>
        <w:t>” has the meaning assigned to such term in the definition of “Daily Simple</w:t>
      </w:r>
    </w:p>
    <w:p>
      <w:pPr>
        <w:ind w:left="1280"/>
        <w:spacing w:after="0"/>
        <w:rPr>
          <w:sz w:val="20"/>
          <w:szCs w:val="20"/>
          <w:color w:val="auto"/>
        </w:rPr>
      </w:pPr>
      <w:r>
        <w:rPr>
          <w:rFonts w:ascii="Arial" w:cs="Arial" w:eastAsia="Arial" w:hAnsi="Arial"/>
          <w:sz w:val="20"/>
          <w:szCs w:val="20"/>
          <w:u w:val="single" w:color="auto"/>
          <w:color w:val="0000FF"/>
        </w:rPr>
        <w:t>SOFR.”</w:t>
      </w:r>
    </w:p>
    <w:p>
      <w:pPr>
        <w:spacing w:after="0" w:line="173" w:lineRule="exact"/>
        <w:rPr>
          <w:sz w:val="20"/>
          <w:szCs w:val="20"/>
          <w:color w:val="auto"/>
        </w:rPr>
      </w:pPr>
    </w:p>
    <w:p>
      <w:pPr>
        <w:ind w:left="19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Daily Simple SOFR Rate Day</w:t>
      </w:r>
      <w:r>
        <w:rPr>
          <w:rFonts w:ascii="Arial" w:cs="Arial" w:eastAsia="Arial" w:hAnsi="Arial"/>
          <w:sz w:val="18"/>
          <w:szCs w:val="18"/>
          <w:u w:val="single" w:color="auto"/>
          <w:color w:val="0000FF"/>
        </w:rPr>
        <w:t>” has the meaning assigned to such term in the definition of “Daily Simple SOFR.”</w:t>
      </w:r>
    </w:p>
    <w:p>
      <w:pPr>
        <w:spacing w:after="0" w:line="198" w:lineRule="exact"/>
        <w:rPr>
          <w:sz w:val="20"/>
          <w:szCs w:val="20"/>
          <w:color w:val="auto"/>
        </w:rPr>
      </w:pPr>
    </w:p>
    <w:p>
      <w:pPr>
        <w:ind w:left="1280" w:firstLine="648"/>
        <w:spacing w:after="0" w:line="21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Early Opt-in Effective Date</w:t>
      </w:r>
      <w:r>
        <w:rPr>
          <w:rFonts w:ascii="Arial" w:cs="Arial" w:eastAsia="Arial" w:hAnsi="Arial"/>
          <w:sz w:val="18"/>
          <w:szCs w:val="18"/>
          <w:color w:val="FF0000"/>
          <w:strike w:val="1"/>
        </w:rPr>
        <w:t>” means, with respect to any Early Opt-in Election, the sixth (6</w:t>
      </w:r>
      <w:r>
        <w:rPr>
          <w:rFonts w:ascii="Arial" w:cs="Arial" w:eastAsia="Arial" w:hAnsi="Arial"/>
          <w:sz w:val="23"/>
          <w:szCs w:val="23"/>
          <w:color w:val="FF0000"/>
          <w:strike w:val="1"/>
          <w:vertAlign w:val="superscript"/>
        </w:rPr>
        <w:t>th</w:t>
      </w:r>
      <w:r>
        <w:rPr>
          <w:rFonts w:ascii="Arial" w:cs="Arial" w:eastAsia="Arial" w:hAnsi="Arial"/>
          <w:sz w:val="18"/>
          <w:szCs w:val="18"/>
          <w:color w:val="FF0000"/>
          <w:strike w:val="1"/>
        </w:rPr>
        <w:t>) Business Day after the date notice of such Early Opt-in Election is provided to the Lenders, so long as the Administrative Agent has not</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color w:val="FF0000"/>
          <w:strike w:val="1"/>
        </w:rPr>
        <w:t>received, by 5:00 p.m. (New York City time) on the fifth (5th) Business Day after the date notice of such Early Opt-in Election is provided to the Lenders, written notice of objection to such Early Opt-in Election from Lenders comprising the</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20"/>
          <w:szCs w:val="20"/>
          <w:color w:val="FF0000"/>
          <w:strike w:val="1"/>
        </w:rPr>
        <w:t>Required Lenders.</w:t>
      </w:r>
    </w:p>
    <w:p>
      <w:pPr>
        <w:spacing w:after="0" w:line="173" w:lineRule="exact"/>
        <w:rPr>
          <w:sz w:val="20"/>
          <w:szCs w:val="20"/>
          <w:color w:val="auto"/>
        </w:rPr>
      </w:pPr>
    </w:p>
    <w:p>
      <w:pPr>
        <w:ind w:left="194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Early Opt-in Election</w:t>
      </w:r>
      <w:r>
        <w:rPr>
          <w:rFonts w:ascii="Arial" w:cs="Arial" w:eastAsia="Arial" w:hAnsi="Arial"/>
          <w:sz w:val="20"/>
          <w:szCs w:val="20"/>
          <w:color w:val="FF0000"/>
          <w:strike w:val="1"/>
        </w:rPr>
        <w:t>” means the occurrence of:</w:t>
      </w:r>
    </w:p>
    <w:p>
      <w:pPr>
        <w:spacing w:after="0" w:line="175" w:lineRule="exact"/>
        <w:rPr>
          <w:sz w:val="20"/>
          <w:szCs w:val="20"/>
          <w:color w:val="auto"/>
        </w:rPr>
      </w:pPr>
    </w:p>
    <w:p>
      <w:pPr>
        <w:jc w:val="both"/>
        <w:ind w:left="1280" w:firstLine="1300"/>
        <w:spacing w:after="0" w:line="243" w:lineRule="auto"/>
        <w:tabs>
          <w:tab w:leader="none" w:pos="3116" w:val="left"/>
        </w:tabs>
        <w:numPr>
          <w:ilvl w:val="0"/>
          <w:numId w:val="58"/>
        </w:numPr>
        <w:rPr>
          <w:rFonts w:ascii="Arial" w:cs="Arial" w:eastAsia="Arial" w:hAnsi="Arial"/>
          <w:sz w:val="18"/>
          <w:szCs w:val="18"/>
          <w:color w:val="FF0000"/>
          <w:strike w:val="1"/>
        </w:rPr>
      </w:pPr>
      <w:r>
        <w:rPr>
          <w:rFonts w:ascii="Arial" w:cs="Arial" w:eastAsia="Arial" w:hAnsi="Arial"/>
          <w:sz w:val="18"/>
          <w:szCs w:val="18"/>
          <w:color w:val="FF0000"/>
          <w:strike w:val="1"/>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either a SOFR-based rate (including SOFR, a term SOFR or any other rate based upon SOFR) as a benchmark rate or an alternate benchmark interest rate to replace LIBOR (and such syndicated credit facilities are identified in such notice and are publicly available for review);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20"/>
          </w:cols>
          <w:pgMar w:left="340" w:top="1405" w:right="339" w:bottom="1440" w:gutter="0" w:footer="0" w:header="0"/>
        </w:sectPr>
      </w:pPr>
    </w:p>
    <w:bookmarkStart w:id="83" w:name="page84"/>
    <w:bookmarkEnd w:id="83"/>
    <w:p>
      <w:pPr>
        <w:ind w:left="1300" w:firstLine="1300"/>
        <w:spacing w:after="0" w:line="257" w:lineRule="auto"/>
        <w:tabs>
          <w:tab w:leader="none" w:pos="3098" w:val="left"/>
        </w:tabs>
        <w:numPr>
          <w:ilvl w:val="0"/>
          <w:numId w:val="59"/>
        </w:numPr>
        <w:rPr>
          <w:rFonts w:ascii="Arial" w:cs="Arial" w:eastAsia="Arial" w:hAnsi="Arial"/>
          <w:sz w:val="19"/>
          <w:szCs w:val="19"/>
          <w:color w:val="FF0000"/>
          <w:strike w:val="1"/>
        </w:rPr>
      </w:pPr>
      <w:r>
        <w:rPr>
          <w:rFonts w:ascii="Arial" w:cs="Arial" w:eastAsia="Arial" w:hAnsi="Arial"/>
          <w:sz w:val="19"/>
          <w:szCs w:val="19"/>
          <w:color w:val="FF0000"/>
          <w:strike w:val="1"/>
        </w:rPr>
        <w:t>the joint election by the Administrative Agent and the Borrower to trigger a fallback from LIBOR to such benchmark rate and the provision by the Administrative Agent of written notice of such election to the Lenders.</w:t>
      </w:r>
    </w:p>
    <w:p>
      <w:pPr>
        <w:spacing w:after="0" w:line="140" w:lineRule="exact"/>
        <w:rPr>
          <w:sz w:val="20"/>
          <w:szCs w:val="20"/>
          <w:color w:val="auto"/>
        </w:rPr>
      </w:pPr>
    </w:p>
    <w:p>
      <w:pPr>
        <w:jc w:val="both"/>
        <w:ind w:left="130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Floor</w:t>
      </w:r>
      <w:r>
        <w:rPr>
          <w:rFonts w:ascii="Arial" w:cs="Arial" w:eastAsia="Arial" w:hAnsi="Arial"/>
          <w:sz w:val="20"/>
          <w:szCs w:val="20"/>
          <w:color w:val="auto"/>
        </w:rPr>
        <w:t xml:space="preserve">” means the benchmark rate floor, if any, provided in this Agreement initially (as of the execution of this Agreement, the modification, amendment or renewal of this Agreement or otherwise) with respect to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Adjusted 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SOFR</w:t>
      </w:r>
      <w:r>
        <w:rPr>
          <w:rFonts w:ascii="Arial" w:cs="Arial" w:eastAsia="Arial" w:hAnsi="Arial"/>
          <w:sz w:val="20"/>
          <w:szCs w:val="20"/>
          <w:color w:val="000000"/>
        </w:rPr>
        <w:t>.</w:t>
      </w:r>
    </w:p>
    <w:p>
      <w:pPr>
        <w:spacing w:after="0" w:line="157" w:lineRule="exact"/>
        <w:rPr>
          <w:sz w:val="20"/>
          <w:szCs w:val="20"/>
          <w:color w:val="auto"/>
        </w:rPr>
      </w:pPr>
    </w:p>
    <w:p>
      <w:pPr>
        <w:ind w:left="19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LIBOR</w:t>
      </w:r>
      <w:r>
        <w:rPr>
          <w:rFonts w:ascii="Arial" w:cs="Arial" w:eastAsia="Arial" w:hAnsi="Arial"/>
          <w:sz w:val="20"/>
          <w:szCs w:val="20"/>
          <w:color w:val="FF0000"/>
          <w:strike w:val="1"/>
        </w:rPr>
        <w:t>” means the London interbank offered rate for Dollars.</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Relevant Governmental Body</w:t>
      </w:r>
      <w:r>
        <w:rPr>
          <w:rFonts w:ascii="Arial" w:cs="Arial" w:eastAsia="Arial" w:hAnsi="Arial"/>
          <w:sz w:val="16"/>
          <w:szCs w:val="16"/>
          <w:color w:val="auto"/>
        </w:rPr>
        <w:t xml:space="preserve">” means the </w:t>
      </w:r>
      <w:r>
        <w:rPr>
          <w:rFonts w:ascii="Arial" w:cs="Arial" w:eastAsia="Arial" w:hAnsi="Arial"/>
          <w:sz w:val="16"/>
          <w:szCs w:val="16"/>
          <w:color w:val="FF0000"/>
          <w:strike w:val="1"/>
        </w:rPr>
        <w:t>Federal Reserve</w:t>
      </w:r>
      <w:r>
        <w:rPr>
          <w:rFonts w:ascii="Arial" w:cs="Arial" w:eastAsia="Arial" w:hAnsi="Arial"/>
          <w:sz w:val="16"/>
          <w:szCs w:val="16"/>
          <w:color w:val="auto"/>
        </w:rPr>
        <w:t xml:space="preserve"> Board and/or the </w:t>
      </w:r>
      <w:r>
        <w:rPr>
          <w:rFonts w:ascii="Arial" w:cs="Arial" w:eastAsia="Arial" w:hAnsi="Arial"/>
          <w:sz w:val="16"/>
          <w:szCs w:val="16"/>
          <w:color w:val="FF0000"/>
          <w:strike w:val="1"/>
        </w:rPr>
        <w:t>NYFRB</w:t>
      </w:r>
      <w:r>
        <w:rPr>
          <w:rFonts w:ascii="Arial" w:cs="Arial" w:eastAsia="Arial" w:hAnsi="Arial"/>
          <w:sz w:val="16"/>
          <w:szCs w:val="16"/>
          <w:u w:val="single" w:color="auto"/>
          <w:color w:val="0000FF"/>
        </w:rPr>
        <w:t>Federal Reserve Bank of New</w:t>
      </w:r>
    </w:p>
    <w:p>
      <w:pPr>
        <w:spacing w:after="0" w:line="35" w:lineRule="exact"/>
        <w:rPr>
          <w:sz w:val="20"/>
          <w:szCs w:val="20"/>
          <w:color w:val="auto"/>
        </w:rPr>
      </w:pPr>
    </w:p>
    <w:p>
      <w:pPr>
        <w:ind w:left="1300"/>
        <w:spacing w:after="0" w:line="220" w:lineRule="auto"/>
        <w:rPr>
          <w:sz w:val="20"/>
          <w:szCs w:val="20"/>
          <w:color w:val="auto"/>
        </w:rPr>
      </w:pPr>
      <w:r>
        <w:rPr>
          <w:rFonts w:ascii="Arial" w:cs="Arial" w:eastAsia="Arial" w:hAnsi="Arial"/>
          <w:sz w:val="20"/>
          <w:szCs w:val="20"/>
          <w:u w:val="single" w:color="auto"/>
          <w:color w:val="0000FF"/>
        </w:rPr>
        <w:t>York</w:t>
      </w:r>
      <w:r>
        <w:rPr>
          <w:rFonts w:ascii="Arial" w:cs="Arial" w:eastAsia="Arial" w:hAnsi="Arial"/>
          <w:sz w:val="20"/>
          <w:szCs w:val="20"/>
          <w:color w:val="000000"/>
        </w:rPr>
        <w:t>, or a committee officially endorsed or convened by the</w:t>
      </w:r>
      <w:r>
        <w:rPr>
          <w:rFonts w:ascii="Arial" w:cs="Arial" w:eastAsia="Arial" w:hAnsi="Arial"/>
          <w:sz w:val="20"/>
          <w:szCs w:val="20"/>
          <w:color w:val="0000FF"/>
        </w:rPr>
        <w:t xml:space="preserve"> </w:t>
      </w:r>
      <w:r>
        <w:rPr>
          <w:rFonts w:ascii="Arial" w:cs="Arial" w:eastAsia="Arial" w:hAnsi="Arial"/>
          <w:sz w:val="20"/>
          <w:szCs w:val="20"/>
          <w:color w:val="FF0000"/>
          <w:strike w:val="1"/>
        </w:rPr>
        <w:t>Federal Reserve</w:t>
      </w:r>
      <w:r>
        <w:rPr>
          <w:rFonts w:ascii="Arial" w:cs="Arial" w:eastAsia="Arial" w:hAnsi="Arial"/>
          <w:sz w:val="20"/>
          <w:szCs w:val="20"/>
          <w:color w:val="0000FF"/>
        </w:rPr>
        <w:t xml:space="preserve"> </w:t>
      </w:r>
      <w:r>
        <w:rPr>
          <w:rFonts w:ascii="Arial" w:cs="Arial" w:eastAsia="Arial" w:hAnsi="Arial"/>
          <w:sz w:val="20"/>
          <w:szCs w:val="20"/>
          <w:color w:val="000000"/>
        </w:rPr>
        <w:t>Board and/or the</w:t>
      </w:r>
      <w:r>
        <w:rPr>
          <w:rFonts w:ascii="Arial" w:cs="Arial" w:eastAsia="Arial" w:hAnsi="Arial"/>
          <w:sz w:val="20"/>
          <w:szCs w:val="20"/>
          <w:color w:val="0000FF"/>
        </w:rPr>
        <w:t xml:space="preserve"> </w:t>
      </w:r>
      <w:r>
        <w:rPr>
          <w:rFonts w:ascii="Arial" w:cs="Arial" w:eastAsia="Arial" w:hAnsi="Arial"/>
          <w:sz w:val="20"/>
          <w:szCs w:val="20"/>
          <w:color w:val="FF0000"/>
          <w:strike w:val="1"/>
        </w:rPr>
        <w:t>NYFRB</w:t>
      </w:r>
      <w:r>
        <w:rPr>
          <w:rFonts w:ascii="Arial" w:cs="Arial" w:eastAsia="Arial" w:hAnsi="Arial"/>
          <w:sz w:val="20"/>
          <w:szCs w:val="20"/>
          <w:u w:val="single" w:color="auto"/>
          <w:color w:val="0000FF"/>
        </w:rPr>
        <w:t>Federal Reserve Bank</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of New York</w:t>
      </w:r>
      <w:r>
        <w:rPr>
          <w:rFonts w:ascii="Arial" w:cs="Arial" w:eastAsia="Arial" w:hAnsi="Arial"/>
          <w:sz w:val="20"/>
          <w:szCs w:val="20"/>
          <w:color w:val="0000FF"/>
        </w:rPr>
        <w:t xml:space="preserve"> </w:t>
      </w:r>
      <w:r>
        <w:rPr>
          <w:rFonts w:ascii="Arial" w:cs="Arial" w:eastAsia="Arial" w:hAnsi="Arial"/>
          <w:sz w:val="20"/>
          <w:szCs w:val="20"/>
          <w:color w:val="000000"/>
        </w:rPr>
        <w:t>or, in each case, any successor thereto.</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i w:val="1"/>
          <w:iCs w:val="1"/>
          <w:color w:val="FF0000"/>
          <w:strike w:val="1"/>
        </w:rPr>
        <w:t>SOFR</w:t>
      </w:r>
      <w:r>
        <w:rPr>
          <w:rFonts w:ascii="Arial" w:cs="Arial" w:eastAsia="Arial" w:hAnsi="Arial"/>
          <w:sz w:val="19"/>
          <w:szCs w:val="19"/>
          <w:color w:val="FF0000"/>
          <w:strike w:val="1"/>
        </w:rPr>
        <w:t>” means, for any Business Day, a rate per annum equal to the secured overnight financing rate for such</w:t>
      </w:r>
    </w:p>
    <w:p>
      <w:pPr>
        <w:ind w:left="1300"/>
        <w:spacing w:after="0" w:line="226" w:lineRule="auto"/>
        <w:rPr>
          <w:sz w:val="20"/>
          <w:szCs w:val="20"/>
          <w:color w:val="auto"/>
        </w:rPr>
      </w:pPr>
      <w:r>
        <w:rPr>
          <w:rFonts w:ascii="Arial" w:cs="Arial" w:eastAsia="Arial" w:hAnsi="Arial"/>
          <w:sz w:val="18"/>
          <w:szCs w:val="18"/>
          <w:color w:val="FF0000"/>
          <w:strike w:val="1"/>
        </w:rPr>
        <w:t xml:space="preserve">Business Day published by </w:t>
      </w:r>
      <w:r>
        <w:rPr>
          <w:rFonts w:ascii="Arial" w:cs="Arial" w:eastAsia="Arial" w:hAnsi="Arial"/>
          <w:sz w:val="18"/>
          <w:szCs w:val="18"/>
          <w:color w:val="008000"/>
          <w:strike w:val="1"/>
        </w:rPr>
        <w:t>the Federal Reserve Bank of New York (or a successor administrator of the secured overnight</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financing rate) </w:t>
      </w:r>
      <w:r>
        <w:rPr>
          <w:rFonts w:ascii="Arial" w:cs="Arial" w:eastAsia="Arial" w:hAnsi="Arial"/>
          <w:sz w:val="18"/>
          <w:szCs w:val="18"/>
          <w:color w:val="FF0000"/>
          <w:strike w:val="1"/>
        </w:rPr>
        <w:t>on</w:t>
      </w:r>
      <w:r>
        <w:rPr>
          <w:rFonts w:ascii="Arial" w:cs="Arial" w:eastAsia="Arial" w:hAnsi="Arial"/>
          <w:sz w:val="18"/>
          <w:szCs w:val="18"/>
          <w:color w:val="008000"/>
          <w:strike w:val="1"/>
        </w:rPr>
        <w:t xml:space="preserve"> the website of the Federal Reserve Bank of New York, currently at http://www.newyorkfed.org</w:t>
      </w:r>
      <w:r>
        <w:rPr>
          <w:rFonts w:ascii="Arial" w:cs="Arial" w:eastAsia="Arial" w:hAnsi="Arial"/>
          <w:sz w:val="18"/>
          <w:szCs w:val="18"/>
          <w:color w:val="FF0000"/>
          <w:strike w:val="1"/>
        </w:rPr>
        <w:t>. (or any</w:t>
      </w:r>
    </w:p>
    <w:p>
      <w:pPr>
        <w:spacing w:after="0" w:line="2" w:lineRule="exact"/>
        <w:rPr>
          <w:sz w:val="20"/>
          <w:szCs w:val="20"/>
          <w:color w:val="auto"/>
        </w:rPr>
      </w:pPr>
    </w:p>
    <w:p>
      <w:pPr>
        <w:ind w:left="1300"/>
        <w:spacing w:after="0" w:line="227" w:lineRule="auto"/>
        <w:rPr>
          <w:sz w:val="20"/>
          <w:szCs w:val="20"/>
          <w:color w:val="auto"/>
        </w:rPr>
      </w:pPr>
      <w:r>
        <w:rPr>
          <w:rFonts w:ascii="Arial" w:cs="Arial" w:eastAsia="Arial" w:hAnsi="Arial"/>
          <w:sz w:val="20"/>
          <w:szCs w:val="20"/>
          <w:color w:val="FF0000"/>
          <w:strike w:val="1"/>
        </w:rPr>
        <w:t>successor source for the secured overnight financing rate identified as such by the administrator of the secured overnight financing rate from time to time), on the immediately succeeding Business Day.</w:t>
      </w:r>
    </w:p>
    <w:p>
      <w:pPr>
        <w:spacing w:after="0" w:line="156" w:lineRule="exact"/>
        <w:rPr>
          <w:sz w:val="20"/>
          <w:szCs w:val="20"/>
          <w:color w:val="auto"/>
        </w:rPr>
      </w:pPr>
    </w:p>
    <w:p>
      <w:pPr>
        <w:ind w:left="1300"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Term SOFR</w:t>
      </w:r>
      <w:r>
        <w:rPr>
          <w:rFonts w:ascii="Arial" w:cs="Arial" w:eastAsia="Arial" w:hAnsi="Arial"/>
          <w:sz w:val="20"/>
          <w:szCs w:val="20"/>
          <w:color w:val="FF0000"/>
          <w:strike w:val="1"/>
        </w:rPr>
        <w:t xml:space="preserve">” means, for the applicable Corresponding Tenor, </w:t>
      </w:r>
      <w:r>
        <w:rPr>
          <w:rFonts w:ascii="Arial" w:cs="Arial" w:eastAsia="Arial" w:hAnsi="Arial"/>
          <w:sz w:val="20"/>
          <w:szCs w:val="20"/>
          <w:color w:val="008000"/>
          <w:strike w:val="1"/>
        </w:rPr>
        <w:t>the forward-looking term rate based on SOFR</w:t>
      </w:r>
      <w:r>
        <w:rPr>
          <w:rFonts w:ascii="Arial" w:cs="Arial" w:eastAsia="Arial" w:hAnsi="Arial"/>
          <w:sz w:val="20"/>
          <w:szCs w:val="20"/>
          <w:color w:val="FF0000"/>
          <w:strike w:val="1"/>
        </w:rPr>
        <w:t xml:space="preserve"> that has been selected or recommended by the Relevant Governmental Body.</w:t>
      </w:r>
    </w:p>
    <w:p>
      <w:pPr>
        <w:spacing w:after="0" w:line="169" w:lineRule="exact"/>
        <w:rPr>
          <w:sz w:val="20"/>
          <w:szCs w:val="20"/>
          <w:color w:val="auto"/>
        </w:rPr>
      </w:pPr>
    </w:p>
    <w:p>
      <w:pPr>
        <w:ind w:left="1300"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III</w:t>
      </w:r>
    </w:p>
    <w:p>
      <w:pPr>
        <w:spacing w:after="0" w:line="148"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REPRESENTATIONS AND WARRANTIES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represents and warrants to the Lenders and the Joint Lead Arrangers as of the Closing Date (and, as and to the extent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required by each of Section 2.04 and Section 2.22, on the effective date of any Incremental Term Loan Commitments or any Extension Date, as applicable) that:</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8"/>
          <w:szCs w:val="18"/>
          <w:u w:val="single" w:color="auto"/>
          <w:color w:val="auto"/>
        </w:rPr>
        <w:t>Organization; Powers</w:t>
      </w:r>
      <w:r>
        <w:rPr>
          <w:rFonts w:ascii="Arial" w:cs="Arial" w:eastAsia="Arial" w:hAnsi="Arial"/>
          <w:sz w:val="18"/>
          <w:szCs w:val="18"/>
          <w:color w:val="auto"/>
        </w:rPr>
        <w:t>. The Borrower and each Subsidiary is duly organized, incorporated or established, validly</w:t>
      </w:r>
    </w:p>
    <w:p>
      <w:pPr>
        <w:spacing w:after="0" w:line="215" w:lineRule="auto"/>
        <w:rPr>
          <w:sz w:val="20"/>
          <w:szCs w:val="20"/>
          <w:color w:val="auto"/>
        </w:rPr>
      </w:pPr>
      <w:r>
        <w:rPr>
          <w:rFonts w:ascii="Arial" w:cs="Arial" w:eastAsia="Arial" w:hAnsi="Arial"/>
          <w:sz w:val="19"/>
          <w:szCs w:val="19"/>
          <w:color w:val="auto"/>
        </w:rPr>
        <w:t>existing and in good standing (if applicable or, if applicable in a foreign jurisdiction, enjoys the equivalent status under the laws of any jurisdiction of organization outside the United States) under the laws of the jurisdiction of its incorporation, establishment, formation or</w:t>
      </w:r>
    </w:p>
    <w:p>
      <w:pPr>
        <w:spacing w:after="0" w:line="222" w:lineRule="auto"/>
        <w:rPr>
          <w:sz w:val="20"/>
          <w:szCs w:val="20"/>
          <w:color w:val="auto"/>
        </w:rPr>
      </w:pPr>
      <w:r>
        <w:rPr>
          <w:rFonts w:ascii="Arial" w:cs="Arial" w:eastAsia="Arial" w:hAnsi="Arial"/>
          <w:sz w:val="19"/>
          <w:szCs w:val="19"/>
          <w:color w:val="auto"/>
        </w:rPr>
        <w:t>organization, has all requisite power and authority to carry on its business as now conducted and, except where the failure to do so,</w:t>
      </w:r>
    </w:p>
    <w:p>
      <w:pPr>
        <w:spacing w:after="0" w:line="220" w:lineRule="auto"/>
        <w:rPr>
          <w:sz w:val="20"/>
          <w:szCs w:val="20"/>
          <w:color w:val="auto"/>
        </w:rPr>
      </w:pPr>
      <w:r>
        <w:rPr>
          <w:rFonts w:ascii="Arial" w:cs="Arial" w:eastAsia="Arial" w:hAnsi="Arial"/>
          <w:sz w:val="20"/>
          <w:szCs w:val="20"/>
          <w:color w:val="auto"/>
        </w:rPr>
        <w:t>individually or in the aggregate, could not reasonably be expected to result in a Material Adverse Effect, is qualified to do business in, and is in good standing in, every jurisdiction where such qualification is required.</w:t>
      </w:r>
    </w:p>
    <w:p>
      <w:pPr>
        <w:spacing w:after="0" w:line="15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each Loan Party’s corporate, partnership, limited liability</w:t>
      </w:r>
    </w:p>
    <w:p>
      <w:pPr>
        <w:spacing w:after="0" w:line="226" w:lineRule="auto"/>
        <w:rPr>
          <w:sz w:val="20"/>
          <w:szCs w:val="20"/>
          <w:color w:val="auto"/>
        </w:rPr>
      </w:pPr>
      <w:r>
        <w:rPr>
          <w:rFonts w:ascii="Arial" w:cs="Arial" w:eastAsia="Arial" w:hAnsi="Arial"/>
          <w:sz w:val="18"/>
          <w:szCs w:val="18"/>
          <w:color w:val="auto"/>
        </w:rPr>
        <w:t>company or other organizational powers and have been duly authorized by all necessary corporate, partnership, limited liability company or other organizational action. Each of this Agreement and the other Loan Documents to which a Loan Party is a party has been duly executed</w:t>
      </w:r>
    </w:p>
    <w:p>
      <w:pPr>
        <w:spacing w:after="0" w:line="236" w:lineRule="auto"/>
        <w:rPr>
          <w:sz w:val="20"/>
          <w:szCs w:val="20"/>
          <w:color w:val="auto"/>
        </w:rPr>
      </w:pPr>
      <w:r>
        <w:rPr>
          <w:rFonts w:ascii="Arial" w:cs="Arial" w:eastAsia="Arial" w:hAnsi="Arial"/>
          <w:sz w:val="18"/>
          <w:szCs w:val="18"/>
          <w:color w:val="auto"/>
        </w:rPr>
        <w:t>and delivered by such Loan Party and constitutes a legal, valid and binding obligation of such Loan Party, enforceable against such Loan</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84" w:name="page85"/>
    <w:bookmarkEnd w:id="84"/>
    <w:p>
      <w:pPr>
        <w:jc w:val="both"/>
        <w:ind w:firstLine="648"/>
        <w:spacing w:after="0" w:line="23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Transactions (a) do not require any consent or approval of, registration or filing with, or any other action by, any Governmental Authority, except such as have been obtained or made and are in full force and effect,</w:t>
      </w:r>
    </w:p>
    <w:p>
      <w:pPr>
        <w:jc w:val="both"/>
        <w:ind w:firstLine="8"/>
        <w:spacing w:after="0" w:line="225" w:lineRule="auto"/>
        <w:tabs>
          <w:tab w:leader="none" w:pos="295"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will not violate (i) any applicable law or regulation (except to the extent such violation could not reasonably be expected to result in a Material Adverse Effect) or (ii) the charter, by-laws or other organizational documents of the Borrower or any of its Subsidiaries or (iii) any material order of any Governmental Authority, (c) will not violate or result in a default under any material indenture, agreement or other instrument binding upon the Borrower or any of its Subsidiaries or their assets, or give rise to a right thereunder to require any payment to be made by the Borrower or any of its Subsidiaries and (d) will not result in the creation or imposition of any material Lien on any asset of the Borrower or any of its Subsidiaries, other than any Permitted Lien.</w:t>
      </w:r>
    </w:p>
    <w:p>
      <w:pPr>
        <w:spacing w:after="0" w:line="1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The Borrower has heretofore furnished to the Lenders its consolidated balance sheet and statements of income, retained earnings and cash flows as of and for the fiscal year ended October 31, 2021,</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audited by KPMG LLP, independent public accountants. Such financial statements present fairly, in all material respects, the financial position and results of operations and cash flows of the Borrower and its consolidated Subsidiaries as of such dates and for such periods in</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accordance with GAAP, subject to year-end audit adjustments and the absence of footnotes in the case of the statements referred to in clause (ii) above.</w:t>
      </w:r>
    </w:p>
    <w:p>
      <w:pPr>
        <w:spacing w:after="0" w:line="156" w:lineRule="exact"/>
        <w:rPr>
          <w:sz w:val="20"/>
          <w:szCs w:val="20"/>
          <w:color w:val="auto"/>
        </w:rPr>
      </w:pPr>
    </w:p>
    <w:p>
      <w:pPr>
        <w:ind w:right="20" w:firstLine="1304"/>
        <w:spacing w:after="0" w:line="236" w:lineRule="auto"/>
        <w:tabs>
          <w:tab w:leader="none" w:pos="1903" w:val="left"/>
        </w:tabs>
        <w:numPr>
          <w:ilvl w:val="0"/>
          <w:numId w:val="61"/>
        </w:numPr>
        <w:rPr>
          <w:rFonts w:ascii="Arial" w:cs="Arial" w:eastAsia="Arial" w:hAnsi="Arial"/>
          <w:sz w:val="20"/>
          <w:szCs w:val="20"/>
          <w:color w:val="auto"/>
        </w:rPr>
      </w:pPr>
      <w:r>
        <w:rPr>
          <w:rFonts w:ascii="Arial" w:cs="Arial" w:eastAsia="Arial" w:hAnsi="Arial"/>
          <w:sz w:val="20"/>
          <w:szCs w:val="20"/>
          <w:color w:val="auto"/>
        </w:rPr>
        <w:t>Since October 31, 2021, no event, development or circumstance has occurred which has resulted in, or could reasonably be expected to result in, a Material Adverse Effect.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(a) Each of the Borrower and its Subsidiaries has good title to, or valid leasehold interests in, all its real and personal property material to its business, except for minor defects in title that do not interfere with its ability to conduct its business as</w:t>
      </w:r>
    </w:p>
    <w:p>
      <w:pPr>
        <w:ind w:right="20"/>
        <w:spacing w:after="0" w:line="220" w:lineRule="auto"/>
        <w:rPr>
          <w:sz w:val="20"/>
          <w:szCs w:val="20"/>
          <w:color w:val="auto"/>
        </w:rPr>
      </w:pPr>
      <w:r>
        <w:rPr>
          <w:rFonts w:ascii="Arial" w:cs="Arial" w:eastAsia="Arial" w:hAnsi="Arial"/>
          <w:sz w:val="20"/>
          <w:szCs w:val="20"/>
          <w:color w:val="auto"/>
        </w:rPr>
        <w:t>currently conducted or to utilize such properties for their intended purposes or except where the failure to do so could not reasonably be expected to have a Material Adverse Effect.</w:t>
      </w:r>
    </w:p>
    <w:p>
      <w:pPr>
        <w:spacing w:after="0" w:line="170" w:lineRule="exact"/>
        <w:rPr>
          <w:sz w:val="20"/>
          <w:szCs w:val="20"/>
          <w:color w:val="auto"/>
        </w:rPr>
      </w:pPr>
    </w:p>
    <w:p>
      <w:pPr>
        <w:jc w:val="both"/>
        <w:ind w:firstLine="1304"/>
        <w:spacing w:after="0" w:line="220" w:lineRule="auto"/>
        <w:tabs>
          <w:tab w:leader="none" w:pos="1773"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of the Borrower and its Subsidiaries owns, or is licensed to use, all trademarks, tradenames, copyrights, patents and other intellectual property material to its business, and the use thereof by the Borrower and its Subsidiaries does not infringe upon the rights of any other Person, except for any such infringements that, individually or in the aggregate, could not reasonably be expected to result in a Material Adverse Effect.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 (a) There are no actions, suits or proceedings by or before any arbitrator or Governmental Authority pending against or, to the knowledge of the Borrower, threatened against or affecting the Borrower or any of its</w:t>
      </w:r>
    </w:p>
    <w:p>
      <w:pPr>
        <w:spacing w:after="0" w:line="235" w:lineRule="auto"/>
        <w:rPr>
          <w:sz w:val="20"/>
          <w:szCs w:val="20"/>
          <w:color w:val="auto"/>
        </w:rPr>
      </w:pPr>
      <w:r>
        <w:rPr>
          <w:rFonts w:ascii="Arial" w:cs="Arial" w:eastAsia="Arial" w:hAnsi="Arial"/>
          <w:sz w:val="18"/>
          <w:szCs w:val="18"/>
          <w:color w:val="auto"/>
        </w:rPr>
        <w:t>Subsidiaries (i) as to which there is a reasonable possibility of an adverse determination and that, if adversely determined, could reasonably</w:t>
      </w:r>
    </w:p>
    <w:p>
      <w:pPr>
        <w:spacing w:after="0" w:line="220" w:lineRule="auto"/>
        <w:rPr>
          <w:sz w:val="20"/>
          <w:szCs w:val="20"/>
          <w:color w:val="auto"/>
        </w:rPr>
      </w:pPr>
      <w:r>
        <w:rPr>
          <w:rFonts w:ascii="Arial" w:cs="Arial" w:eastAsia="Arial" w:hAnsi="Arial"/>
          <w:sz w:val="20"/>
          <w:szCs w:val="20"/>
          <w:color w:val="auto"/>
        </w:rPr>
        <w:t>be expected, individually or in the aggregate, to result in a Material Adverse Effect (other than the Disclosed Matters) or (ii) that involve this Agreement, the other Loan Documents or the Transactions.</w:t>
      </w:r>
    </w:p>
    <w:p>
      <w:pPr>
        <w:spacing w:after="0" w:line="170" w:lineRule="exact"/>
        <w:rPr>
          <w:sz w:val="20"/>
          <w:szCs w:val="20"/>
          <w:color w:val="auto"/>
        </w:rPr>
      </w:pPr>
    </w:p>
    <w:p>
      <w:pPr>
        <w:jc w:val="both"/>
        <w:ind w:firstLine="1304"/>
        <w:spacing w:after="0" w:line="218" w:lineRule="auto"/>
        <w:tabs>
          <w:tab w:leader="none" w:pos="1793" w:val="left"/>
        </w:tabs>
        <w:numPr>
          <w:ilvl w:val="0"/>
          <w:numId w:val="63"/>
        </w:numPr>
        <w:rPr>
          <w:rFonts w:ascii="Arial" w:cs="Arial" w:eastAsia="Arial" w:hAnsi="Arial"/>
          <w:sz w:val="20"/>
          <w:szCs w:val="20"/>
          <w:color w:val="auto"/>
        </w:rPr>
      </w:pPr>
      <w:r>
        <w:rPr>
          <w:rFonts w:ascii="Arial" w:cs="Arial" w:eastAsia="Arial" w:hAnsi="Arial"/>
          <w:sz w:val="20"/>
          <w:szCs w:val="20"/>
          <w:color w:val="auto"/>
        </w:rPr>
        <w:t>Except for the Disclosed Matters and except with respect to any other matters that, individually or in the aggregate, could not reasonably be expected to result in a Material Adverse Effect, neither the Borrower nor any of its Subsidiaries (i) has become subject to any Environmental Liability, (ii) has received notice of any claim with respect to any Environmental Liability or (iii) knows of any basis upon which the Borrower or any of its Subsidiaries would reasonably be expected to become subject to any Environmental Liability arising under Environmental Laws as currently in effect.</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(including Environmental Laws) and all indentures,</w:t>
      </w:r>
    </w:p>
    <w:p>
      <w:pPr>
        <w:spacing w:after="0" w:line="220" w:lineRule="auto"/>
        <w:rPr>
          <w:sz w:val="20"/>
          <w:szCs w:val="20"/>
          <w:color w:val="auto"/>
        </w:rPr>
      </w:pPr>
      <w:r>
        <w:rPr>
          <w:rFonts w:ascii="Arial" w:cs="Arial" w:eastAsia="Arial" w:hAnsi="Arial"/>
          <w:sz w:val="20"/>
          <w:szCs w:val="20"/>
          <w:color w:val="auto"/>
        </w:rPr>
        <w:t>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85" w:name="page86"/>
    <w:bookmarkEnd w:id="85"/>
    <w:p>
      <w:pPr>
        <w:ind w:firstLine="648"/>
        <w:spacing w:after="0" w:line="236"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Investment Company Status</w:t>
      </w:r>
      <w:r>
        <w:rPr>
          <w:rFonts w:ascii="Arial" w:cs="Arial" w:eastAsia="Arial" w:hAnsi="Arial"/>
          <w:sz w:val="20"/>
          <w:szCs w:val="20"/>
          <w:color w:val="auto"/>
        </w:rPr>
        <w:t>. Neither the Borrower nor any of its Subsidiaries is an “investment company” as defined in, or subject to regulation under, the Investment Company Act of 1940.</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Tax returns and reports required to have been filed by it and has paid or caused to be paid all Taxes required to have been paid by it, except (a) Taxes that are being</w:t>
      </w:r>
    </w:p>
    <w:p>
      <w:pPr>
        <w:spacing w:after="0" w:line="226" w:lineRule="auto"/>
        <w:rPr>
          <w:sz w:val="20"/>
          <w:szCs w:val="20"/>
          <w:color w:val="auto"/>
        </w:rPr>
      </w:pPr>
      <w:r>
        <w:rPr>
          <w:rFonts w:ascii="Arial" w:cs="Arial" w:eastAsia="Arial" w:hAnsi="Arial"/>
          <w:sz w:val="18"/>
          <w:szCs w:val="18"/>
          <w:color w:val="auto"/>
        </w:rPr>
        <w:t>contested in good faith by appropriate proceedings and for which the Borrower or such Subsidiary, as applicable, has set aside on its books adequate reserves in accordance with GAAP or (b) to the extent that the failure to do so could not reasonably be expected to result in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Material Adverse Effect.</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235" w:lineRule="auto"/>
        <w:rPr>
          <w:sz w:val="20"/>
          <w:szCs w:val="20"/>
          <w:color w:val="auto"/>
        </w:rPr>
      </w:pPr>
      <w:r>
        <w:rPr>
          <w:rFonts w:ascii="Arial" w:cs="Arial" w:eastAsia="Arial" w:hAnsi="Arial"/>
          <w:sz w:val="18"/>
          <w:szCs w:val="18"/>
          <w:color w:val="auto"/>
        </w:rPr>
        <w:t>The excess of the present value of all accumulated benefit obligations under each Plan (based on the assumptions used for purposes of</w:t>
      </w:r>
    </w:p>
    <w:p>
      <w:pPr>
        <w:spacing w:after="0" w:line="255" w:lineRule="auto"/>
        <w:rPr>
          <w:sz w:val="20"/>
          <w:szCs w:val="20"/>
          <w:color w:val="auto"/>
        </w:rPr>
      </w:pPr>
      <w:r>
        <w:rPr>
          <w:rFonts w:ascii="Arial" w:cs="Arial" w:eastAsia="Arial" w:hAnsi="Arial"/>
          <w:sz w:val="16"/>
          <w:szCs w:val="16"/>
          <w:color w:val="auto"/>
        </w:rPr>
        <w:t>Statement of Financial Accounting Standards No. 87) as of the date of the most recent financial statements reflecting such amounts, over the fair market value of the assets of such Plan could not reasonably be expected to have a Material Adverse Effect, and the excess of the present</w:t>
      </w:r>
    </w:p>
    <w:p>
      <w:pPr>
        <w:spacing w:after="0" w:line="235" w:lineRule="auto"/>
        <w:rPr>
          <w:sz w:val="20"/>
          <w:szCs w:val="20"/>
          <w:color w:val="auto"/>
        </w:rPr>
      </w:pPr>
      <w:r>
        <w:rPr>
          <w:rFonts w:ascii="Arial" w:cs="Arial" w:eastAsia="Arial" w:hAnsi="Arial"/>
          <w:sz w:val="18"/>
          <w:szCs w:val="18"/>
          <w:color w:val="auto"/>
        </w:rPr>
        <w:t>value of all accumulated benefit obligations of all underfunded Plans (based on the assumptions used for purposes of Statement of Financial</w:t>
      </w:r>
    </w:p>
    <w:p>
      <w:pPr>
        <w:ind w:right="20"/>
        <w:spacing w:after="0" w:line="220" w:lineRule="auto"/>
        <w:rPr>
          <w:sz w:val="20"/>
          <w:szCs w:val="20"/>
          <w:color w:val="auto"/>
        </w:rPr>
      </w:pPr>
      <w:r>
        <w:rPr>
          <w:rFonts w:ascii="Arial" w:cs="Arial" w:eastAsia="Arial" w:hAnsi="Arial"/>
          <w:sz w:val="20"/>
          <w:szCs w:val="20"/>
          <w:color w:val="auto"/>
        </w:rPr>
        <w:t>Accounting Standards No. 87) as of the date of the most recent financial statements reflecting such amounts, over the fair market value of the assets of all such underfunded Plans could not reasonably be expected to have a Material Adverse Effect.</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color w:val="auto"/>
        </w:rPr>
        <w:t>Section 3.11</w:t>
      </w:r>
      <w:r>
        <w:rPr>
          <w:sz w:val="20"/>
          <w:szCs w:val="20"/>
          <w:color w:val="auto"/>
        </w:rPr>
        <w:tab/>
      </w:r>
      <w:r>
        <w:rPr>
          <w:rFonts w:ascii="Arial" w:cs="Arial" w:eastAsia="Arial" w:hAnsi="Arial"/>
          <w:sz w:val="16"/>
          <w:szCs w:val="16"/>
          <w:u w:val="single" w:color="auto"/>
          <w:color w:val="auto"/>
        </w:rPr>
        <w:t>Disclosure</w:t>
      </w:r>
      <w:r>
        <w:rPr>
          <w:rFonts w:ascii="Arial" w:cs="Arial" w:eastAsia="Arial" w:hAnsi="Arial"/>
          <w:sz w:val="16"/>
          <w:szCs w:val="16"/>
          <w:color w:val="auto"/>
        </w:rPr>
        <w:t>. The Borrower has disclosed to the Lenders all agreements, instruments and corporate or other restrictions</w:t>
      </w:r>
    </w:p>
    <w:p>
      <w:pPr>
        <w:spacing w:after="0" w:line="226" w:lineRule="auto"/>
        <w:rPr>
          <w:sz w:val="20"/>
          <w:szCs w:val="20"/>
          <w:color w:val="auto"/>
        </w:rPr>
      </w:pPr>
      <w:r>
        <w:rPr>
          <w:rFonts w:ascii="Arial" w:cs="Arial" w:eastAsia="Arial" w:hAnsi="Arial"/>
          <w:sz w:val="18"/>
          <w:szCs w:val="18"/>
          <w:color w:val="auto"/>
        </w:rPr>
        <w:t>to which it or any of its Subsidiaries is subject, and all other matters known to it, that, individually or in the aggregate, could reasonably be expected to result in a Material Adverse Effect. As of the Closing Date, none of the reports, financial statements, certificates or other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information furnished by or on behalf of the Borrower to the Administrative Agent or any Lender in connection with the negotiation of this Agreement or delivered hereunder (as modified or supplemented by other information so furnished), taken as a whole, contains any material</w:t>
      </w:r>
    </w:p>
    <w:p>
      <w:pPr>
        <w:spacing w:after="0" w:line="236" w:lineRule="auto"/>
        <w:rPr>
          <w:sz w:val="20"/>
          <w:szCs w:val="20"/>
          <w:color w:val="auto"/>
        </w:rPr>
      </w:pPr>
      <w:r>
        <w:rPr>
          <w:rFonts w:ascii="Arial" w:cs="Arial" w:eastAsia="Arial" w:hAnsi="Arial"/>
          <w:sz w:val="18"/>
          <w:szCs w:val="18"/>
          <w:color w:val="auto"/>
        </w:rPr>
        <w:t>misstatement of fact or omits to state any material fact necessary to make the statements therein, in the light of the circumstances under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projected financial information prepared by the Borrower or any of the Borrower’s Subsidiaries is only represented herein as being based on good faith estimates and assumptions believed by such persons to be reasonable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time made, it being recognized by the Lenders that such projections as to future events are not to be viewed as facts and that actual results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during the period or periods covered by any such projections may differ materially from the projected results. As of the Closing Date, the information included in the Beneficial Ownership Certification is true and correct in all respects.</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u w:val="single" w:color="auto"/>
          <w:color w:val="auto"/>
        </w:rPr>
        <w:t>Sanctions Laws and Regulations; Anti-Corruption Laws; PATRIOT Act</w:t>
      </w:r>
      <w:r>
        <w:rPr>
          <w:rFonts w:ascii="Arial" w:cs="Arial" w:eastAsia="Arial" w:hAnsi="Arial"/>
          <w:sz w:val="18"/>
          <w:szCs w:val="18"/>
          <w:color w:val="FF0000"/>
          <w:strike w:val="1"/>
        </w:rPr>
        <w:t>.</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w:t>
      </w:r>
    </w:p>
    <w:p>
      <w:pPr>
        <w:spacing w:after="0" w:line="189" w:lineRule="exact"/>
        <w:rPr>
          <w:sz w:val="20"/>
          <w:szCs w:val="20"/>
          <w:color w:val="auto"/>
        </w:rPr>
      </w:pPr>
    </w:p>
    <w:p>
      <w:pPr>
        <w:ind w:right="20" w:firstLine="1304"/>
        <w:spacing w:after="0" w:line="229" w:lineRule="auto"/>
        <w:tabs>
          <w:tab w:leader="none" w:pos="1748" w:val="left"/>
        </w:tabs>
        <w:numPr>
          <w:ilvl w:val="0"/>
          <w:numId w:val="64"/>
        </w:numPr>
        <w:rPr>
          <w:rFonts w:ascii="Arial" w:cs="Arial" w:eastAsia="Arial" w:hAnsi="Arial"/>
          <w:sz w:val="20"/>
          <w:szCs w:val="20"/>
          <w:color w:val="auto"/>
        </w:rPr>
      </w:pPr>
      <w:r>
        <w:rPr>
          <w:rFonts w:ascii="Arial" w:cs="Arial" w:eastAsia="Arial" w:hAnsi="Arial"/>
          <w:sz w:val="20"/>
          <w:szCs w:val="20"/>
          <w:color w:val="auto"/>
        </w:rPr>
        <w:t>None of the Borrower or its Subsidiaries, or to the best of its knowledge any of its directors, officers, brokers or other agents acting or benefiting in any capacity in connection with this Agreement, is a Designated Person.</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No Borrowing, use of proceeds or other transaction contemplated by this Agreement will:</w:t>
      </w:r>
    </w:p>
    <w:p>
      <w:pPr>
        <w:spacing w:after="0" w:line="188" w:lineRule="exact"/>
        <w:rPr>
          <w:rFonts w:ascii="Arial" w:cs="Arial" w:eastAsia="Arial" w:hAnsi="Arial"/>
          <w:sz w:val="20"/>
          <w:szCs w:val="20"/>
          <w:color w:val="auto"/>
        </w:rPr>
      </w:pPr>
    </w:p>
    <w:p>
      <w:pPr>
        <w:ind w:left="2340" w:hanging="388"/>
        <w:spacing w:after="0"/>
        <w:tabs>
          <w:tab w:leader="none" w:pos="2340" w:val="left"/>
        </w:tabs>
        <w:numPr>
          <w:ilvl w:val="1"/>
          <w:numId w:val="64"/>
        </w:numPr>
        <w:rPr>
          <w:rFonts w:ascii="Arial" w:cs="Arial" w:eastAsia="Arial" w:hAnsi="Arial"/>
          <w:sz w:val="20"/>
          <w:szCs w:val="20"/>
          <w:color w:val="auto"/>
        </w:rPr>
      </w:pPr>
      <w:r>
        <w:rPr>
          <w:rFonts w:ascii="Arial" w:cs="Arial" w:eastAsia="Arial" w:hAnsi="Arial"/>
          <w:sz w:val="20"/>
          <w:szCs w:val="20"/>
          <w:color w:val="auto"/>
        </w:rPr>
        <w:t>violate any applicable Sanctions Laws and Regulations;</w:t>
      </w:r>
    </w:p>
    <w:p>
      <w:pPr>
        <w:spacing w:after="0" w:line="175" w:lineRule="exact"/>
        <w:rPr>
          <w:rFonts w:ascii="Arial" w:cs="Arial" w:eastAsia="Arial" w:hAnsi="Arial"/>
          <w:sz w:val="20"/>
          <w:szCs w:val="20"/>
          <w:color w:val="auto"/>
        </w:rPr>
      </w:pPr>
    </w:p>
    <w:p>
      <w:pPr>
        <w:jc w:val="both"/>
        <w:ind w:left="660" w:firstLine="1292"/>
        <w:spacing w:after="0" w:line="227" w:lineRule="auto"/>
        <w:tabs>
          <w:tab w:leader="none" w:pos="2501" w:val="left"/>
        </w:tabs>
        <w:numPr>
          <w:ilvl w:val="1"/>
          <w:numId w:val="64"/>
        </w:numPr>
        <w:rPr>
          <w:rFonts w:ascii="Arial" w:cs="Arial" w:eastAsia="Arial" w:hAnsi="Arial"/>
          <w:sz w:val="20"/>
          <w:szCs w:val="20"/>
          <w:color w:val="auto"/>
        </w:rPr>
      </w:pPr>
      <w:r>
        <w:rPr>
          <w:rFonts w:ascii="Arial" w:cs="Arial" w:eastAsia="Arial" w:hAnsi="Arial"/>
          <w:sz w:val="20"/>
          <w:szCs w:val="20"/>
          <w:color w:val="auto"/>
        </w:rPr>
        <w:t>be used, directly or indirectly, in furtherance of an offer, payment, promise to pay, or authorization of the payment or giving of money, or anything else of value, to any Person in violation of the FCPA or any other applicable anti-corruption law; or</w:t>
      </w:r>
    </w:p>
    <w:p>
      <w:pPr>
        <w:spacing w:after="0" w:line="157" w:lineRule="exact"/>
        <w:rPr>
          <w:rFonts w:ascii="Arial" w:cs="Arial" w:eastAsia="Arial" w:hAnsi="Arial"/>
          <w:sz w:val="20"/>
          <w:szCs w:val="20"/>
          <w:color w:val="auto"/>
        </w:rPr>
      </w:pPr>
    </w:p>
    <w:p>
      <w:pPr>
        <w:jc w:val="both"/>
        <w:ind w:left="660" w:firstLine="1292"/>
        <w:spacing w:after="0" w:line="227" w:lineRule="auto"/>
        <w:tabs>
          <w:tab w:leader="none" w:pos="2505" w:val="left"/>
        </w:tabs>
        <w:numPr>
          <w:ilvl w:val="1"/>
          <w:numId w:val="64"/>
        </w:numPr>
        <w:rPr>
          <w:rFonts w:ascii="Arial" w:cs="Arial" w:eastAsia="Arial" w:hAnsi="Arial"/>
          <w:sz w:val="20"/>
          <w:szCs w:val="20"/>
          <w:color w:val="auto"/>
        </w:rPr>
      </w:pPr>
      <w:r>
        <w:rPr>
          <w:rFonts w:ascii="Arial" w:cs="Arial" w:eastAsia="Arial" w:hAnsi="Arial"/>
          <w:sz w:val="20"/>
          <w:szCs w:val="20"/>
          <w:color w:val="auto"/>
        </w:rPr>
        <w:t>violate the any regulations passed under the USA PATRIOT Act or will violate the Trading with the Enemy Act, the International Emergency Economic Powers Act, or any regulations passed thereunder, including the foreign assets control regulations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86" w:name="page87"/>
    <w:bookmarkEnd w:id="86"/>
    <w:p>
      <w:pPr>
        <w:ind w:left="660" w:right="20"/>
        <w:spacing w:after="0" w:line="236" w:lineRule="auto"/>
        <w:rPr>
          <w:sz w:val="20"/>
          <w:szCs w:val="20"/>
          <w:color w:val="auto"/>
        </w:rPr>
      </w:pPr>
      <w:r>
        <w:rPr>
          <w:rFonts w:ascii="Arial" w:cs="Arial" w:eastAsia="Arial" w:hAnsi="Arial"/>
          <w:sz w:val="20"/>
          <w:szCs w:val="20"/>
          <w:color w:val="auto"/>
        </w:rPr>
        <w:t>States Treasury Department (31 C.F.R., Subtitle B, Chapter V) or any enabling legislation or executive order relating thereto or successor statute thereto.</w:t>
      </w:r>
    </w:p>
    <w:p>
      <w:pPr>
        <w:spacing w:after="0" w:line="155"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Federal Reserve Board Regulations</w:t>
      </w:r>
      <w:r>
        <w:rPr>
          <w:rFonts w:ascii="Arial" w:cs="Arial" w:eastAsia="Arial" w:hAnsi="Arial"/>
          <w:sz w:val="19"/>
          <w:szCs w:val="19"/>
          <w:color w:val="auto"/>
        </w:rPr>
        <w:t>. None of the Loan Parties is engaged or will engage, principally or as one of its important activities, in the business of extending credit for the purposes of “purchasing” or “carrying” any “Margin Stock” within the</w:t>
      </w:r>
    </w:p>
    <w:p>
      <w:pPr>
        <w:ind w:right="20"/>
        <w:spacing w:after="0" w:line="226" w:lineRule="auto"/>
        <w:rPr>
          <w:sz w:val="20"/>
          <w:szCs w:val="20"/>
          <w:color w:val="auto"/>
        </w:rPr>
      </w:pPr>
      <w:r>
        <w:rPr>
          <w:rFonts w:ascii="Arial" w:cs="Arial" w:eastAsia="Arial" w:hAnsi="Arial"/>
          <w:sz w:val="18"/>
          <w:szCs w:val="18"/>
          <w:color w:val="auto"/>
        </w:rPr>
        <w:t>respective meanings of such terms under Regulations U, T and X of the Board. No part of the proceeds of the Loans will be used for “purchasing” or “carrying” “Margin Stock” as so defined for any purpose which violates, or which would be inconsistent with, the provisions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of, any applicable laws or regulations of any Governmental Authority (including, without limitation, the Regulations of the Board).</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As of the Closing Date, </w:t>
      </w:r>
      <w:r>
        <w:rPr>
          <w:rFonts w:ascii="Arial" w:cs="Arial" w:eastAsia="Arial" w:hAnsi="Arial"/>
          <w:sz w:val="18"/>
          <w:szCs w:val="18"/>
          <w:u w:val="single" w:color="auto"/>
          <w:color w:val="auto"/>
        </w:rPr>
        <w:t>Schedule 3.14</w:t>
      </w:r>
      <w:r>
        <w:rPr>
          <w:rFonts w:ascii="Arial" w:cs="Arial" w:eastAsia="Arial" w:hAnsi="Arial"/>
          <w:sz w:val="18"/>
          <w:szCs w:val="18"/>
          <w:color w:val="auto"/>
        </w:rPr>
        <w:t xml:space="preserve"> sets forth the name and jurisdiction of incorporation of each Material Subsidiary and, as to each such Material Subsidiary, the percentage of each class of Equity Interests owned by the Borrower and its</w:t>
      </w:r>
    </w:p>
    <w:p>
      <w:pPr>
        <w:spacing w:after="0"/>
        <w:rPr>
          <w:sz w:val="20"/>
          <w:szCs w:val="20"/>
          <w:color w:val="auto"/>
        </w:rPr>
      </w:pPr>
      <w:r>
        <w:rPr>
          <w:rFonts w:ascii="Arial" w:cs="Arial" w:eastAsia="Arial" w:hAnsi="Arial"/>
          <w:sz w:val="20"/>
          <w:szCs w:val="20"/>
          <w:color w:val="auto"/>
        </w:rPr>
        <w:t>other Subsidiaries.</w:t>
      </w:r>
    </w:p>
    <w:p>
      <w:pPr>
        <w:spacing w:after="0" w:line="17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Solvency</w:t>
      </w:r>
      <w:r>
        <w:rPr>
          <w:rFonts w:ascii="Arial" w:cs="Arial" w:eastAsia="Arial" w:hAnsi="Arial"/>
          <w:sz w:val="20"/>
          <w:szCs w:val="20"/>
          <w:color w:val="auto"/>
        </w:rPr>
        <w:t>. As of the Closing Date, the Borrower and its Subsidiaries, on a consolidated basis, are, and after giving effect to the incurrence of all Loans and Obligations being incurred in connection herewith will be, Solvent.</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IV</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CONDITIONS</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Closing Date</w:t>
      </w:r>
      <w:r>
        <w:rPr>
          <w:rFonts w:ascii="Arial" w:cs="Arial" w:eastAsia="Arial" w:hAnsi="Arial"/>
          <w:sz w:val="20"/>
          <w:szCs w:val="20"/>
          <w:color w:val="auto"/>
        </w:rPr>
        <w:t>. The obligations of the Lenders to make Loans hereunder shall not become effective until the date on which each of the following conditions is satisfied (or waived in accordance with Section 10.02):</w:t>
      </w:r>
    </w:p>
    <w:p>
      <w:pPr>
        <w:spacing w:after="0" w:line="169" w:lineRule="exact"/>
        <w:rPr>
          <w:sz w:val="20"/>
          <w:szCs w:val="20"/>
          <w:color w:val="auto"/>
        </w:rPr>
      </w:pPr>
    </w:p>
    <w:p>
      <w:pPr>
        <w:jc w:val="both"/>
        <w:ind w:firstLine="1304"/>
        <w:spacing w:after="0" w:line="215" w:lineRule="auto"/>
        <w:tabs>
          <w:tab w:leader="none" w:pos="1776"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each party thereto either (i) a counterpart of this Agreement, the Subsidiary Guaranty, the Closing Fee Letter and Notes in favor of each Lender requesting a Note at least three (3) Business Days prior to the Closing Date signed on behalf of such party or (ii) written evidence satisfactory to the Administrative Agent (which may include telecopy transmission of a signed signature page of this Agreement or such Loan Document) that such party has signed a counterpart of this Agreement or such Loan Document.</w:t>
      </w:r>
    </w:p>
    <w:p>
      <w:pPr>
        <w:spacing w:after="0" w:line="171" w:lineRule="exact"/>
        <w:rPr>
          <w:rFonts w:ascii="Arial" w:cs="Arial" w:eastAsia="Arial" w:hAnsi="Arial"/>
          <w:sz w:val="20"/>
          <w:szCs w:val="20"/>
          <w:color w:val="auto"/>
        </w:rPr>
      </w:pPr>
    </w:p>
    <w:p>
      <w:pPr>
        <w:jc w:val="both"/>
        <w:ind w:firstLine="1304"/>
        <w:spacing w:after="0" w:line="252" w:lineRule="auto"/>
        <w:tabs>
          <w:tab w:leader="none" w:pos="17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Administrative Agent shall have received a favorable written opinion (addressed to the Administrative Agent and the Lenders and dated the Closing Date) of Latham &amp; Watkins LLP, counsel for the Borrower and the other Loan Parties, in form and substance reasonably acceptable to the Administrative Agent. The Borrower hereby requests such counsel to deliver such opinion.</w:t>
      </w:r>
    </w:p>
    <w:p>
      <w:pPr>
        <w:spacing w:after="0" w:line="157" w:lineRule="exact"/>
        <w:rPr>
          <w:rFonts w:ascii="Arial" w:cs="Arial" w:eastAsia="Arial" w:hAnsi="Arial"/>
          <w:sz w:val="18"/>
          <w:szCs w:val="18"/>
          <w:color w:val="auto"/>
        </w:rPr>
      </w:pPr>
    </w:p>
    <w:p>
      <w:pPr>
        <w:ind w:left="1720" w:hanging="416"/>
        <w:spacing w:after="0"/>
        <w:tabs>
          <w:tab w:leader="none" w:pos="17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Administrative Agent shall have received the following items from the Borrower:</w:t>
      </w:r>
    </w:p>
    <w:p>
      <w:pPr>
        <w:spacing w:after="0" w:line="175" w:lineRule="exact"/>
        <w:rPr>
          <w:rFonts w:ascii="Arial" w:cs="Arial" w:eastAsia="Arial" w:hAnsi="Arial"/>
          <w:sz w:val="20"/>
          <w:szCs w:val="20"/>
          <w:color w:val="auto"/>
        </w:rPr>
      </w:pPr>
    </w:p>
    <w:p>
      <w:pPr>
        <w:ind w:left="660" w:right="20" w:firstLine="1292"/>
        <w:spacing w:after="0" w:line="236" w:lineRule="auto"/>
        <w:tabs>
          <w:tab w:leader="none" w:pos="2348" w:val="left"/>
        </w:tabs>
        <w:numPr>
          <w:ilvl w:val="2"/>
          <w:numId w:val="65"/>
        </w:numPr>
        <w:rPr>
          <w:rFonts w:ascii="Arial" w:cs="Arial" w:eastAsia="Arial" w:hAnsi="Arial"/>
          <w:sz w:val="20"/>
          <w:szCs w:val="20"/>
          <w:color w:val="auto"/>
        </w:rPr>
      </w:pPr>
      <w:r>
        <w:rPr>
          <w:rFonts w:ascii="Arial" w:cs="Arial" w:eastAsia="Arial" w:hAnsi="Arial"/>
          <w:sz w:val="20"/>
          <w:szCs w:val="20"/>
          <w:color w:val="auto"/>
        </w:rPr>
        <w:t>a certificate of good standing for each Loan Party from the state of organization of such Loan Party, certified by the appropriate governmental officer and dated not more than thirty (30) days prior to the Closing Date;</w:t>
      </w:r>
    </w:p>
    <w:p>
      <w:pPr>
        <w:spacing w:after="0" w:line="168" w:lineRule="exact"/>
        <w:rPr>
          <w:rFonts w:ascii="Arial" w:cs="Arial" w:eastAsia="Arial" w:hAnsi="Arial"/>
          <w:sz w:val="20"/>
          <w:szCs w:val="20"/>
          <w:color w:val="auto"/>
        </w:rPr>
      </w:pPr>
    </w:p>
    <w:p>
      <w:pPr>
        <w:jc w:val="both"/>
        <w:ind w:left="660" w:firstLine="1292"/>
        <w:spacing w:after="0" w:line="236" w:lineRule="auto"/>
        <w:tabs>
          <w:tab w:leader="none" w:pos="2442" w:val="left"/>
        </w:tabs>
        <w:numPr>
          <w:ilvl w:val="2"/>
          <w:numId w:val="65"/>
        </w:numPr>
        <w:rPr>
          <w:rFonts w:ascii="Arial" w:cs="Arial" w:eastAsia="Arial" w:hAnsi="Arial"/>
          <w:sz w:val="18"/>
          <w:szCs w:val="18"/>
          <w:color w:val="auto"/>
        </w:rPr>
      </w:pPr>
      <w:r>
        <w:rPr>
          <w:rFonts w:ascii="Arial" w:cs="Arial" w:eastAsia="Arial" w:hAnsi="Arial"/>
          <w:sz w:val="18"/>
          <w:szCs w:val="18"/>
          <w:color w:val="auto"/>
        </w:rPr>
        <w:t>a copy of the formation document of each Loan Party, together with all amendments thereto, certified as of a recent date by the appropriate governmental officer in the state of organization of such Loan Party and dated not more than thirty</w:t>
      </w:r>
    </w:p>
    <w:p>
      <w:pPr>
        <w:ind w:left="1040" w:hanging="384"/>
        <w:spacing w:after="0"/>
        <w:tabs>
          <w:tab w:leader="none" w:pos="10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days prior to the Closing Date and certified by an officer of such Loan Party;</w:t>
      </w:r>
    </w:p>
    <w:p>
      <w:pPr>
        <w:spacing w:after="0" w:line="172" w:lineRule="exact"/>
        <w:rPr>
          <w:rFonts w:ascii="Arial" w:cs="Arial" w:eastAsia="Arial" w:hAnsi="Arial"/>
          <w:sz w:val="20"/>
          <w:szCs w:val="20"/>
          <w:color w:val="auto"/>
        </w:rPr>
      </w:pPr>
    </w:p>
    <w:p>
      <w:pPr>
        <w:jc w:val="both"/>
        <w:ind w:left="660" w:firstLine="1292"/>
        <w:spacing w:after="0" w:line="220" w:lineRule="auto"/>
        <w:tabs>
          <w:tab w:leader="none" w:pos="2499" w:val="left"/>
        </w:tabs>
        <w:numPr>
          <w:ilvl w:val="2"/>
          <w:numId w:val="66"/>
        </w:numPr>
        <w:rPr>
          <w:rFonts w:ascii="Arial" w:cs="Arial" w:eastAsia="Arial" w:hAnsi="Arial"/>
          <w:sz w:val="20"/>
          <w:szCs w:val="20"/>
          <w:color w:val="auto"/>
        </w:rPr>
      </w:pPr>
      <w:r>
        <w:rPr>
          <w:rFonts w:ascii="Arial" w:cs="Arial" w:eastAsia="Arial" w:hAnsi="Arial"/>
          <w:sz w:val="20"/>
          <w:szCs w:val="20"/>
          <w:color w:val="auto"/>
        </w:rPr>
        <w:t>incumbency certificates, executed by officers of each Loan Party, which shall identify by name and title and bear the signature of the Persons authorized to sign the Loan Documents on behalf of such Loan Party (and to make borrowings hereunder on behalf of the Borrower, in the case of the Borrower), upon which certificate the Administrative Agent and the Lenders shall be entitled to rely until informed of any change in writing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87" w:name="page88"/>
    <w:bookmarkEnd w:id="87"/>
    <w:p>
      <w:pPr>
        <w:jc w:val="both"/>
        <w:ind w:left="660" w:firstLine="1292"/>
        <w:spacing w:after="0" w:line="220" w:lineRule="auto"/>
        <w:tabs>
          <w:tab w:leader="none" w:pos="2447" w:val="left"/>
        </w:tabs>
        <w:numPr>
          <w:ilvl w:val="1"/>
          <w:numId w:val="67"/>
        </w:numPr>
        <w:rPr>
          <w:rFonts w:ascii="Arial" w:cs="Arial" w:eastAsia="Arial" w:hAnsi="Arial"/>
          <w:sz w:val="20"/>
          <w:szCs w:val="20"/>
          <w:color w:val="auto"/>
        </w:rPr>
      </w:pPr>
      <w:r>
        <w:rPr>
          <w:rFonts w:ascii="Arial" w:cs="Arial" w:eastAsia="Arial" w:hAnsi="Arial"/>
          <w:sz w:val="20"/>
          <w:szCs w:val="20"/>
          <w:color w:val="auto"/>
        </w:rPr>
        <w:t>copies, certified by a Secretary or an Assistant Secretary of each Loan Party of the resolutions (and resolutions of other bodies, if any are reasonably deemed necessary by counsel for the Administrative Agent) authorizing the Borrowings provided for herein, with respect to the Borrower, and the execution, delivery and performance of the Loan Documents to be executed and delivered by the Loan Parties;</w:t>
      </w:r>
    </w:p>
    <w:p>
      <w:pPr>
        <w:spacing w:after="0" w:line="169" w:lineRule="exact"/>
        <w:rPr>
          <w:rFonts w:ascii="Arial" w:cs="Arial" w:eastAsia="Arial" w:hAnsi="Arial"/>
          <w:sz w:val="20"/>
          <w:szCs w:val="20"/>
          <w:color w:val="auto"/>
        </w:rPr>
      </w:pPr>
    </w:p>
    <w:p>
      <w:pPr>
        <w:jc w:val="both"/>
        <w:ind w:left="660" w:firstLine="1292"/>
        <w:spacing w:after="0" w:line="225" w:lineRule="auto"/>
        <w:tabs>
          <w:tab w:leader="none" w:pos="2616"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copies of the (i) U.S. GAAP audited consolidated balance sheets and related statements of income, stockholders’ equity and cash flows of the Borrower for the most recently completed fiscal year ended at least 90 days prior to the Closing Date and (ii) U.S. GAAP unaudited consolidated balance sheets and related statements of income, stockholders’ equity and cash flows of the Borrower; for each fiscal quarter (other than the fourth fiscal quarter in any fiscal year) ended after the close of its most recent fiscal year and at least 40 days prior to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be deemed to have received such financial statements of the Borrower upon the filing of such financial statements with the Securities and Exchange Commission by the Borrower of its Forms 10-Q, Forms 10-K or Forms 8-K;</w:t>
      </w:r>
    </w:p>
    <w:p>
      <w:pPr>
        <w:spacing w:after="0" w:line="159" w:lineRule="exact"/>
        <w:rPr>
          <w:rFonts w:ascii="Arial" w:cs="Arial" w:eastAsia="Arial" w:hAnsi="Arial"/>
          <w:sz w:val="19"/>
          <w:szCs w:val="19"/>
          <w:color w:val="auto"/>
        </w:rPr>
      </w:pPr>
    </w:p>
    <w:p>
      <w:pPr>
        <w:ind w:left="660" w:firstLine="1292"/>
        <w:spacing w:after="0" w:line="236" w:lineRule="auto"/>
        <w:tabs>
          <w:tab w:leader="none" w:pos="2599"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a solvency certificate from a Financial Officer of the Borrower (after giving effect to the Transactions consummated on the Closing Date) substantially in the form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 and</w:t>
      </w:r>
    </w:p>
    <w:p>
      <w:pPr>
        <w:spacing w:after="0" w:line="168" w:lineRule="exact"/>
        <w:rPr>
          <w:rFonts w:ascii="Arial" w:cs="Arial" w:eastAsia="Arial" w:hAnsi="Arial"/>
          <w:sz w:val="20"/>
          <w:szCs w:val="20"/>
          <w:color w:val="auto"/>
        </w:rPr>
      </w:pPr>
    </w:p>
    <w:p>
      <w:pPr>
        <w:ind w:left="2500" w:hanging="548"/>
        <w:spacing w:after="0"/>
        <w:tabs>
          <w:tab w:leader="none" w:pos="25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 Borrowing Request in accordance with Section 2.03.</w:t>
      </w:r>
    </w:p>
    <w:p>
      <w:pPr>
        <w:spacing w:after="0" w:line="175" w:lineRule="exact"/>
        <w:rPr>
          <w:rFonts w:ascii="Arial" w:cs="Arial" w:eastAsia="Arial" w:hAnsi="Arial"/>
          <w:sz w:val="20"/>
          <w:szCs w:val="20"/>
          <w:color w:val="auto"/>
        </w:rPr>
      </w:pPr>
    </w:p>
    <w:p>
      <w:pPr>
        <w:jc w:val="both"/>
        <w:ind w:firstLine="1304"/>
        <w:spacing w:after="0" w:line="214" w:lineRule="auto"/>
        <w:tabs>
          <w:tab w:leader="none" w:pos="1726"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Administrative Agent shall have received all fees (including the upfront fees payable to the Lenders pursuant to the Closing Fee Letter and the fees payable to the Administrative Agent and PNC Capital Markets LLC pursuant to the Administrative Agent Fee Letter) and other amounts due and payable to the Administrative Agent (if any) on or prior to the Closing Date, including, to the extent invoiced at least 2 Business Days prior to the Closing Date, reimbursement or payment of all out-of-pocket expenses required to be reimbursed or paid by the Borrower hereunder, or satisfactory evidence that such fees and amounts will be paid out of the initial Borrowing hereunder.</w:t>
      </w:r>
    </w:p>
    <w:p>
      <w:pPr>
        <w:spacing w:after="0" w:line="173" w:lineRule="exact"/>
        <w:rPr>
          <w:rFonts w:ascii="Arial" w:cs="Arial" w:eastAsia="Arial" w:hAnsi="Arial"/>
          <w:sz w:val="20"/>
          <w:szCs w:val="20"/>
          <w:color w:val="auto"/>
        </w:rPr>
      </w:pPr>
    </w:p>
    <w:p>
      <w:pPr>
        <w:ind w:firstLine="1304"/>
        <w:spacing w:after="0" w:line="236" w:lineRule="auto"/>
        <w:tabs>
          <w:tab w:leader="none" w:pos="1766"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Joint Lead Arrangers shall have received all fees payable to the Joint Lead Arrangers pursuant to the Joint Lead Arranger Fee Letter or satisfactory evidence that such fees will be paid out of the initial Borrowing hereunder.</w:t>
      </w:r>
    </w:p>
    <w:p>
      <w:pPr>
        <w:spacing w:after="0" w:line="155" w:lineRule="exact"/>
        <w:rPr>
          <w:rFonts w:ascii="Arial" w:cs="Arial" w:eastAsia="Arial" w:hAnsi="Arial"/>
          <w:sz w:val="20"/>
          <w:szCs w:val="20"/>
          <w:color w:val="auto"/>
        </w:rPr>
      </w:pPr>
    </w:p>
    <w:p>
      <w:pPr>
        <w:jc w:val="both"/>
        <w:ind w:firstLine="1304"/>
        <w:spacing w:after="0" w:line="217" w:lineRule="auto"/>
        <w:tabs>
          <w:tab w:leader="none" w:pos="169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Administrative Agent and the Lenders shall have received, at least three Business Days prior to the Closing Date all documentation and other information about the Loan Parties as shall have been reasonably requested by the Administrative Agent or such Lender at least 10 Business Days prior to the Closing Date that it shall have reasonably determined is required by regulatory authorities under applicable “know your customer” and anti-money laundering rules and regulations, including without limitation, the USA PATRIOT Act and, if any Loan Party qualifies as a “legal entity customer” under the Beneficial Ownership Regulation, a Beneficial Ownership Certification in relation to such Loan Party.</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773"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Loan Parties in Article III shall be true and correct in all material respects;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to the extent that such representations and warranties specifically refer to an earlier date, they shall be true and correct in all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material respects as of such earlier date;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70" w:lineRule="exact"/>
        <w:rPr>
          <w:rFonts w:ascii="Arial" w:cs="Arial" w:eastAsia="Arial" w:hAnsi="Arial"/>
          <w:sz w:val="20"/>
          <w:szCs w:val="20"/>
          <w:color w:val="auto"/>
        </w:rPr>
      </w:pPr>
    </w:p>
    <w:p>
      <w:pPr>
        <w:ind w:firstLine="1304"/>
        <w:spacing w:after="0" w:line="229" w:lineRule="auto"/>
        <w:tabs>
          <w:tab w:leader="none" w:pos="1718" w:val="left"/>
        </w:tabs>
        <w:numPr>
          <w:ilvl w:val="0"/>
          <w:numId w:val="68"/>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the Borrowing on the Closing Date, no Default or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88" w:name="page89"/>
    <w:bookmarkEnd w:id="88"/>
    <w:p>
      <w:pPr>
        <w:ind w:left="5020"/>
        <w:spacing w:after="0"/>
        <w:rPr>
          <w:sz w:val="20"/>
          <w:szCs w:val="20"/>
          <w:color w:val="auto"/>
        </w:rPr>
      </w:pPr>
      <w:r>
        <w:rPr>
          <w:rFonts w:ascii="Arial" w:cs="Arial" w:eastAsia="Arial" w:hAnsi="Arial"/>
          <w:sz w:val="20"/>
          <w:szCs w:val="20"/>
          <w:color w:val="auto"/>
        </w:rPr>
        <w:t>ARTICLE V</w:t>
      </w:r>
    </w:p>
    <w:p>
      <w:pPr>
        <w:spacing w:after="0" w:line="16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AFFIRMATIVE COVENANTS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Until the Commitments have expired or been terminated and the principal of and interest on each Loan and all fees and other</w:t>
      </w:r>
    </w:p>
    <w:p>
      <w:pPr>
        <w:spacing w:after="0"/>
        <w:rPr>
          <w:sz w:val="20"/>
          <w:szCs w:val="20"/>
          <w:color w:val="auto"/>
        </w:rPr>
      </w:pPr>
      <w:r>
        <w:rPr>
          <w:rFonts w:ascii="Arial" w:cs="Arial" w:eastAsia="Arial" w:hAnsi="Arial"/>
          <w:sz w:val="20"/>
          <w:szCs w:val="20"/>
          <w:color w:val="auto"/>
        </w:rPr>
        <w:t>Obligations payable hereunder shall have been paid in full, the Borrower covenants and agrees with the Lenders that:</w:t>
      </w:r>
    </w:p>
    <w:p>
      <w:pPr>
        <w:spacing w:after="0" w:line="17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Financial Statements; Ratings Change and Other Information</w:t>
      </w:r>
      <w:r>
        <w:rPr>
          <w:rFonts w:ascii="Arial" w:cs="Arial" w:eastAsia="Arial" w:hAnsi="Arial"/>
          <w:sz w:val="20"/>
          <w:szCs w:val="20"/>
          <w:color w:val="auto"/>
        </w:rPr>
        <w:t>. The Borrower will furnish to the Administrative Agent and each Lender:</w:t>
      </w:r>
    </w:p>
    <w:p>
      <w:pPr>
        <w:spacing w:after="0" w:line="169" w:lineRule="exact"/>
        <w:rPr>
          <w:sz w:val="20"/>
          <w:szCs w:val="20"/>
          <w:color w:val="auto"/>
        </w:rPr>
      </w:pPr>
    </w:p>
    <w:p>
      <w:pPr>
        <w:jc w:val="both"/>
        <w:ind w:firstLine="1304"/>
        <w:spacing w:after="0" w:line="238" w:lineRule="auto"/>
        <w:tabs>
          <w:tab w:leader="none" w:pos="17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within 100 days after the end of each fiscal year of the Borrower, its audited consolidated balance sheet and related statements of income, retained earnings and cash flows as of the end of and for such year, setting forth in each case in comparative form the figures for the previous fiscal year, all reported on by KPMG LLP or other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72" w:lineRule="exact"/>
        <w:rPr>
          <w:rFonts w:ascii="Arial" w:cs="Arial" w:eastAsia="Arial" w:hAnsi="Arial"/>
          <w:sz w:val="18"/>
          <w:szCs w:val="18"/>
          <w:color w:val="auto"/>
        </w:rPr>
      </w:pPr>
    </w:p>
    <w:p>
      <w:pPr>
        <w:jc w:val="both"/>
        <w:ind w:firstLine="1304"/>
        <w:spacing w:after="0" w:line="238" w:lineRule="auto"/>
        <w:tabs>
          <w:tab w:leader="none" w:pos="17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within 55 days after the end of each of the first three fiscal quarters of each fiscal year of the Borrower, its consolidated balance sheet and related statements of income retained earnings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72" w:lineRule="exact"/>
        <w:rPr>
          <w:rFonts w:ascii="Arial" w:cs="Arial" w:eastAsia="Arial" w:hAnsi="Arial"/>
          <w:sz w:val="18"/>
          <w:szCs w:val="18"/>
          <w:color w:val="auto"/>
        </w:rPr>
      </w:pPr>
    </w:p>
    <w:p>
      <w:pPr>
        <w:jc w:val="both"/>
        <w:ind w:firstLine="1304"/>
        <w:spacing w:after="0" w:line="246" w:lineRule="auto"/>
        <w:tabs>
          <w:tab w:leader="none" w:pos="17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clause (a) or (b) above, a certificate of a Financial Officer of the Borrower (each, a “</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 certifying as to whether a Default has occurred and is continuing and, if a Default has occurred and is continuing, specifying the details thereof and any action taken or proposed to be taken with respect thereto and (ii) setting forth reasonably detailed calculations demonstrating compliance with the applicable Financial Covenants;</w:t>
      </w:r>
    </w:p>
    <w:p>
      <w:pPr>
        <w:spacing w:after="0" w:line="150" w:lineRule="exact"/>
        <w:rPr>
          <w:rFonts w:ascii="Arial" w:cs="Arial" w:eastAsia="Arial" w:hAnsi="Arial"/>
          <w:sz w:val="18"/>
          <w:szCs w:val="18"/>
          <w:color w:val="auto"/>
        </w:rPr>
      </w:pPr>
    </w:p>
    <w:p>
      <w:pPr>
        <w:jc w:val="both"/>
        <w:ind w:firstLine="1304"/>
        <w:spacing w:after="0" w:line="220" w:lineRule="auto"/>
        <w:tabs>
          <w:tab w:leader="none" w:pos="1743" w:val="left"/>
        </w:tabs>
        <w:numPr>
          <w:ilvl w:val="0"/>
          <w:numId w:val="69"/>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and/or distributed by the Borrower to its shareholders generally, as the case may be; and</w:t>
      </w:r>
    </w:p>
    <w:p>
      <w:pPr>
        <w:spacing w:after="0" w:line="169" w:lineRule="exact"/>
        <w:rPr>
          <w:rFonts w:ascii="Arial" w:cs="Arial" w:eastAsia="Arial" w:hAnsi="Arial"/>
          <w:sz w:val="20"/>
          <w:szCs w:val="20"/>
          <w:color w:val="auto"/>
        </w:rPr>
      </w:pPr>
    </w:p>
    <w:p>
      <w:pPr>
        <w:jc w:val="both"/>
        <w:ind w:firstLine="1304"/>
        <w:spacing w:after="0" w:line="218" w:lineRule="auto"/>
        <w:tabs>
          <w:tab w:leader="none" w:pos="1728"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promptly following any request therefor, such other information regarding the operations, business affairs and financial condition of the Borrower or any Subsidiary, or compliance with the terms of this Agreement, as the Administrative Agent or any Lender may reasonably request;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Borrower shall not be required to deliver confidential information consisting of trade secrets or other proprietary or competitively sensitive information relating to the Borrower or any of its Subsidiaries and their respective businesses and not constituting financial information.</w:t>
      </w:r>
    </w:p>
    <w:p>
      <w:pPr>
        <w:spacing w:after="0" w:line="157" w:lineRule="exact"/>
        <w:rPr>
          <w:rFonts w:ascii="Arial" w:cs="Arial" w:eastAsia="Arial" w:hAnsi="Arial"/>
          <w:sz w:val="20"/>
          <w:szCs w:val="20"/>
          <w:color w:val="auto"/>
        </w:rPr>
      </w:pPr>
    </w:p>
    <w:p>
      <w:pPr>
        <w:jc w:val="both"/>
        <w:ind w:firstLine="1304"/>
        <w:spacing w:after="0" w:line="259" w:lineRule="auto"/>
        <w:tabs>
          <w:tab w:leader="none" w:pos="17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financial statements required to be delivered pursuant to Section 5.01(a) or 5.01(b) above and any information required to be delivered pursuant to Section 5.01(d) above shall be deemed to have been furnished to the Administrative Agent on the date that such financial statement or other information is posted on the SEC’s website at www.sec.gov or the website for the Borrower.</w:t>
      </w:r>
    </w:p>
    <w:p>
      <w:pPr>
        <w:spacing w:after="0" w:line="12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to the Administrative Agent (for distribution to each Lender)</w:t>
      </w:r>
    </w:p>
    <w:p>
      <w:pPr>
        <w:spacing w:after="0"/>
        <w:rPr>
          <w:sz w:val="20"/>
          <w:szCs w:val="20"/>
          <w:color w:val="auto"/>
        </w:rPr>
      </w:pPr>
      <w:r>
        <w:rPr>
          <w:rFonts w:ascii="Arial" w:cs="Arial" w:eastAsia="Arial" w:hAnsi="Arial"/>
          <w:sz w:val="20"/>
          <w:szCs w:val="20"/>
          <w:color w:val="auto"/>
        </w:rPr>
        <w:t>prompt written notice, after an Authorized Officer becomes aware of such event,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89" w:name="page90"/>
    <w:bookmarkEnd w:id="89"/>
    <w:p>
      <w:pPr>
        <w:ind w:left="1720" w:hanging="416"/>
        <w:spacing w:after="0"/>
        <w:tabs>
          <w:tab w:leader="none" w:pos="17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188" w:lineRule="exact"/>
        <w:rPr>
          <w:rFonts w:ascii="Arial" w:cs="Arial" w:eastAsia="Arial" w:hAnsi="Arial"/>
          <w:sz w:val="20"/>
          <w:szCs w:val="20"/>
          <w:color w:val="auto"/>
        </w:rPr>
      </w:pPr>
    </w:p>
    <w:p>
      <w:pPr>
        <w:jc w:val="both"/>
        <w:ind w:firstLine="1304"/>
        <w:spacing w:after="0" w:line="220" w:lineRule="auto"/>
        <w:tabs>
          <w:tab w:leader="none" w:pos="1725"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filing or commencement of any action, suit, investigation or proceeding by or before any arbitrator or Governmental Authority against or affecting the Borrower or any Affiliate (or any adverse change or development in any such action, suit, investigation or proceeding) thereof that, in the good faith judgment of the Borrower, if adversely determined, could reasonably be expected to result in a Material Adverse Effect;</w:t>
      </w:r>
    </w:p>
    <w:p>
      <w:pPr>
        <w:spacing w:after="0" w:line="155" w:lineRule="exact"/>
        <w:rPr>
          <w:rFonts w:ascii="Arial" w:cs="Arial" w:eastAsia="Arial" w:hAnsi="Arial"/>
          <w:sz w:val="20"/>
          <w:szCs w:val="20"/>
          <w:color w:val="auto"/>
        </w:rPr>
      </w:pPr>
    </w:p>
    <w:p>
      <w:pPr>
        <w:ind w:firstLine="1304"/>
        <w:spacing w:after="0" w:line="236" w:lineRule="auto"/>
        <w:tabs>
          <w:tab w:leader="none" w:pos="179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occurrence of any ERISA Event that, alone or together with any other ERISA Events that have occurred, could reasonably be expected to result in a Material Adverse Effect;</w:t>
      </w:r>
    </w:p>
    <w:p>
      <w:pPr>
        <w:spacing w:after="0" w:line="168" w:lineRule="exact"/>
        <w:rPr>
          <w:rFonts w:ascii="Arial" w:cs="Arial" w:eastAsia="Arial" w:hAnsi="Arial"/>
          <w:sz w:val="20"/>
          <w:szCs w:val="20"/>
          <w:color w:val="auto"/>
        </w:rPr>
      </w:pPr>
    </w:p>
    <w:p>
      <w:pPr>
        <w:ind w:firstLine="1304"/>
        <w:spacing w:after="0" w:line="229" w:lineRule="auto"/>
        <w:tabs>
          <w:tab w:leader="none" w:pos="18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other development (including the incurrence or imposition of Environmental Liability) that, in the good faith judgment of the Borrower, results in, or could reasonably be expected to result in, a Material Adverse Effect; and</w:t>
      </w:r>
    </w:p>
    <w:p>
      <w:pPr>
        <w:spacing w:after="0" w:line="168" w:lineRule="exact"/>
        <w:rPr>
          <w:rFonts w:ascii="Arial" w:cs="Arial" w:eastAsia="Arial" w:hAnsi="Arial"/>
          <w:sz w:val="20"/>
          <w:szCs w:val="20"/>
          <w:color w:val="auto"/>
        </w:rPr>
      </w:pPr>
    </w:p>
    <w:p>
      <w:pPr>
        <w:jc w:val="both"/>
        <w:ind w:right="20" w:firstLine="1304"/>
        <w:spacing w:after="0" w:line="223" w:lineRule="auto"/>
        <w:tabs>
          <w:tab w:leader="none" w:pos="1726" w:val="left"/>
        </w:tabs>
        <w:numPr>
          <w:ilvl w:val="0"/>
          <w:numId w:val="70"/>
        </w:numPr>
        <w:rPr>
          <w:rFonts w:ascii="Arial" w:cs="Arial" w:eastAsia="Arial" w:hAnsi="Arial"/>
          <w:sz w:val="20"/>
          <w:szCs w:val="20"/>
          <w:color w:val="auto"/>
        </w:rPr>
      </w:pPr>
      <w:r>
        <w:rPr>
          <w:rFonts w:ascii="Arial" w:cs="Arial" w:eastAsia="Arial" w:hAnsi="Arial"/>
          <w:sz w:val="20"/>
          <w:szCs w:val="20"/>
          <w:color w:val="auto"/>
        </w:rPr>
        <w:t>solely to the extent the Borrower qualifies as a “legal entity customer” under the Beneficial Ownership Regulation, any change in the information provided in the Beneficial Ownership Certification that would result in a change to the list of beneficial owners identified in parts (c) or (d) of such certification.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notice delivered under clauses (a) through (d) of this Section 5.02 shall be accompanied by a statement of a Financial Officer or</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 executive officer of the Borrower setting forth the details of the event or development requiring such notice and any action taken or proposed to be taken with respect thereto.</w:t>
      </w:r>
    </w:p>
    <w:p>
      <w:pPr>
        <w:spacing w:after="0" w:line="15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5.03</w:t>
      </w:r>
      <w:r>
        <w:rPr>
          <w:sz w:val="20"/>
          <w:szCs w:val="20"/>
          <w:color w:val="auto"/>
        </w:rPr>
        <w:tab/>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The Borrower will, and will cause each Subsidiary to, do or cause to be done all</w:t>
      </w:r>
    </w:p>
    <w:p>
      <w:pPr>
        <w:spacing w:after="0" w:line="255" w:lineRule="auto"/>
        <w:rPr>
          <w:sz w:val="20"/>
          <w:szCs w:val="20"/>
          <w:color w:val="auto"/>
        </w:rPr>
      </w:pPr>
      <w:r>
        <w:rPr>
          <w:rFonts w:ascii="Arial" w:cs="Arial" w:eastAsia="Arial" w:hAnsi="Arial"/>
          <w:sz w:val="16"/>
          <w:szCs w:val="16"/>
          <w:color w:val="auto"/>
        </w:rPr>
        <w:t>things necessary to preserve, renew and keep in full force and effect its legal existence and the rights, licenses, permits, privileges and franchises material to the conduct of its business, except to the extent any failure to do so by a Subsidiary could not reasonably be expected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result in a Material Adverse Effect;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shall not prohibit any merger, consolidation, liquidation or dissolution permitted under Section 6.02.</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Borrower will, and will cause each Subsidiary to, pay its obligations, including Tax liabilities, that, if not paid, could result in a Material Adverse Effect before the same shall become delinquent or in default, except where</w:t>
      </w:r>
    </w:p>
    <w:p>
      <w:pPr>
        <w:jc w:val="both"/>
        <w:ind w:firstLine="8"/>
        <w:spacing w:after="0" w:line="222" w:lineRule="auto"/>
        <w:tabs>
          <w:tab w:leader="none" w:pos="277"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validity or amount thereof is being contested in good faith by appropriate proceedings, (b) the Borrower or the applicable Subsidiary has set aside on its books adequate reserves with respect thereto in accordance with GAAP and (c) the failure to make such payment pending such contest could not reasonably be expected to result in a Material Adverse Effect.</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The Borrower will, and will cause each Subsidiary to, keep and maintain all property material to the conduct of its business in good working order and condition, ordinary wear and tear excepted, except to the extent</w:t>
      </w:r>
    </w:p>
    <w:p>
      <w:pPr>
        <w:spacing w:after="0" w:line="226" w:lineRule="auto"/>
        <w:rPr>
          <w:sz w:val="20"/>
          <w:szCs w:val="20"/>
          <w:color w:val="auto"/>
        </w:rPr>
      </w:pPr>
      <w:r>
        <w:rPr>
          <w:rFonts w:ascii="Arial" w:cs="Arial" w:eastAsia="Arial" w:hAnsi="Arial"/>
          <w:sz w:val="18"/>
          <w:szCs w:val="18"/>
          <w:color w:val="auto"/>
        </w:rPr>
        <w:t>any failure to do so could not reasonably be expected to result in a Material Adverse Effect. The Borrower will, and will cause each of its Subsidiaries to, maintain insurance coverage by such insurers and in such forms and amounts and against such risks as are generally</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consistent with the insurance coverage maintained by the Borrower and its Subsidiaries as of the Closing Date, or are of such types and amounts as are customarily carried by Persons engaged in the same or similar business as the Borrower and its Subsidiaries.</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The Borrower will, and will cause each Subsidiary to, keep proper books of record and account in which full, true and correct entries are made of all dealings and transactions in relation to its business and activities.</w:t>
      </w:r>
    </w:p>
    <w:p>
      <w:pPr>
        <w:spacing w:after="0" w:line="226" w:lineRule="auto"/>
        <w:rPr>
          <w:sz w:val="20"/>
          <w:szCs w:val="20"/>
          <w:color w:val="auto"/>
        </w:rPr>
      </w:pPr>
      <w:r>
        <w:rPr>
          <w:rFonts w:ascii="Arial" w:cs="Arial" w:eastAsia="Arial" w:hAnsi="Arial"/>
          <w:sz w:val="18"/>
          <w:szCs w:val="18"/>
          <w:color w:val="auto"/>
        </w:rPr>
        <w:t>The Borrower will, and will cause each Subsidiary to, permit any representatives designated by the Administrative Agent or any Lender, upon reasonable prior notice, to visit and inspect its properties, to examine and make extracts from its books and records, and to discuss its</w:t>
      </w:r>
    </w:p>
    <w:p>
      <w:pPr>
        <w:spacing w:after="0" w:line="224" w:lineRule="auto"/>
        <w:rPr>
          <w:sz w:val="20"/>
          <w:szCs w:val="20"/>
          <w:color w:val="auto"/>
        </w:rPr>
      </w:pPr>
      <w:r>
        <w:rPr>
          <w:rFonts w:ascii="Arial" w:cs="Arial" w:eastAsia="Arial" w:hAnsi="Arial"/>
          <w:sz w:val="19"/>
          <w:szCs w:val="19"/>
          <w:color w:val="auto"/>
        </w:rPr>
        <w:t>affairs, finances and condition with its officers and independent accountants, all at such reasonable times and as often as reasonably</w:t>
      </w:r>
    </w:p>
    <w:p>
      <w:pPr>
        <w:spacing w:after="0" w:line="220" w:lineRule="auto"/>
        <w:rPr>
          <w:sz w:val="20"/>
          <w:szCs w:val="20"/>
          <w:color w:val="auto"/>
        </w:rPr>
      </w:pPr>
      <w:r>
        <w:rPr>
          <w:rFonts w:ascii="Arial" w:cs="Arial" w:eastAsia="Arial" w:hAnsi="Arial"/>
          <w:sz w:val="20"/>
          <w:szCs w:val="20"/>
          <w:color w:val="auto"/>
        </w:rPr>
        <w:t xml:space="preserve">requested;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without the express prior written approval of the Borrower, no such inspection shall include any intrusive (i.e., “Phase II”) environmental investigations or collection of samples of any environmental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(including air, soil, groundwater, surface water, wastewaters, or building materials);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unless an Event of</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Default has occurred and is continuing, the Administrative Agent and the Lenders shall be limited to one such visit or inspection in each calendar year and such visit or inspection shall be at the sole cost and expense of the Administrative Agent or applicable Lenders (except that</w:t>
      </w:r>
    </w:p>
    <w:p>
      <w:pPr>
        <w:spacing w:after="0" w:line="235" w:lineRule="auto"/>
        <w:rPr>
          <w:sz w:val="20"/>
          <w:szCs w:val="20"/>
          <w:color w:val="auto"/>
        </w:rPr>
      </w:pPr>
      <w:r>
        <w:rPr>
          <w:rFonts w:ascii="Arial" w:cs="Arial" w:eastAsia="Arial" w:hAnsi="Arial"/>
          <w:sz w:val="18"/>
          <w:szCs w:val="18"/>
          <w:color w:val="auto"/>
        </w:rPr>
        <w:t>the Administrative Agent may make one such visit during each fiscal year and the reasonable cost and expense thereof shall be borne by the</w:t>
      </w:r>
    </w:p>
    <w:p>
      <w:pPr>
        <w:spacing w:after="0" w:line="255" w:lineRule="auto"/>
        <w:rPr>
          <w:sz w:val="20"/>
          <w:szCs w:val="20"/>
          <w:color w:val="auto"/>
        </w:rPr>
      </w:pPr>
      <w:r>
        <w:rPr>
          <w:rFonts w:ascii="Arial" w:cs="Arial" w:eastAsia="Arial" w:hAnsi="Arial"/>
          <w:sz w:val="16"/>
          <w:szCs w:val="16"/>
          <w:color w:val="auto"/>
        </w:rPr>
        <w:t>Borrower) and (ii) in respect of any such discussions with any independent accountants, the Borrower or such Subsidiary, as the case may be, shall have received reasonable advance notice thereof and a reasonable opportunity to participate therein and the Administrative Agent shall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have executed a customary non-reliance letter requested by such independent accountants.</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Subsidiary to, comply with all laws, rules, regulations and orders of any Governmental Authority applicable to it or its property, including Environmental Laws, except where the failure to do so,</w:t>
      </w:r>
    </w:p>
    <w:p>
      <w:pPr>
        <w:spacing w:after="0"/>
        <w:rPr>
          <w:sz w:val="20"/>
          <w:szCs w:val="20"/>
          <w:color w:val="auto"/>
        </w:rPr>
      </w:pPr>
      <w:r>
        <w:rPr>
          <w:rFonts w:ascii="Arial" w:cs="Arial" w:eastAsia="Arial" w:hAnsi="Arial"/>
          <w:sz w:val="20"/>
          <w:szCs w:val="20"/>
          <w:color w:val="auto"/>
        </w:rPr>
        <w:t>individually or in the aggregate, could not reasonably be expected to result in a Material Adverse Effect.</w:t>
      </w:r>
    </w:p>
    <w:p>
      <w:pPr>
        <w:spacing w:after="0" w:line="173"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proceeds of the Loans will be used to pay the Transaction Costs and for general corporate purposes, including any transaction not prohibited by the Loan Documents. No part of the proceeds of any Loan will be used, whether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directly or indirectly, for any purpose that entails a violation of any of the Regulations of the Board, including Regulations T, U and X.</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Additional Subsidiary Guarantors</w:t>
      </w:r>
      <w:r>
        <w:rPr>
          <w:rFonts w:ascii="Arial" w:cs="Arial" w:eastAsia="Arial" w:hAnsi="Arial"/>
          <w:sz w:val="18"/>
          <w:szCs w:val="18"/>
          <w:color w:val="auto"/>
        </w:rPr>
        <w:t>. Within fifty-five (55) days (or such longer period to which the Administrative Agent may agree in its sole discretion) after any Subsidiary of the Borrower that is not already a party to the Subsidiary Guaranty qualifies as</w:t>
      </w:r>
    </w:p>
    <w:p>
      <w:pPr>
        <w:spacing w:after="0" w:line="222" w:lineRule="auto"/>
        <w:rPr>
          <w:sz w:val="20"/>
          <w:szCs w:val="20"/>
          <w:color w:val="auto"/>
        </w:rPr>
      </w:pPr>
      <w:r>
        <w:rPr>
          <w:rFonts w:ascii="Arial" w:cs="Arial" w:eastAsia="Arial" w:hAnsi="Arial"/>
          <w:sz w:val="19"/>
          <w:szCs w:val="19"/>
          <w:color w:val="auto"/>
        </w:rPr>
        <w:t>a Domestic Subsidiary (but excluding any Excluded Subsidiary), the Borrower will cause such Domestic Subsidiary to deliver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a Guaranty Supplement (as defined in the Subsidiary Guaranty), duly executed by such Subsidiary, pursuant to which such Domestic Subsidiary joins in the Subsidiary Guaranty as a guarantor thereunder. Notwithstanding anything to the contrary in any Loan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 no Excluded Subsidiary will be required to be a Subsidiary Guarantor, but the Borrower may, in its sole and absolute discretion, cause any Excluded Subsidiary to become a “Subsidiary Guarantor” and a “Loan Party” by causing such Excluded Subsidiary to comply 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requirements set forth in this Section 5.09 as if it were subject thereto.</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Until the Commitments have expired or terminated and the principal of and interest on each Loan and all fees and other Obligations payable hereunder have been paid in full, the Borrower covenants and agrees with the Lenders that:</w:t>
      </w:r>
    </w:p>
    <w:p>
      <w:pPr>
        <w:spacing w:after="0" w:line="155"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Changes in Business</w:t>
      </w:r>
      <w:r>
        <w:rPr>
          <w:rFonts w:ascii="Arial" w:cs="Arial" w:eastAsia="Arial" w:hAnsi="Arial"/>
          <w:sz w:val="16"/>
          <w:szCs w:val="16"/>
          <w:color w:val="auto"/>
        </w:rPr>
        <w:t>. Neither the Borrower nor any of its Subsidiaries will engage to any material extent in any business if, as a result, the general nature of the business, taken on a consolidated basis, which would then be engaged in by the Borrower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Subsidiaries, would be substantially changed from the general nature of the business engaged in by the Borrower and its Subsidiaries on the Closing Date or any business reasonably related, complementary, ancillary or incidental thereto or a reasonable extension, development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expansion thereof.</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Consolidation, Merger, Asset Sales, etc</w:t>
      </w:r>
      <w:r>
        <w:rPr>
          <w:rFonts w:ascii="Arial" w:cs="Arial" w:eastAsia="Arial" w:hAnsi="Arial"/>
          <w:sz w:val="18"/>
          <w:szCs w:val="18"/>
          <w:color w:val="auto"/>
        </w:rPr>
        <w:t>. The Borrower will not, nor will the Borrower permit any Subsidiary to, (i) wind up, liquidate or dissolve its affairs, (ii) enter into any Asset Sale or (iii) merge or consolidate with or into any other Person, except that</w:t>
      </w:r>
    </w:p>
    <w:p>
      <w:pPr>
        <w:spacing w:after="0"/>
        <w:rPr>
          <w:sz w:val="20"/>
          <w:szCs w:val="20"/>
          <w:color w:val="auto"/>
        </w:rPr>
      </w:pPr>
      <w:r>
        <w:rPr>
          <w:rFonts w:ascii="Arial" w:cs="Arial" w:eastAsia="Arial" w:hAnsi="Arial"/>
          <w:sz w:val="20"/>
          <w:szCs w:val="20"/>
          <w:color w:val="auto"/>
        </w:rPr>
        <w:t>each of the following shall be permitted:</w:t>
      </w:r>
    </w:p>
    <w:p>
      <w:pPr>
        <w:spacing w:after="0" w:line="173" w:lineRule="exact"/>
        <w:rPr>
          <w:sz w:val="20"/>
          <w:szCs w:val="20"/>
          <w:color w:val="auto"/>
        </w:rPr>
      </w:pPr>
    </w:p>
    <w:p>
      <w:pPr>
        <w:jc w:val="both"/>
        <w:ind w:firstLine="1304"/>
        <w:spacing w:after="0" w:line="231" w:lineRule="auto"/>
        <w:tabs>
          <w:tab w:leader="none" w:pos="185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 the merger, consolidation or amalgamation of (x) any Subsidiary of the Borrower with or into the Borrower,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Borrower is the surviving or continuing or resulting corporation; (y) any Subsidiary of the Borrower with or into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Subsidiary Guarantor,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surviving or continuing or resulting corporation is a Subsidiary Guarantor; or (z) any Subsidiary (other than any Loan Party) of the Borrower with or into any other Subsidiary (other than any Loan Party)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1" w:name="page92"/>
    <w:bookmarkEnd w:id="91"/>
    <w:p>
      <w:pPr>
        <w:spacing w:after="0" w:line="236" w:lineRule="auto"/>
        <w:rPr>
          <w:sz w:val="20"/>
          <w:szCs w:val="20"/>
          <w:color w:val="auto"/>
        </w:rPr>
      </w:pPr>
      <w:r>
        <w:rPr>
          <w:rFonts w:ascii="Arial" w:cs="Arial" w:eastAsia="Arial" w:hAnsi="Arial"/>
          <w:sz w:val="20"/>
          <w:szCs w:val="20"/>
          <w:color w:val="auto"/>
        </w:rPr>
        <w:t>Borrower or (ii) the sale, lease, transfer or disposition of any property or assets of the Borrower or any of its Subsidiaries to the Borrower or any direct or indirect wholly-owned Subsidiary of the Borrower;</w:t>
      </w:r>
    </w:p>
    <w:p>
      <w:pPr>
        <w:spacing w:after="0" w:line="155" w:lineRule="exact"/>
        <w:rPr>
          <w:sz w:val="20"/>
          <w:szCs w:val="20"/>
          <w:color w:val="auto"/>
        </w:rPr>
      </w:pPr>
    </w:p>
    <w:p>
      <w:pPr>
        <w:ind w:left="1740" w:hanging="436"/>
        <w:spacing w:after="0"/>
        <w:tabs>
          <w:tab w:leader="none" w:pos="17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dispositions of cash and cash equivalent investments;</w:t>
      </w:r>
    </w:p>
    <w:p>
      <w:pPr>
        <w:spacing w:after="0" w:line="188" w:lineRule="exact"/>
        <w:rPr>
          <w:rFonts w:ascii="Arial" w:cs="Arial" w:eastAsia="Arial" w:hAnsi="Arial"/>
          <w:sz w:val="20"/>
          <w:szCs w:val="20"/>
          <w:color w:val="auto"/>
        </w:rPr>
      </w:pPr>
    </w:p>
    <w:p>
      <w:pPr>
        <w:jc w:val="both"/>
        <w:ind w:firstLine="1304"/>
        <w:spacing w:after="0" w:line="223" w:lineRule="auto"/>
        <w:tabs>
          <w:tab w:leader="none" w:pos="1779"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voluntary dissolution or liquidation of any Subsidiary (i) that is not a Material Subsidiary or (ii) if the Borrower determines in good faith that such dissolution or liquidation is in the best interest of the Borrower and is not materially disadvantageous to the Lenders;</w:t>
      </w:r>
    </w:p>
    <w:p>
      <w:pPr>
        <w:spacing w:after="0" w:line="168" w:lineRule="exact"/>
        <w:rPr>
          <w:rFonts w:ascii="Arial" w:cs="Arial" w:eastAsia="Arial" w:hAnsi="Arial"/>
          <w:sz w:val="20"/>
          <w:szCs w:val="20"/>
          <w:color w:val="auto"/>
        </w:rPr>
      </w:pPr>
    </w:p>
    <w:p>
      <w:pPr>
        <w:jc w:val="both"/>
        <w:ind w:firstLine="1304"/>
        <w:spacing w:after="0" w:line="214" w:lineRule="auto"/>
        <w:tabs>
          <w:tab w:leader="none" w:pos="1752"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(i) any sales, transfers or other dispositions of inventory, or obsolete, worn-out or excess furniture, fixtures, equipment or other property, real or personal, tangible or intangible, or property or assets that are no longer used or useful in the business of the Borrower or its Subsidiaries, in each case in the ordinary course of business; (ii) any Event of Loss; (iii) dispositions of any assets acquired in connection with any Acquisition that is consummated after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disposition is consummated within three years of such Acquisition; and (iv) dispositions required by any Governmental Authority in connection with such Governmental Authority’s approval of such Acquisition or otherwise necessary or advisable to comply with any applicable law or regulation or any order of any Governmental Authority;</w:t>
      </w:r>
    </w:p>
    <w:p>
      <w:pPr>
        <w:spacing w:after="0" w:line="171" w:lineRule="exact"/>
        <w:rPr>
          <w:rFonts w:ascii="Arial" w:cs="Arial" w:eastAsia="Arial" w:hAnsi="Arial"/>
          <w:sz w:val="20"/>
          <w:szCs w:val="20"/>
          <w:color w:val="auto"/>
        </w:rPr>
      </w:pPr>
    </w:p>
    <w:p>
      <w:pPr>
        <w:jc w:val="both"/>
        <w:ind w:firstLine="1304"/>
        <w:spacing w:after="0" w:line="223" w:lineRule="auto"/>
        <w:tabs>
          <w:tab w:leader="none" w:pos="1767"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any other Asset Sale,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at the time of such Asset Sale, no Event of Default shall exist or would result from such Asset Sale and (ii) immediately after giving effect to such Asset Sale, the Borrower would be in compliance on a Pro Forma Basis with the Financial Covenants; and</w:t>
      </w:r>
    </w:p>
    <w:p>
      <w:pPr>
        <w:spacing w:after="0" w:line="168" w:lineRule="exact"/>
        <w:rPr>
          <w:rFonts w:ascii="Arial" w:cs="Arial" w:eastAsia="Arial" w:hAnsi="Arial"/>
          <w:sz w:val="20"/>
          <w:szCs w:val="20"/>
          <w:color w:val="auto"/>
        </w:rPr>
      </w:pPr>
    </w:p>
    <w:p>
      <w:pPr>
        <w:ind w:firstLine="1304"/>
        <w:spacing w:after="0" w:line="229" w:lineRule="auto"/>
        <w:tabs>
          <w:tab w:leader="none" w:pos="1733"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the Borrower or any Subsidiary may make any Acquisition;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any Acquisition made by the Borrower, the Borrower shall be the surviving or continuing or resulting corporation of such Acquisition.</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the Borrower permit any of its Subsidiaries to, create, incur, assume or suffer to exist any Lien upon or with respect to any property or assets of any kind of the Borrower or any such Subsidiary whether now owned or</w:t>
      </w:r>
    </w:p>
    <w:p>
      <w:pPr>
        <w:spacing w:after="0"/>
        <w:rPr>
          <w:sz w:val="20"/>
          <w:szCs w:val="20"/>
          <w:color w:val="auto"/>
        </w:rPr>
      </w:pPr>
      <w:r>
        <w:rPr>
          <w:rFonts w:ascii="Arial" w:cs="Arial" w:eastAsia="Arial" w:hAnsi="Arial"/>
          <w:sz w:val="20"/>
          <w:szCs w:val="20"/>
          <w:color w:val="auto"/>
        </w:rPr>
        <w:t>hereafter acquired, except that the foregoing shall not apply to:</w:t>
      </w:r>
    </w:p>
    <w:p>
      <w:pPr>
        <w:spacing w:after="0" w:line="173" w:lineRule="exact"/>
        <w:rPr>
          <w:sz w:val="20"/>
          <w:szCs w:val="20"/>
          <w:color w:val="auto"/>
        </w:rPr>
      </w:pPr>
    </w:p>
    <w:p>
      <w:pPr>
        <w:ind w:left="1720" w:hanging="416"/>
        <w:spacing w:after="0"/>
        <w:tabs>
          <w:tab w:leader="none" w:pos="1720" w:val="left"/>
        </w:tabs>
        <w:numPr>
          <w:ilvl w:val="1"/>
          <w:numId w:val="74"/>
        </w:numPr>
        <w:rPr>
          <w:rFonts w:ascii="Arial" w:cs="Arial" w:eastAsia="Arial" w:hAnsi="Arial"/>
          <w:sz w:val="20"/>
          <w:szCs w:val="20"/>
          <w:color w:val="auto"/>
        </w:rPr>
      </w:pPr>
      <w:r>
        <w:rPr>
          <w:rFonts w:ascii="Arial" w:cs="Arial" w:eastAsia="Arial" w:hAnsi="Arial"/>
          <w:sz w:val="20"/>
          <w:szCs w:val="20"/>
          <w:color w:val="auto"/>
        </w:rPr>
        <w:t>any Standard Permitted Lien;</w:t>
      </w:r>
    </w:p>
    <w:p>
      <w:pPr>
        <w:spacing w:after="0" w:line="175" w:lineRule="exact"/>
        <w:rPr>
          <w:rFonts w:ascii="Arial" w:cs="Arial" w:eastAsia="Arial" w:hAnsi="Arial"/>
          <w:sz w:val="20"/>
          <w:szCs w:val="20"/>
          <w:color w:val="auto"/>
        </w:rPr>
      </w:pPr>
    </w:p>
    <w:p>
      <w:pPr>
        <w:jc w:val="both"/>
        <w:ind w:firstLine="1304"/>
        <w:spacing w:after="0" w:line="220" w:lineRule="auto"/>
        <w:tabs>
          <w:tab w:leader="none" w:pos="1733"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Liens in existence on the Closing Date and, to the extent in respect of obligations in excess of $25,000,000, set forth on </w:t>
      </w:r>
      <w:r>
        <w:rPr>
          <w:rFonts w:ascii="Arial" w:cs="Arial" w:eastAsia="Arial" w:hAnsi="Arial"/>
          <w:sz w:val="20"/>
          <w:szCs w:val="20"/>
          <w:u w:val="single" w:color="auto"/>
          <w:color w:val="auto"/>
        </w:rPr>
        <w:t>Schedule 6.03</w:t>
      </w:r>
      <w:r>
        <w:rPr>
          <w:rFonts w:ascii="Arial" w:cs="Arial" w:eastAsia="Arial" w:hAnsi="Arial"/>
          <w:sz w:val="20"/>
          <w:szCs w:val="20"/>
          <w:color w:val="auto"/>
        </w:rPr>
        <w:t xml:space="preserve"> hereto and extensions or renewals of such Liens, so long as such Liens being extended or renewed do not extend to any other property or assets other than proceeds and replacements and the aggregate principal amount of Indebtedness secured by such Liens is not increased (except as contemplated by Section 6.04(b));</w:t>
      </w:r>
    </w:p>
    <w:p>
      <w:pPr>
        <w:spacing w:after="0" w:line="169" w:lineRule="exact"/>
        <w:rPr>
          <w:rFonts w:ascii="Arial" w:cs="Arial" w:eastAsia="Arial" w:hAnsi="Arial"/>
          <w:sz w:val="20"/>
          <w:szCs w:val="20"/>
          <w:color w:val="auto"/>
        </w:rPr>
      </w:pPr>
    </w:p>
    <w:p>
      <w:pPr>
        <w:jc w:val="both"/>
        <w:ind w:firstLine="1304"/>
        <w:spacing w:after="0" w:line="235" w:lineRule="auto"/>
        <w:tabs>
          <w:tab w:leader="none" w:pos="18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Liens (i) that are placed upon fixed or capital assets, acquired, constructed or improved by the Borrower or any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Liens only secure Indebtedness permitted by Section 6.04(f)(A)(ii), (B) such Liens and the Indebtedness secured thereby are incurred prior to or within 180 days after such acquisition or the completion of such construction or improvement, and</w:t>
      </w:r>
    </w:p>
    <w:p>
      <w:pPr>
        <w:spacing w:after="0" w:line="1" w:lineRule="exact"/>
        <w:rPr>
          <w:rFonts w:ascii="Arial" w:cs="Arial" w:eastAsia="Arial" w:hAnsi="Arial"/>
          <w:sz w:val="18"/>
          <w:szCs w:val="18"/>
          <w:color w:val="auto"/>
        </w:rPr>
      </w:pPr>
    </w:p>
    <w:p>
      <w:pPr>
        <w:jc w:val="both"/>
        <w:ind w:firstLine="8"/>
        <w:spacing w:after="0" w:line="216" w:lineRule="auto"/>
        <w:tabs>
          <w:tab w:leader="none" w:pos="342"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such Liens shall not apply to any other property or assets of the Borrower or any Subsidiary; or (ii) arising out of the refinancing, extension, renewal or refunding of any Indebtedness secured by any such Liens,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principal amount of such Indebtedness is not increased (except as contemplated by Section 6.04(f)) and such Indebtedness is not secured by any additional assets other than proceeds and replacements;</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852"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Liens (i) securing Indebtedness permitted pursuant to Sections 6.04(f)(A)(i) or (ii) arising out of the refinancing, extension, renewal or refunding of any Indebtedness secured by any such Liens,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principal amount of such Indebtedness is not increased (except as contemplated by Section 6.04(f)) and such Indebtedness is not secured by any additional assets other than proceeds and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2" w:name="page93"/>
    <w:bookmarkEnd w:id="92"/>
    <w:p>
      <w:pPr>
        <w:ind w:right="20" w:firstLine="1304"/>
        <w:spacing w:after="0" w:line="236" w:lineRule="auto"/>
        <w:tabs>
          <w:tab w:leader="none" w:pos="1845" w:val="left"/>
        </w:tabs>
        <w:numPr>
          <w:ilvl w:val="0"/>
          <w:numId w:val="76"/>
        </w:numPr>
        <w:rPr>
          <w:rFonts w:ascii="Arial" w:cs="Arial" w:eastAsia="Arial" w:hAnsi="Arial"/>
          <w:sz w:val="20"/>
          <w:szCs w:val="20"/>
          <w:color w:val="auto"/>
        </w:rPr>
      </w:pPr>
      <w:r>
        <w:rPr>
          <w:rFonts w:ascii="Arial" w:cs="Arial" w:eastAsia="Arial" w:hAnsi="Arial"/>
          <w:sz w:val="20"/>
          <w:szCs w:val="20"/>
          <w:color w:val="auto"/>
        </w:rPr>
        <w:t>vendor Liens granted in the ordinary course of business in connection with the customary terms for purchase of materials, supplies and equipment;</w:t>
      </w:r>
    </w:p>
    <w:p>
      <w:pPr>
        <w:spacing w:after="0" w:line="155" w:lineRule="exact"/>
        <w:rPr>
          <w:rFonts w:ascii="Arial" w:cs="Arial" w:eastAsia="Arial" w:hAnsi="Arial"/>
          <w:sz w:val="20"/>
          <w:szCs w:val="20"/>
          <w:color w:val="auto"/>
        </w:rPr>
      </w:pPr>
    </w:p>
    <w:p>
      <w:pPr>
        <w:jc w:val="both"/>
        <w:ind w:right="20" w:firstLine="1304"/>
        <w:spacing w:after="0" w:line="227" w:lineRule="auto"/>
        <w:tabs>
          <w:tab w:leader="none" w:pos="1777" w:val="left"/>
        </w:tabs>
        <w:numPr>
          <w:ilvl w:val="0"/>
          <w:numId w:val="76"/>
        </w:numPr>
        <w:rPr>
          <w:rFonts w:ascii="Arial" w:cs="Arial" w:eastAsia="Arial" w:hAnsi="Arial"/>
          <w:sz w:val="20"/>
          <w:szCs w:val="20"/>
          <w:color w:val="auto"/>
        </w:rPr>
      </w:pPr>
      <w:r>
        <w:rPr>
          <w:rFonts w:ascii="Arial" w:cs="Arial" w:eastAsia="Arial" w:hAnsi="Arial"/>
          <w:sz w:val="20"/>
          <w:szCs w:val="20"/>
          <w:color w:val="auto"/>
        </w:rPr>
        <w:t>(i) any Lien granted pursuant to the Loan Documents securing any of the Obligations or any obligations under any Hedge Agreement permitted pursuant to Section 6.04(h) and (ii) Liens arising in connection with any margin posted related to Hedge Agreements permitted pursuant to Section 6.04(e);</w:t>
      </w:r>
    </w:p>
    <w:p>
      <w:pPr>
        <w:spacing w:after="0" w:line="157" w:lineRule="exact"/>
        <w:rPr>
          <w:rFonts w:ascii="Arial" w:cs="Arial" w:eastAsia="Arial" w:hAnsi="Arial"/>
          <w:sz w:val="20"/>
          <w:szCs w:val="20"/>
          <w:color w:val="auto"/>
        </w:rPr>
      </w:pPr>
    </w:p>
    <w:p>
      <w:pPr>
        <w:ind w:firstLine="1304"/>
        <w:spacing w:after="0" w:line="236" w:lineRule="auto"/>
        <w:tabs>
          <w:tab w:leader="none" w:pos="1753"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Liens existing on property at the time of the acquisition thereof by the Borrower or any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 was not created in contemplation of such acquisition;</w:t>
      </w:r>
    </w:p>
    <w:p>
      <w:pPr>
        <w:spacing w:after="0" w:line="168" w:lineRule="exact"/>
        <w:rPr>
          <w:rFonts w:ascii="Arial" w:cs="Arial" w:eastAsia="Arial" w:hAnsi="Arial"/>
          <w:sz w:val="20"/>
          <w:szCs w:val="20"/>
          <w:color w:val="auto"/>
        </w:rPr>
      </w:pPr>
    </w:p>
    <w:p>
      <w:pPr>
        <w:ind w:firstLine="1304"/>
        <w:spacing w:after="0" w:line="229" w:lineRule="auto"/>
        <w:tabs>
          <w:tab w:leader="none" w:pos="1887"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Liens with respect to any accounts and related rights and assets subject to purchase pursuant to any Permitted Securitization Transaction;</w:t>
      </w:r>
    </w:p>
    <w:p>
      <w:pPr>
        <w:spacing w:after="0" w:line="168" w:lineRule="exact"/>
        <w:rPr>
          <w:rFonts w:ascii="Arial" w:cs="Arial" w:eastAsia="Arial" w:hAnsi="Arial"/>
          <w:sz w:val="20"/>
          <w:szCs w:val="20"/>
          <w:color w:val="auto"/>
        </w:rPr>
      </w:pPr>
    </w:p>
    <w:p>
      <w:pPr>
        <w:jc w:val="both"/>
        <w:ind w:firstLine="1304"/>
        <w:spacing w:after="0" w:line="246" w:lineRule="auto"/>
        <w:tabs>
          <w:tab w:leader="none" w:pos="17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Liens securing Indebtedness of a Loan Party under any capital markets or private placement debt agreement (including any agreements with respect to convertible debt securities) or bilateral or syndicated loan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Liens have been or will be substantially simultaneously granted to secure the Obligations on an equal and ratable basis pursuant to appropriate security documents, and subject to an intercreditor agreement, in each case, reasonably acceptable to the Administrative Agent and the Borrower;</w:t>
      </w:r>
    </w:p>
    <w:p>
      <w:pPr>
        <w:spacing w:after="0" w:line="163" w:lineRule="exact"/>
        <w:rPr>
          <w:rFonts w:ascii="Arial" w:cs="Arial" w:eastAsia="Arial" w:hAnsi="Arial"/>
          <w:sz w:val="18"/>
          <w:szCs w:val="18"/>
          <w:color w:val="auto"/>
        </w:rPr>
      </w:pPr>
    </w:p>
    <w:p>
      <w:pPr>
        <w:ind w:left="1680" w:hanging="376"/>
        <w:spacing w:after="0"/>
        <w:tabs>
          <w:tab w:leader="none" w:pos="16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Liens securing Indebtedness of any Subsidiary owed to the Borrower or any other Loan Party; and</w:t>
      </w:r>
    </w:p>
    <w:p>
      <w:pPr>
        <w:spacing w:after="0" w:line="175" w:lineRule="exact"/>
        <w:rPr>
          <w:rFonts w:ascii="Arial" w:cs="Arial" w:eastAsia="Arial" w:hAnsi="Arial"/>
          <w:sz w:val="20"/>
          <w:szCs w:val="20"/>
          <w:color w:val="auto"/>
        </w:rPr>
      </w:pPr>
    </w:p>
    <w:p>
      <w:pPr>
        <w:jc w:val="both"/>
        <w:ind w:firstLine="1304"/>
        <w:spacing w:after="0" w:line="238" w:lineRule="auto"/>
        <w:tabs>
          <w:tab w:leader="none" w:pos="180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addition to any Lien permitted pursuant to any of the foregoing subparts, Liens securing other obligations of the Borrower or any of its Subsidiaries, so long as at the time of and after giving effect to the incurrence of such obligations, the aggregate principal amount of (x) all such obligations secured by Liens permitted pursuant to this clause (k), (y) all Indebtedness of Subsidiaries of the Borrower that are not Subsidiary Guarantors incurred pursuant to Section 6.04(g) and (z) all Indebtedness permitted pursuant to Section 6.04(m), when taken together (without duplication in the case of Indebtedness secured by Liens permitted pursuant to this clause (k)), does not at any time exceed an amount equal to the greater of $1,000,000,000 and 15% of Consolidated Total Assets.</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6.04</w:t>
      </w:r>
      <w:r>
        <w:rPr>
          <w:sz w:val="20"/>
          <w:szCs w:val="20"/>
          <w:color w:val="auto"/>
        </w:rPr>
        <w:tab/>
      </w:r>
      <w:r>
        <w:rPr>
          <w:rFonts w:ascii="Arial" w:cs="Arial" w:eastAsia="Arial" w:hAnsi="Arial"/>
          <w:sz w:val="19"/>
          <w:szCs w:val="19"/>
          <w:u w:val="single" w:color="auto"/>
          <w:color w:val="auto"/>
        </w:rPr>
        <w:t>Indebtedness of Non-Loan Party Subsidiaries</w:t>
      </w:r>
      <w:r>
        <w:rPr>
          <w:rFonts w:ascii="Arial" w:cs="Arial" w:eastAsia="Arial" w:hAnsi="Arial"/>
          <w:sz w:val="19"/>
          <w:szCs w:val="19"/>
          <w:color w:val="auto"/>
        </w:rPr>
        <w:t>. The Borrower will not permit any of its Subsidiaries that is not a</w:t>
      </w:r>
    </w:p>
    <w:p>
      <w:pPr>
        <w:spacing w:after="0"/>
        <w:rPr>
          <w:sz w:val="20"/>
          <w:szCs w:val="20"/>
          <w:color w:val="auto"/>
        </w:rPr>
      </w:pPr>
      <w:r>
        <w:rPr>
          <w:rFonts w:ascii="Arial" w:cs="Arial" w:eastAsia="Arial" w:hAnsi="Arial"/>
          <w:sz w:val="20"/>
          <w:szCs w:val="20"/>
          <w:color w:val="auto"/>
        </w:rPr>
        <w:t>Subsidiary Guarantor to, contract, create, incur, assume or suffer to exist any Indebtedness, except:</w:t>
      </w:r>
    </w:p>
    <w:p>
      <w:pPr>
        <w:spacing w:after="0" w:line="159" w:lineRule="exact"/>
        <w:rPr>
          <w:sz w:val="20"/>
          <w:szCs w:val="20"/>
          <w:color w:val="auto"/>
        </w:rPr>
      </w:pPr>
    </w:p>
    <w:p>
      <w:pPr>
        <w:ind w:left="1720" w:hanging="416"/>
        <w:spacing w:after="0"/>
        <w:tabs>
          <w:tab w:leader="none" w:pos="17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Indebtedness incurred under this Agreement and the other Loan Documents;</w:t>
      </w:r>
    </w:p>
    <w:p>
      <w:pPr>
        <w:spacing w:after="0" w:line="188" w:lineRule="exact"/>
        <w:rPr>
          <w:rFonts w:ascii="Arial" w:cs="Arial" w:eastAsia="Arial" w:hAnsi="Arial"/>
          <w:sz w:val="20"/>
          <w:szCs w:val="20"/>
          <w:color w:val="auto"/>
        </w:rPr>
      </w:pPr>
    </w:p>
    <w:p>
      <w:pPr>
        <w:jc w:val="both"/>
        <w:ind w:firstLine="1304"/>
        <w:spacing w:after="0" w:line="243" w:lineRule="auto"/>
        <w:tabs>
          <w:tab w:leader="none" w:pos="17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 Indebtedness outstanding on the Closing Date and, to the extent in respect of obligations in excess of $25,000,000, set forth on </w:t>
      </w:r>
      <w:r>
        <w:rPr>
          <w:rFonts w:ascii="Arial" w:cs="Arial" w:eastAsia="Arial" w:hAnsi="Arial"/>
          <w:sz w:val="18"/>
          <w:szCs w:val="18"/>
          <w:u w:val="single" w:color="auto"/>
          <w:color w:val="auto"/>
        </w:rPr>
        <w:t>Schedule 6.04</w:t>
      </w:r>
      <w:r>
        <w:rPr>
          <w:rFonts w:ascii="Arial" w:cs="Arial" w:eastAsia="Arial" w:hAnsi="Arial"/>
          <w:sz w:val="18"/>
          <w:szCs w:val="18"/>
          <w:color w:val="auto"/>
        </w:rPr>
        <w:t xml:space="preserve"> hereto and (B) any refinancing, extension, renewal or refunding of any such Indebtedness not involving an increase in the principal amount thereof except (i) by an amount equal to a reasonable premium or other reasonable amount paid, and fees and expenses reasonably incurred, in connection with such refinancing and by an amount equal to any existing commitments unutilized thereunder and/or (ii) to the extent that any such increase is permitted to be incurred under any other clause of this Section 6.04;</w:t>
      </w:r>
    </w:p>
    <w:p>
      <w:pPr>
        <w:spacing w:after="0" w:line="153" w:lineRule="exact"/>
        <w:rPr>
          <w:rFonts w:ascii="Arial" w:cs="Arial" w:eastAsia="Arial" w:hAnsi="Arial"/>
          <w:sz w:val="18"/>
          <w:szCs w:val="18"/>
          <w:color w:val="auto"/>
        </w:rPr>
      </w:pPr>
    </w:p>
    <w:p>
      <w:pPr>
        <w:jc w:val="both"/>
        <w:ind w:firstLine="1304"/>
        <w:spacing w:after="0" w:line="238" w:lineRule="auto"/>
        <w:tabs>
          <w:tab w:leader="none" w:pos="17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 Indebtedness assumed in connection with any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was not incurred in contemplation of such Acquisition, (ii) no Default or Event of Default shall then exist or at the time such Indebtedness is assumed will exist and (iii) the Borrower shall be in compliance with the Financial Covenants both immediately before and after giving effect to the assumption of such Indebtedness on a Pro Forma Basis and (B) any refinancing, extension, renewal or refunding of any such Indebtedness not involving an increase in the principal amount thereof except (i) by an amount equal to a reasonable premium or other reasonable amount paid, and fees and expenses reasonably incurred, in connection with such refinancing and by an amount equal to any existing commitments unutilized thereunder and/or (ii) to the extent that any such increase is permitted to be incurred under any other clause of this Section 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3" w:name="page94"/>
    <w:bookmarkEnd w:id="93"/>
    <w:p>
      <w:pPr>
        <w:ind w:left="1740" w:hanging="436"/>
        <w:spacing w:after="0"/>
        <w:tabs>
          <w:tab w:leader="none" w:pos="17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Indebtedness owed to the Borrower or any of its Subsidiaries;</w:t>
      </w:r>
    </w:p>
    <w:p>
      <w:pPr>
        <w:spacing w:after="0" w:line="188" w:lineRule="exact"/>
        <w:rPr>
          <w:rFonts w:ascii="Arial" w:cs="Arial" w:eastAsia="Arial" w:hAnsi="Arial"/>
          <w:sz w:val="20"/>
          <w:szCs w:val="20"/>
          <w:color w:val="auto"/>
        </w:rPr>
      </w:pPr>
    </w:p>
    <w:p>
      <w:pPr>
        <w:ind w:firstLine="1304"/>
        <w:spacing w:after="0" w:line="229" w:lineRule="auto"/>
        <w:tabs>
          <w:tab w:leader="none" w:pos="1789"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Indebtedness of such Subsidiaries under or in support of Hedge Agreements,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Hedge Agreements have been entered into in the ordinary course of business and not for speculative purposes;</w:t>
      </w:r>
    </w:p>
    <w:p>
      <w:pPr>
        <w:spacing w:after="0" w:line="168" w:lineRule="exact"/>
        <w:rPr>
          <w:rFonts w:ascii="Arial" w:cs="Arial" w:eastAsia="Arial" w:hAnsi="Arial"/>
          <w:sz w:val="20"/>
          <w:szCs w:val="20"/>
          <w:color w:val="auto"/>
        </w:rPr>
      </w:pPr>
    </w:p>
    <w:p>
      <w:pPr>
        <w:jc w:val="both"/>
        <w:ind w:firstLine="1304"/>
        <w:spacing w:after="0" w:line="226" w:lineRule="auto"/>
        <w:tabs>
          <w:tab w:leader="none" w:pos="1854"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Indebtedness (i) consisting of Capital Lease Obligations or (ii) incurred in connection with the acquisition, construction or improvement of fixed or capital assets secured by Liens permitted pursuant to Section 6.03(c) hereof and (B) any refinancing, extension, renewal or refunding of any such Indebtedness not involving an increase in the principal amount thereof except (i) by an amount equal to a reasonable premium or other reasonable amount paid, and fees and expenses reasonably incurred, in connection with such refinancing and by an amount equal to any existing commitments unutilized thereunder and/or (ii) to the extent that any such increase is permitted to be incurred under any other clause of this Section 6.04;</w:t>
      </w:r>
    </w:p>
    <w:p>
      <w:pPr>
        <w:spacing w:after="0" w:line="169" w:lineRule="exact"/>
        <w:rPr>
          <w:rFonts w:ascii="Arial" w:cs="Arial" w:eastAsia="Arial" w:hAnsi="Arial"/>
          <w:sz w:val="19"/>
          <w:szCs w:val="19"/>
          <w:color w:val="auto"/>
        </w:rPr>
      </w:pPr>
    </w:p>
    <w:p>
      <w:pPr>
        <w:jc w:val="both"/>
        <w:ind w:firstLine="1304"/>
        <w:spacing w:after="0" w:line="223" w:lineRule="auto"/>
        <w:tabs>
          <w:tab w:leader="none" w:pos="1814"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Indebtedness of any special purpose entity created or acquired in connection with, or which issues Indebtedness in connection with, a Permitted Securitization Transaction,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amount of all such Indebtedness outstanding at any time pursuant to this clause (g) shall not exceed $200,000,000;</w:t>
      </w:r>
    </w:p>
    <w:p>
      <w:pPr>
        <w:spacing w:after="0" w:line="168" w:lineRule="exact"/>
        <w:rPr>
          <w:rFonts w:ascii="Arial" w:cs="Arial" w:eastAsia="Arial" w:hAnsi="Arial"/>
          <w:sz w:val="20"/>
          <w:szCs w:val="20"/>
          <w:color w:val="auto"/>
        </w:rPr>
      </w:pPr>
    </w:p>
    <w:p>
      <w:pPr>
        <w:ind w:firstLine="1304"/>
        <w:spacing w:after="0" w:line="236" w:lineRule="auto"/>
        <w:tabs>
          <w:tab w:leader="none" w:pos="1744" w:val="left"/>
        </w:tabs>
        <w:numPr>
          <w:ilvl w:val="0"/>
          <w:numId w:val="78"/>
        </w:numPr>
        <w:rPr>
          <w:rFonts w:ascii="Arial" w:cs="Arial" w:eastAsia="Arial" w:hAnsi="Arial"/>
          <w:sz w:val="20"/>
          <w:szCs w:val="20"/>
          <w:color w:val="auto"/>
        </w:rPr>
      </w:pPr>
      <w:r>
        <w:rPr>
          <w:rFonts w:ascii="Arial" w:cs="Arial" w:eastAsia="Arial" w:hAnsi="Arial"/>
          <w:sz w:val="20"/>
          <w:szCs w:val="20"/>
          <w:color w:val="auto"/>
        </w:rPr>
        <w:t>any Guaranty Obligations of any Subsidiary of the Borrower in favor of the Administrative Agent and the Lenders and any other Credit Party in respect of any Designated Hedge Agreement;</w:t>
      </w:r>
    </w:p>
    <w:p>
      <w:pPr>
        <w:spacing w:after="0" w:line="155" w:lineRule="exact"/>
        <w:rPr>
          <w:rFonts w:ascii="Arial" w:cs="Arial" w:eastAsia="Arial" w:hAnsi="Arial"/>
          <w:sz w:val="20"/>
          <w:szCs w:val="20"/>
          <w:color w:val="auto"/>
        </w:rPr>
      </w:pPr>
    </w:p>
    <w:p>
      <w:pPr>
        <w:ind w:firstLine="1304"/>
        <w:spacing w:after="0" w:line="236" w:lineRule="auto"/>
        <w:tabs>
          <w:tab w:leader="none" w:pos="1777"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Indebtedness incurred or arising from or as a result of agreements providing for indemnification, deferred payment obligations, purchase price adjustments, earn-out payments or similar obligations;</w:t>
      </w:r>
    </w:p>
    <w:p>
      <w:pPr>
        <w:spacing w:after="0" w:line="166" w:lineRule="exact"/>
        <w:rPr>
          <w:rFonts w:ascii="Arial" w:cs="Arial" w:eastAsia="Arial" w:hAnsi="Arial"/>
          <w:sz w:val="20"/>
          <w:szCs w:val="20"/>
          <w:color w:val="auto"/>
        </w:rPr>
      </w:pPr>
    </w:p>
    <w:p>
      <w:pPr>
        <w:ind w:left="1720" w:hanging="416"/>
        <w:spacing w:after="0"/>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Guaranty Obligations of any Subsidiary of the Borrower with respect to Indebtedness incurred pursuant to Section</w:t>
      </w:r>
    </w:p>
    <w:p>
      <w:pPr>
        <w:spacing w:after="0"/>
        <w:rPr>
          <w:rFonts w:ascii="Arial" w:cs="Arial" w:eastAsia="Arial" w:hAnsi="Arial"/>
          <w:sz w:val="18"/>
          <w:szCs w:val="18"/>
          <w:color w:val="auto"/>
        </w:rPr>
      </w:pPr>
      <w:r>
        <w:rPr>
          <w:rFonts w:ascii="Arial" w:cs="Arial" w:eastAsia="Arial" w:hAnsi="Arial"/>
          <w:sz w:val="20"/>
          <w:szCs w:val="20"/>
          <w:color w:val="auto"/>
        </w:rPr>
        <w:t>6.04(m);</w:t>
      </w:r>
    </w:p>
    <w:p>
      <w:pPr>
        <w:spacing w:after="0" w:line="172" w:lineRule="exact"/>
        <w:rPr>
          <w:rFonts w:ascii="Arial" w:cs="Arial" w:eastAsia="Arial" w:hAnsi="Arial"/>
          <w:sz w:val="18"/>
          <w:szCs w:val="18"/>
          <w:color w:val="auto"/>
        </w:rPr>
      </w:pPr>
    </w:p>
    <w:p>
      <w:pPr>
        <w:ind w:firstLine="1304"/>
        <w:spacing w:after="0" w:line="229" w:lineRule="auto"/>
        <w:tabs>
          <w:tab w:leader="none" w:pos="1822"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Indebtedness in connection with overdue accounts payable, which are being contested in good faith and for which adequate reserves have been established in accordance with GAAP;</w:t>
      </w:r>
    </w:p>
    <w:p>
      <w:pPr>
        <w:spacing w:after="0" w:line="168" w:lineRule="exact"/>
        <w:rPr>
          <w:rFonts w:ascii="Arial" w:cs="Arial" w:eastAsia="Arial" w:hAnsi="Arial"/>
          <w:sz w:val="20"/>
          <w:szCs w:val="20"/>
          <w:color w:val="auto"/>
        </w:rPr>
      </w:pPr>
    </w:p>
    <w:p>
      <w:pPr>
        <w:ind w:firstLine="1304"/>
        <w:spacing w:after="0" w:line="236" w:lineRule="auto"/>
        <w:tabs>
          <w:tab w:leader="none" w:pos="1684"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Indebtedness in respect of netting services, automatic clearing house arrangements, employees’ credit or purchase cards, overdraft protections and similar arrangements in each case incurred in the ordinary course of business; and</w:t>
      </w:r>
    </w:p>
    <w:p>
      <w:pPr>
        <w:spacing w:after="0" w:line="155" w:lineRule="exact"/>
        <w:rPr>
          <w:rFonts w:ascii="Arial" w:cs="Arial" w:eastAsia="Arial" w:hAnsi="Arial"/>
          <w:sz w:val="20"/>
          <w:szCs w:val="20"/>
          <w:color w:val="auto"/>
        </w:rPr>
      </w:pPr>
    </w:p>
    <w:p>
      <w:pPr>
        <w:jc w:val="both"/>
        <w:ind w:firstLine="1304"/>
        <w:spacing w:after="0" w:line="217" w:lineRule="auto"/>
        <w:tabs>
          <w:tab w:leader="none" w:pos="1819" w:val="left"/>
        </w:tabs>
        <w:numPr>
          <w:ilvl w:val="0"/>
          <w:numId w:val="78"/>
        </w:numPr>
        <w:rPr>
          <w:rFonts w:ascii="Arial" w:cs="Arial" w:eastAsia="Arial" w:hAnsi="Arial"/>
          <w:sz w:val="20"/>
          <w:szCs w:val="20"/>
          <w:color w:val="auto"/>
        </w:rPr>
      </w:pPr>
      <w:r>
        <w:rPr>
          <w:rFonts w:ascii="Arial" w:cs="Arial" w:eastAsia="Arial" w:hAnsi="Arial"/>
          <w:sz w:val="20"/>
          <w:szCs w:val="20"/>
          <w:color w:val="auto"/>
        </w:rPr>
        <w:t>additional Indebtedness of any Subsidiary that is not a Loan Party, so long as at the time of and after giving effect to the incurrence of such Indebtedness, the aggregate principal amount of (i) all such Indebtedness permitted pursuant to this clause (m), (ii) all Indebtedness of Subsidiaries of the Borrower that are not Subsidiary Guarantors incurred pursuant to Section 6.04(g) and (iii) all obligations secured by Liens permitted pursuant to Section 6.03(k), when taken together (without duplication in the case of Liens securing Indebtedness permitted pursuant to this clause (m)), does not at any time exceed an amount equal to the greater of $1,000,000,000 and 15% of Consolidated Total Assets.</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6.06</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189" w:lineRule="exact"/>
        <w:rPr>
          <w:sz w:val="20"/>
          <w:szCs w:val="20"/>
          <w:color w:val="auto"/>
        </w:rPr>
      </w:pPr>
    </w:p>
    <w:p>
      <w:pPr>
        <w:ind w:right="20" w:firstLine="1304"/>
        <w:spacing w:after="0" w:line="242" w:lineRule="auto"/>
        <w:tabs>
          <w:tab w:leader="none" w:pos="171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Total Leverage Ratio</w:t>
      </w:r>
      <w:r>
        <w:rPr>
          <w:rFonts w:ascii="Arial" w:cs="Arial" w:eastAsia="Arial" w:hAnsi="Arial"/>
          <w:sz w:val="19"/>
          <w:szCs w:val="19"/>
          <w:color w:val="auto"/>
        </w:rPr>
        <w:t>. The Borrower will not permit the Total Leverage Ratio as of the last day of any Testing Period of the Borrower, beginning with the fiscal quarter ending January 31, 2022, to exceed the Maximum Total Leverage Ratio.</w:t>
      </w:r>
    </w:p>
    <w:p>
      <w:pPr>
        <w:spacing w:after="0" w:line="166" w:lineRule="exact"/>
        <w:rPr>
          <w:rFonts w:ascii="Arial" w:cs="Arial" w:eastAsia="Arial" w:hAnsi="Arial"/>
          <w:sz w:val="19"/>
          <w:szCs w:val="19"/>
          <w:color w:val="auto"/>
        </w:rPr>
      </w:pPr>
    </w:p>
    <w:p>
      <w:pPr>
        <w:ind w:firstLine="1304"/>
        <w:spacing w:after="0" w:line="236" w:lineRule="auto"/>
        <w:tabs>
          <w:tab w:leader="none" w:pos="1794" w:val="left"/>
        </w:tabs>
        <w:numPr>
          <w:ilvl w:val="0"/>
          <w:numId w:val="79"/>
        </w:numPr>
        <w:rPr>
          <w:rFonts w:ascii="Arial" w:cs="Arial" w:eastAsia="Arial" w:hAnsi="Arial"/>
          <w:sz w:val="20"/>
          <w:szCs w:val="20"/>
          <w:color w:val="auto"/>
        </w:rPr>
      </w:pPr>
      <w:r>
        <w:rPr>
          <w:rFonts w:ascii="Arial" w:cs="Arial" w:eastAsia="Arial" w:hAnsi="Arial"/>
          <w:sz w:val="20"/>
          <w:szCs w:val="20"/>
          <w:color w:val="auto"/>
        </w:rPr>
        <w:t>Interest Coverage Ratio. The Borrower will not permit the Interest Coverage Ratio as of the last day of any Testing Period of the Borrower, beginning with the fiscal quarter ending January 31, 2022, to be less than 3.00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4" w:name="page95"/>
    <w:bookmarkEnd w:id="94"/>
    <w:p>
      <w:pPr>
        <w:ind w:left="660"/>
        <w:spacing w:after="0"/>
        <w:tabs>
          <w:tab w:leader="none" w:pos="182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will not, nor will it permit any Subsidiary to, enter into any transaction or series of transactions with any Affiliate (other than transactions between or among the Borrower and/or any of the Borrower’s Subsidiaries</w:t>
      </w:r>
    </w:p>
    <w:p>
      <w:pPr>
        <w:spacing w:after="0" w:line="235" w:lineRule="auto"/>
        <w:rPr>
          <w:sz w:val="20"/>
          <w:szCs w:val="20"/>
          <w:color w:val="auto"/>
        </w:rPr>
      </w:pPr>
      <w:r>
        <w:rPr>
          <w:rFonts w:ascii="Arial" w:cs="Arial" w:eastAsia="Arial" w:hAnsi="Arial"/>
          <w:sz w:val="18"/>
          <w:szCs w:val="18"/>
          <w:color w:val="auto"/>
        </w:rPr>
        <w:t>and not involving any other Affiliate) other than upon fair and reasonable terms no less favorable to the Borrower or such Subsidiary than</w:t>
      </w:r>
    </w:p>
    <w:p>
      <w:pPr>
        <w:spacing w:after="0" w:line="226" w:lineRule="auto"/>
        <w:rPr>
          <w:sz w:val="20"/>
          <w:szCs w:val="20"/>
          <w:color w:val="auto"/>
        </w:rPr>
      </w:pPr>
      <w:r>
        <w:rPr>
          <w:rFonts w:ascii="Arial" w:cs="Arial" w:eastAsia="Arial" w:hAnsi="Arial"/>
          <w:sz w:val="18"/>
          <w:szCs w:val="18"/>
          <w:color w:val="auto"/>
        </w:rPr>
        <w:t>would be obtained in a comparable arm’s-length transaction with a Person other than an Affiliate, except (i) sales of goods to an Affiliate for use or distribution outside the United States that in the good faith judgment of the Borrower comply with any applicable legal requirements</w:t>
      </w:r>
    </w:p>
    <w:p>
      <w:pPr>
        <w:spacing w:after="0" w:line="236" w:lineRule="auto"/>
        <w:rPr>
          <w:sz w:val="20"/>
          <w:szCs w:val="20"/>
          <w:color w:val="auto"/>
        </w:rPr>
      </w:pPr>
      <w:r>
        <w:rPr>
          <w:rFonts w:ascii="Arial" w:cs="Arial" w:eastAsia="Arial" w:hAnsi="Arial"/>
          <w:sz w:val="18"/>
          <w:szCs w:val="18"/>
          <w:color w:val="auto"/>
        </w:rPr>
        <w:t>of the Code, or (ii) agreements and transactions with and payments to officers, directors and shareholders that are either (A) entered into in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ordinary course of business and not prohibited by any of the provisions of this Agreement, or (B) entered into outside the ordinary course of business, approved by the directors or shareholders of the Borrower, and not prohibited by any of the provisions of this Agreement or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violation of any law, rule or regulation.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Sanctions Laws and Regulations</w:t>
      </w:r>
      <w:r>
        <w:rPr>
          <w:rFonts w:ascii="Arial" w:cs="Arial" w:eastAsia="Arial" w:hAnsi="Arial"/>
          <w:sz w:val="18"/>
          <w:szCs w:val="18"/>
          <w:color w:val="auto"/>
        </w:rPr>
        <w:t>(a) . (a) The Borrower shall not, directly or indirectly, use the proceeds of the Loans, or lend, contribute or otherwise make available such proceeds to any Subsidiary, joint venture partner or other person or entity (i) to</w:t>
      </w:r>
    </w:p>
    <w:p>
      <w:pPr>
        <w:spacing w:after="0" w:line="222" w:lineRule="auto"/>
        <w:rPr>
          <w:sz w:val="20"/>
          <w:szCs w:val="20"/>
          <w:color w:val="auto"/>
        </w:rPr>
      </w:pPr>
      <w:r>
        <w:rPr>
          <w:rFonts w:ascii="Arial" w:cs="Arial" w:eastAsia="Arial" w:hAnsi="Arial"/>
          <w:sz w:val="19"/>
          <w:szCs w:val="19"/>
          <w:color w:val="auto"/>
        </w:rPr>
        <w:t>fund any activities or business of or with any Designated Person, or in any Sanctioned Country that would result in a violation of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Sanctions Laws and Regulations by any party to this Agreement or (ii) in any other manner that would result in a violation of any Sanctions Laws and Regulations by any party to this Agreement.</w:t>
      </w:r>
    </w:p>
    <w:p>
      <w:pPr>
        <w:spacing w:after="0" w:line="170" w:lineRule="exact"/>
        <w:rPr>
          <w:sz w:val="20"/>
          <w:szCs w:val="20"/>
          <w:color w:val="auto"/>
        </w:rPr>
      </w:pPr>
    </w:p>
    <w:p>
      <w:pPr>
        <w:jc w:val="both"/>
        <w:ind w:firstLine="1304"/>
        <w:spacing w:after="0" w:line="223" w:lineRule="auto"/>
        <w:tabs>
          <w:tab w:leader="none" w:pos="1807" w:val="left"/>
        </w:tabs>
        <w:numPr>
          <w:ilvl w:val="0"/>
          <w:numId w:val="80"/>
        </w:numPr>
        <w:rPr>
          <w:rFonts w:ascii="Arial" w:cs="Arial" w:eastAsia="Arial" w:hAnsi="Arial"/>
          <w:sz w:val="20"/>
          <w:szCs w:val="20"/>
          <w:color w:val="auto"/>
        </w:rPr>
      </w:pPr>
      <w:r>
        <w:rPr>
          <w:rFonts w:ascii="Arial" w:cs="Arial" w:eastAsia="Arial" w:hAnsi="Arial"/>
          <w:sz w:val="20"/>
          <w:szCs w:val="20"/>
          <w:color w:val="auto"/>
        </w:rPr>
        <w:t>None of the funds or assets of the Borrower that are used to pay any amount due pursuant to this Agreement shall constitute funds obtained from transactions with or relating to Designated Persons or Sanctioned Countries in violation of any Sanctions Laws and Regulations.</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ARTICLE VII</w:t>
      </w:r>
    </w:p>
    <w:p>
      <w:pPr>
        <w:spacing w:after="0" w:line="14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EVENTS OF DEFAULT</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b w:val="1"/>
          <w:bCs w:val="1"/>
          <w:i w:val="1"/>
          <w:iCs w:val="1"/>
          <w:color w:val="auto"/>
        </w:rPr>
        <w:t>Events of Default</w:t>
      </w:r>
      <w:r>
        <w:rPr>
          <w:rFonts w:ascii="Arial" w:cs="Arial" w:eastAsia="Arial" w:hAnsi="Arial"/>
          <w:sz w:val="20"/>
          <w:szCs w:val="20"/>
          <w:color w:val="auto"/>
        </w:rPr>
        <w:t>”) shall occur:</w:t>
      </w:r>
    </w:p>
    <w:p>
      <w:pPr>
        <w:spacing w:after="0" w:line="175" w:lineRule="exact"/>
        <w:rPr>
          <w:sz w:val="20"/>
          <w:szCs w:val="20"/>
          <w:color w:val="auto"/>
        </w:rPr>
      </w:pPr>
    </w:p>
    <w:p>
      <w:pPr>
        <w:ind w:firstLine="1304"/>
        <w:spacing w:after="0" w:line="236" w:lineRule="auto"/>
        <w:tabs>
          <w:tab w:leader="none" w:pos="173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when and as the same shall become due and payable, whether at the due date thereof or at a date fixed for prepayment thereof or otherwise;</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727"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(5) Business Days;</w:t>
      </w:r>
    </w:p>
    <w:p>
      <w:pPr>
        <w:spacing w:after="0" w:line="168" w:lineRule="exact"/>
        <w:rPr>
          <w:rFonts w:ascii="Arial" w:cs="Arial" w:eastAsia="Arial" w:hAnsi="Arial"/>
          <w:sz w:val="20"/>
          <w:szCs w:val="20"/>
          <w:color w:val="auto"/>
        </w:rPr>
      </w:pPr>
    </w:p>
    <w:p>
      <w:pPr>
        <w:jc w:val="both"/>
        <w:ind w:firstLine="1304"/>
        <w:spacing w:after="0" w:line="215" w:lineRule="auto"/>
        <w:tabs>
          <w:tab w:leader="none" w:pos="1734"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the Borrower or any other Loan Party in or in connection with this Agreement and the other Loan Documents or any amendment or modification hereof or waiver hereunder or thereunder, or in any report, certificate, financial statement or other document furnished pursuant to or in connection with this Agreement or any amendment or modification hereof or waiver hereunder or thereunder, shall prove to have been incorrect in any material respect when made or deemed made;</w:t>
      </w:r>
    </w:p>
    <w:p>
      <w:pPr>
        <w:spacing w:after="0" w:line="171" w:lineRule="exact"/>
        <w:rPr>
          <w:rFonts w:ascii="Arial" w:cs="Arial" w:eastAsia="Arial" w:hAnsi="Arial"/>
          <w:sz w:val="20"/>
          <w:szCs w:val="20"/>
          <w:color w:val="auto"/>
        </w:rPr>
      </w:pPr>
    </w:p>
    <w:p>
      <w:pPr>
        <w:ind w:firstLine="1304"/>
        <w:spacing w:after="0" w:line="236" w:lineRule="auto"/>
        <w:tabs>
          <w:tab w:leader="none" w:pos="1761"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Borrower shall fail to observe or perform any covenant, condition or agreement contained in Section 5.02(a), 5.03 (with respect to the existence of the Borrower) or 5.08 or in Article VI;</w:t>
      </w:r>
    </w:p>
    <w:p>
      <w:pPr>
        <w:spacing w:after="0" w:line="155" w:lineRule="exact"/>
        <w:rPr>
          <w:rFonts w:ascii="Arial" w:cs="Arial" w:eastAsia="Arial" w:hAnsi="Arial"/>
          <w:sz w:val="20"/>
          <w:szCs w:val="20"/>
          <w:color w:val="auto"/>
        </w:rPr>
      </w:pPr>
    </w:p>
    <w:p>
      <w:pPr>
        <w:jc w:val="both"/>
        <w:ind w:firstLine="1304"/>
        <w:spacing w:after="0" w:line="227" w:lineRule="auto"/>
        <w:tabs>
          <w:tab w:leader="none" w:pos="1737"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Borrower shall fail to observe or perform any covenant, condition or agreement contained in this Agreement (other than those specified in clause (a), (b) or (d) of this Article), and such failure shall continue unremedied for a period of thirty (30) days after notice thereof from the Administrative Agent or the Required Lenders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5" w:name="page96"/>
    <w:bookmarkEnd w:id="95"/>
    <w:p>
      <w:pPr>
        <w:ind w:firstLine="1304"/>
        <w:spacing w:after="0" w:line="236" w:lineRule="auto"/>
        <w:tabs>
          <w:tab w:leader="none" w:pos="18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Borrower or any Subsidiary shall fail to make any payment (whether of principal or interest and regardless of amount) in respect of any Material Indebtedness, when and as the same shall become due and payable;</w:t>
      </w:r>
    </w:p>
    <w:p>
      <w:pPr>
        <w:spacing w:after="0" w:line="155" w:lineRule="exact"/>
        <w:rPr>
          <w:rFonts w:ascii="Arial" w:cs="Arial" w:eastAsia="Arial" w:hAnsi="Arial"/>
          <w:sz w:val="20"/>
          <w:szCs w:val="20"/>
          <w:color w:val="auto"/>
        </w:rPr>
      </w:pPr>
    </w:p>
    <w:p>
      <w:pPr>
        <w:jc w:val="both"/>
        <w:ind w:firstLine="1304"/>
        <w:spacing w:after="0" w:line="238" w:lineRule="auto"/>
        <w:tabs>
          <w:tab w:leader="none" w:pos="17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or (ii) without limitation of the foregoing, any default in any payment obligation under a Designated Hedge Agreement that continues after the applicable grace period, if any, specified in such Designated Hedge Agreement or any other agreement or instrument relating thereto, to the extent the termination value of such Designated Hedge Agreement is greater than the greater of $150,000,000 and 6% of Consolidated Total Tangible Assets;</w:t>
      </w:r>
    </w:p>
    <w:p>
      <w:pPr>
        <w:spacing w:after="0" w:line="169" w:lineRule="exact"/>
        <w:rPr>
          <w:rFonts w:ascii="Arial" w:cs="Arial" w:eastAsia="Arial" w:hAnsi="Arial"/>
          <w:sz w:val="18"/>
          <w:szCs w:val="18"/>
          <w:color w:val="auto"/>
        </w:rPr>
      </w:pPr>
    </w:p>
    <w:p>
      <w:pPr>
        <w:jc w:val="both"/>
        <w:ind w:firstLine="1304"/>
        <w:spacing w:after="0" w:line="214" w:lineRule="auto"/>
        <w:tabs>
          <w:tab w:leader="none" w:pos="1887"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for 60 days or an order or decree approving or ordering any of the foregoing shall be entered;</w:t>
      </w:r>
    </w:p>
    <w:p>
      <w:pPr>
        <w:spacing w:after="0" w:line="173" w:lineRule="exact"/>
        <w:rPr>
          <w:rFonts w:ascii="Arial" w:cs="Arial" w:eastAsia="Arial" w:hAnsi="Arial"/>
          <w:sz w:val="20"/>
          <w:szCs w:val="20"/>
          <w:color w:val="auto"/>
        </w:rPr>
      </w:pPr>
    </w:p>
    <w:p>
      <w:pPr>
        <w:jc w:val="both"/>
        <w:ind w:firstLine="1304"/>
        <w:spacing w:after="0" w:line="214" w:lineRule="auto"/>
        <w:tabs>
          <w:tab w:leader="none" w:pos="1764"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7" w:lineRule="exact"/>
        <w:rPr>
          <w:rFonts w:ascii="Arial" w:cs="Arial" w:eastAsia="Arial" w:hAnsi="Arial"/>
          <w:sz w:val="20"/>
          <w:szCs w:val="20"/>
          <w:color w:val="auto"/>
        </w:rPr>
      </w:pPr>
    </w:p>
    <w:p>
      <w:pPr>
        <w:ind w:firstLine="1304"/>
        <w:spacing w:after="0" w:line="236" w:lineRule="auto"/>
        <w:tabs>
          <w:tab w:leader="none" w:pos="1725"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Borrower or any Material Subsidiary shall become unable, admit in writing its inability or fail generally to pay its debts as they become due;</w:t>
      </w:r>
    </w:p>
    <w:p>
      <w:pPr>
        <w:spacing w:after="0" w:line="168" w:lineRule="exact"/>
        <w:rPr>
          <w:rFonts w:ascii="Arial" w:cs="Arial" w:eastAsia="Arial" w:hAnsi="Arial"/>
          <w:sz w:val="20"/>
          <w:szCs w:val="20"/>
          <w:color w:val="auto"/>
        </w:rPr>
      </w:pPr>
    </w:p>
    <w:p>
      <w:pPr>
        <w:jc w:val="both"/>
        <w:ind w:firstLine="1304"/>
        <w:spacing w:after="0" w:line="215" w:lineRule="auto"/>
        <w:tabs>
          <w:tab w:leader="none" w:pos="183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Borrower or any Material Subsidiary shall fail within sixty (60) days to pay, bond or otherwise discharge any judgments or orders for the payment of money (not covered by insurance as to which the insurer has been notified of such judgment or order and does not dispute payment) in an amount which, when added to all other such judgments or orders outstanding against the Borrower or any Material Subsidiary would exceed $150,000,000 in the aggregate, which have not been stayed on appeal or otherwise appropriately contested in good faith;</w:t>
      </w:r>
    </w:p>
    <w:p>
      <w:pPr>
        <w:spacing w:after="0" w:line="171" w:lineRule="exact"/>
        <w:rPr>
          <w:rFonts w:ascii="Arial" w:cs="Arial" w:eastAsia="Arial" w:hAnsi="Arial"/>
          <w:sz w:val="20"/>
          <w:szCs w:val="20"/>
          <w:color w:val="auto"/>
        </w:rPr>
      </w:pPr>
    </w:p>
    <w:p>
      <w:pPr>
        <w:jc w:val="both"/>
        <w:ind w:firstLine="1304"/>
        <w:spacing w:after="0" w:line="218" w:lineRule="auto"/>
        <w:tabs>
          <w:tab w:leader="none" w:pos="1777"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Borrower or any other Loan Party shall disavow, revoke or terminate (or attempt to terminate), in each case in writing, any Loan Document to which it is a party or shall otherwise challenge or contest in any action, suit or proceeding in any court or before any Governmental Authority the validity or enforceability of this Agreement, the Subsidiary Guaranty or any other Loan Document; or this Agreement, the Subsidiary Guaranty or any other Loan Document shall cease to be in full force and effect (except as a result of the express terms thereof);</w:t>
      </w:r>
    </w:p>
    <w:p>
      <w:pPr>
        <w:spacing w:after="0" w:line="157" w:lineRule="exact"/>
        <w:rPr>
          <w:rFonts w:ascii="Arial" w:cs="Arial" w:eastAsia="Arial" w:hAnsi="Arial"/>
          <w:sz w:val="20"/>
          <w:szCs w:val="20"/>
          <w:color w:val="auto"/>
        </w:rPr>
      </w:pPr>
    </w:p>
    <w:p>
      <w:pPr>
        <w:ind w:right="20" w:firstLine="1304"/>
        <w:spacing w:after="0" w:line="236" w:lineRule="auto"/>
        <w:tabs>
          <w:tab w:leader="none" w:pos="1802"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 ERISA Event shall have occurred that, when taken together with all other ERISA Events that have occurred, could reasonably be expected to result in a Material Adverse Effect; or</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175"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then, and in every such event (other than an event with respect to the Borrower described in clause (h) or (i) of this Article), and at any time thereafter during the continuance of such event,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Agent may, and at the request of the Required Lenders shall, by notice to the Borrower, take either or both of the following actions, at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same or different times: (i) terminate the Commitments, and thereupon the Commitments shall terminate immediately, and (ii) declare the Loans then outstanding to be due and payable in whole (or in part, in which case any principal not so declared to be due and payable may</w:t>
      </w:r>
    </w:p>
    <w:p>
      <w:pPr>
        <w:spacing w:after="0" w:line="236" w:lineRule="auto"/>
        <w:rPr>
          <w:sz w:val="20"/>
          <w:szCs w:val="20"/>
          <w:color w:val="auto"/>
        </w:rPr>
      </w:pPr>
      <w:r>
        <w:rPr>
          <w:rFonts w:ascii="Arial" w:cs="Arial" w:eastAsia="Arial" w:hAnsi="Arial"/>
          <w:sz w:val="18"/>
          <w:szCs w:val="18"/>
          <w:color w:val="auto"/>
        </w:rPr>
        <w:t>thereafter be declared to be due and payable), and thereupon the principal of the Loans so declared to be due and payable, together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accrued interest thereon and all fees and other obligations of the Borrower accrued hereunder, shall become due and payable immediately, without presentment, demand, protest or other notice of any kind, all of which are hereby waived by the Borrower; and in case of any event</w:t>
      </w:r>
    </w:p>
    <w:p>
      <w:pPr>
        <w:spacing w:after="0" w:line="236" w:lineRule="auto"/>
        <w:rPr>
          <w:sz w:val="20"/>
          <w:szCs w:val="20"/>
          <w:color w:val="auto"/>
        </w:rPr>
      </w:pPr>
      <w:r>
        <w:rPr>
          <w:rFonts w:ascii="Arial" w:cs="Arial" w:eastAsia="Arial" w:hAnsi="Arial"/>
          <w:sz w:val="18"/>
          <w:szCs w:val="18"/>
          <w:color w:val="auto"/>
        </w:rPr>
        <w:t>with respect to the Borrower described in clause (h) or (i) of this Article, the Commitments shall automatically terminate and the principal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Loans then outstanding, together with accrued interest thereon and all fees and other obligations of the Borrower accrued hereunder, shall automatically become due and payable, without presentment, demand, protest or other notice of any kind, all of which are hereby waived 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Borrower.</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Distribution of Payments after Default</w:t>
      </w:r>
      <w:r>
        <w:rPr>
          <w:rFonts w:ascii="Arial" w:cs="Arial" w:eastAsia="Arial" w:hAnsi="Arial"/>
          <w:sz w:val="18"/>
          <w:szCs w:val="18"/>
          <w:color w:val="auto"/>
        </w:rPr>
        <w:t>. In the event that following the occurrence or during the continuance of any Event of Default, the Administrative Agent or any Lender, as the case may be, receives any monies in connection with the enforcement of</w:t>
      </w:r>
    </w:p>
    <w:p>
      <w:pPr>
        <w:spacing w:after="0"/>
        <w:rPr>
          <w:sz w:val="20"/>
          <w:szCs w:val="20"/>
          <w:color w:val="auto"/>
        </w:rPr>
      </w:pPr>
      <w:r>
        <w:rPr>
          <w:rFonts w:ascii="Arial" w:cs="Arial" w:eastAsia="Arial" w:hAnsi="Arial"/>
          <w:sz w:val="20"/>
          <w:szCs w:val="20"/>
          <w:color w:val="auto"/>
        </w:rPr>
        <w:t>any the Loan Documents, such monies shall be distributed for application as follows:</w:t>
      </w:r>
    </w:p>
    <w:p>
      <w:pPr>
        <w:spacing w:after="0" w:line="173" w:lineRule="exact"/>
        <w:rPr>
          <w:sz w:val="20"/>
          <w:szCs w:val="20"/>
          <w:color w:val="auto"/>
        </w:rPr>
      </w:pPr>
    </w:p>
    <w:p>
      <w:pPr>
        <w:jc w:val="both"/>
        <w:ind w:firstLine="1304"/>
        <w:spacing w:after="0" w:line="226" w:lineRule="auto"/>
        <w:tabs>
          <w:tab w:leader="none" w:pos="1727"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to the payment of, or (as the case may be) the reimbursement of the Administrative Agent for or in respect of, all</w:t>
      </w:r>
      <w:r>
        <w:rPr>
          <w:rFonts w:ascii="Arial" w:cs="Arial" w:eastAsia="Arial" w:hAnsi="Arial"/>
          <w:sz w:val="19"/>
          <w:szCs w:val="19"/>
          <w:i w:val="1"/>
          <w:iCs w:val="1"/>
          <w:color w:val="auto"/>
        </w:rPr>
        <w:t xml:space="preserve"> </w:t>
      </w:r>
      <w:r>
        <w:rPr>
          <w:rFonts w:ascii="Arial" w:cs="Arial" w:eastAsia="Arial" w:hAnsi="Arial"/>
          <w:sz w:val="19"/>
          <w:szCs w:val="19"/>
          <w:color w:val="auto"/>
        </w:rPr>
        <w:t>reasonable costs, expenses, disbursements and losses which shall have been incurred or sustained by the Administrative Agent in connection with the collection of such monies by the Administrative Agent, for the exercise, protection or enforcement by the Administrative Agent of all or any of the rights, remedies, powers and privileges of the Administrative Agent under this Agreement or any of the other Loan Documents or in support of any provision of adequate indemnity to the Administrative Agent against any taxes or liens which by law shall have, or may have, priority over the rights of the Administrative Agent to such monies;</w:t>
      </w:r>
    </w:p>
    <w:p>
      <w:pPr>
        <w:spacing w:after="0" w:line="156" w:lineRule="exact"/>
        <w:rPr>
          <w:rFonts w:ascii="Arial" w:cs="Arial" w:eastAsia="Arial" w:hAnsi="Arial"/>
          <w:sz w:val="19"/>
          <w:szCs w:val="19"/>
          <w:color w:val="auto"/>
        </w:rPr>
      </w:pPr>
    </w:p>
    <w:p>
      <w:pPr>
        <w:ind w:firstLine="1304"/>
        <w:spacing w:after="0" w:line="236" w:lineRule="auto"/>
        <w:tabs>
          <w:tab w:leader="none" w:pos="1724"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 any fees or expense reimbursements or amounts owing with respect to indemnification provisions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Loan Documents then due to the Lenders from the Loan Parties;</w:t>
      </w:r>
    </w:p>
    <w:p>
      <w:pPr>
        <w:spacing w:after="0" w:line="168" w:lineRule="exact"/>
        <w:rPr>
          <w:rFonts w:ascii="Arial" w:cs="Arial" w:eastAsia="Arial" w:hAnsi="Arial"/>
          <w:sz w:val="20"/>
          <w:szCs w:val="20"/>
          <w:color w:val="auto"/>
        </w:rPr>
      </w:pPr>
    </w:p>
    <w:p>
      <w:pPr>
        <w:ind w:left="1720" w:hanging="416"/>
        <w:spacing w:after="0"/>
        <w:tabs>
          <w:tab w:leader="none" w:pos="1720"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Third</w:t>
      </w:r>
      <w:r>
        <w:rPr>
          <w:rFonts w:ascii="Arial" w:cs="Arial" w:eastAsia="Arial" w:hAnsi="Arial"/>
          <w:sz w:val="20"/>
          <w:szCs w:val="20"/>
          <w:color w:val="auto"/>
        </w:rPr>
        <w:t>, to pay interest then due and payable on the Loans ratably;</w:t>
      </w:r>
    </w:p>
    <w:p>
      <w:pPr>
        <w:spacing w:after="0" w:line="175" w:lineRule="exact"/>
        <w:rPr>
          <w:rFonts w:ascii="Arial" w:cs="Arial" w:eastAsia="Arial" w:hAnsi="Arial"/>
          <w:sz w:val="20"/>
          <w:szCs w:val="20"/>
          <w:color w:val="auto"/>
        </w:rPr>
      </w:pPr>
    </w:p>
    <w:p>
      <w:pPr>
        <w:jc w:val="both"/>
        <w:ind w:firstLine="1304"/>
        <w:spacing w:after="0" w:line="227" w:lineRule="auto"/>
        <w:tabs>
          <w:tab w:leader="none" w:pos="1792"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Fourth</w:t>
      </w:r>
      <w:r>
        <w:rPr>
          <w:rFonts w:ascii="Arial" w:cs="Arial" w:eastAsia="Arial" w:hAnsi="Arial"/>
          <w:sz w:val="20"/>
          <w:szCs w:val="20"/>
          <w:color w:val="auto"/>
        </w:rPr>
        <w:t>, (i) to prepay principal on the Loans ratably and (ii) to pay the amounts due to Designated Hedge Creditors</w:t>
      </w:r>
      <w:r>
        <w:rPr>
          <w:rFonts w:ascii="Arial" w:cs="Arial" w:eastAsia="Arial" w:hAnsi="Arial"/>
          <w:sz w:val="20"/>
          <w:szCs w:val="20"/>
          <w:i w:val="1"/>
          <w:iCs w:val="1"/>
          <w:color w:val="auto"/>
        </w:rPr>
        <w:t xml:space="preserve"> </w:t>
      </w:r>
      <w:r>
        <w:rPr>
          <w:rFonts w:ascii="Arial" w:cs="Arial" w:eastAsia="Arial" w:hAnsi="Arial"/>
          <w:sz w:val="20"/>
          <w:szCs w:val="20"/>
          <w:color w:val="auto"/>
        </w:rPr>
        <w:t>under Designated Hedge Agreements subject to confirmation by the Administrative Agent that any calculations of termination or other payment obligations are being made in accordance with normal industry practices; and</w:t>
      </w:r>
    </w:p>
    <w:p>
      <w:pPr>
        <w:spacing w:after="0" w:line="157" w:lineRule="exact"/>
        <w:rPr>
          <w:rFonts w:ascii="Arial" w:cs="Arial" w:eastAsia="Arial" w:hAnsi="Arial"/>
          <w:sz w:val="20"/>
          <w:szCs w:val="20"/>
          <w:color w:val="auto"/>
        </w:rPr>
      </w:pPr>
    </w:p>
    <w:p>
      <w:pPr>
        <w:ind w:left="1720" w:hanging="416"/>
        <w:spacing w:after="0"/>
        <w:tabs>
          <w:tab w:leader="none" w:pos="1720"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Fifth</w:t>
      </w:r>
      <w:r>
        <w:rPr>
          <w:rFonts w:ascii="Arial" w:cs="Arial" w:eastAsia="Arial" w:hAnsi="Arial"/>
          <w:sz w:val="20"/>
          <w:szCs w:val="20"/>
          <w:color w:val="auto"/>
        </w:rPr>
        <w:t>, to the payment of any other Obligation due to the Administrative Agent or any Lender.</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ARTICLE VIII</w:t>
      </w:r>
    </w:p>
    <w:p>
      <w:pPr>
        <w:spacing w:after="0" w:line="16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ADMINISTRATIVE AGENT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u w:val="single" w:color="auto"/>
          <w:color w:val="auto"/>
        </w:rPr>
        <w:t>The Administrative Agent</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23" w:lineRule="auto"/>
        <w:tabs>
          <w:tab w:leader="none" w:pos="1964" w:val="left"/>
        </w:tabs>
        <w:numPr>
          <w:ilvl w:val="0"/>
          <w:numId w:val="84"/>
        </w:numPr>
        <w:rPr>
          <w:rFonts w:ascii="Arial" w:cs="Arial" w:eastAsia="Arial" w:hAnsi="Arial"/>
          <w:sz w:val="20"/>
          <w:szCs w:val="20"/>
          <w:color w:val="auto"/>
        </w:rPr>
      </w:pPr>
      <w:r>
        <w:rPr>
          <w:rFonts w:ascii="Arial" w:cs="Arial" w:eastAsia="Arial" w:hAnsi="Arial"/>
          <w:sz w:val="20"/>
          <w:szCs w:val="20"/>
          <w:color w:val="auto"/>
        </w:rPr>
        <w:t>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803"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7" w:name="page98"/>
    <w:bookmarkEnd w:id="97"/>
    <w:p>
      <w:pPr>
        <w:jc w:val="both"/>
        <w:ind w:firstLine="1304"/>
        <w:spacing w:after="0" w:line="262" w:lineRule="auto"/>
        <w:tabs>
          <w:tab w:leader="none" w:pos="1804"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Administrative Agent shall not have any duties or obligations except those expressly set forth herein. Without limiting the generality of the foregoing, (i) the Administrative Agent shall not be subject to any fiduciary or other implied duties, regardless of whether a Default has occurred and is continuing, (ii)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10.02), and (iii) except as expressly set forth herein, the Administrative Agent shall not have any duty to disclose, and shall not be liable for the failure to disclose, any information relating to the Borrower or any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10.02)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(A) any statement, warranty or representation made in or in connection with this Agreement,</w:t>
      </w:r>
    </w:p>
    <w:p>
      <w:pPr>
        <w:spacing w:after="0" w:line="184" w:lineRule="exact"/>
        <w:rPr>
          <w:rFonts w:ascii="Arial" w:cs="Arial" w:eastAsia="Arial" w:hAnsi="Arial"/>
          <w:sz w:val="16"/>
          <w:szCs w:val="16"/>
          <w:color w:val="auto"/>
        </w:rPr>
      </w:pPr>
    </w:p>
    <w:p>
      <w:pPr>
        <w:jc w:val="both"/>
        <w:ind w:firstLine="8"/>
        <w:spacing w:after="0"/>
        <w:tabs>
          <w:tab w:leader="none" w:pos="3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the Administrative Agent.</w:t>
      </w:r>
    </w:p>
    <w:p>
      <w:pPr>
        <w:spacing w:after="0" w:line="155" w:lineRule="exact"/>
        <w:rPr>
          <w:rFonts w:ascii="Arial" w:cs="Arial" w:eastAsia="Arial" w:hAnsi="Arial"/>
          <w:sz w:val="18"/>
          <w:szCs w:val="18"/>
          <w:color w:val="auto"/>
        </w:rPr>
      </w:pPr>
    </w:p>
    <w:p>
      <w:pPr>
        <w:jc w:val="both"/>
        <w:ind w:firstLine="1304"/>
        <w:spacing w:after="0" w:line="226" w:lineRule="auto"/>
        <w:tabs>
          <w:tab w:leader="none" w:pos="1766"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9" w:lineRule="exact"/>
        <w:rPr>
          <w:rFonts w:ascii="Arial" w:cs="Arial" w:eastAsia="Arial" w:hAnsi="Arial"/>
          <w:sz w:val="19"/>
          <w:szCs w:val="19"/>
          <w:color w:val="auto"/>
        </w:rPr>
      </w:pPr>
    </w:p>
    <w:p>
      <w:pPr>
        <w:jc w:val="both"/>
        <w:ind w:firstLine="1304"/>
        <w:spacing w:after="0" w:line="243" w:lineRule="auto"/>
        <w:tabs>
          <w:tab w:leader="none" w:pos="17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Affiliates. The exculpatory provisions of the preceding paragraphs shall apply to any such sub-agent and to the Affiliates of the Administrative Agent and any such sub-agent, and shall apply to their respective activities in connection with the syndication of the credit facilities provided for herein as well as activities as Administrative Agent.</w:t>
      </w:r>
    </w:p>
    <w:p>
      <w:pPr>
        <w:spacing w:after="0" w:line="153" w:lineRule="exact"/>
        <w:rPr>
          <w:rFonts w:ascii="Arial" w:cs="Arial" w:eastAsia="Arial" w:hAnsi="Arial"/>
          <w:sz w:val="18"/>
          <w:szCs w:val="18"/>
          <w:color w:val="auto"/>
        </w:rPr>
      </w:pPr>
    </w:p>
    <w:p>
      <w:pPr>
        <w:jc w:val="both"/>
        <w:ind w:firstLine="1304"/>
        <w:spacing w:after="0" w:line="235" w:lineRule="auto"/>
        <w:tabs>
          <w:tab w:leader="none" w:pos="1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at any time by notifying the Lenders and the Borrower. Upon any such resignation, the Required Lenders shall have the right, with the consent of the Borrower, so long as no Event of Default exists,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10.03 shall continue in effect for the benefit of such retiring Administrative Agent, its sub agents and their respective Affiliates in respect of any actions taken or omitted to be taken by any of them while it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8" w:name="page99"/>
    <w:bookmarkEnd w:id="98"/>
    <w:p>
      <w:pPr>
        <w:jc w:val="both"/>
        <w:ind w:firstLine="1304"/>
        <w:spacing w:after="0" w:line="235" w:lineRule="auto"/>
        <w:tabs>
          <w:tab w:leader="none" w:pos="18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Lender acknowledges and agrees that the extensions of credit made hereunder are commercial loans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7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21" w:lineRule="auto"/>
        <w:tabs>
          <w:tab w:leader="none" w:pos="1744" w:val="left"/>
        </w:tabs>
        <w:numPr>
          <w:ilvl w:val="0"/>
          <w:numId w:val="88"/>
        </w:numPr>
        <w:rPr>
          <w:rFonts w:ascii="Arial" w:cs="Arial" w:eastAsia="Arial" w:hAnsi="Arial"/>
          <w:sz w:val="19"/>
          <w:szCs w:val="19"/>
          <w:color w:val="auto"/>
        </w:rPr>
      </w:pPr>
      <w:r>
        <w:rPr>
          <w:rFonts w:ascii="Arial" w:cs="Arial" w:eastAsia="Arial" w:hAnsi="Arial"/>
          <w:sz w:val="19"/>
          <w:szCs w:val="19"/>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Arial" w:cs="Arial" w:eastAsia="Arial" w:hAnsi="Arial"/>
          <w:sz w:val="19"/>
          <w:szCs w:val="19"/>
          <w:b w:val="1"/>
          <w:bCs w:val="1"/>
          <w:i w:val="1"/>
          <w:iCs w:val="1"/>
          <w:color w:val="auto"/>
        </w:rPr>
        <w:t>Erroneous Payment</w:t>
      </w:r>
      <w:r>
        <w:rPr>
          <w:rFonts w:ascii="Arial" w:cs="Arial" w:eastAsia="Arial" w:hAnsi="Arial"/>
          <w:sz w:val="19"/>
          <w:szCs w:val="19"/>
          <w:color w:val="auto"/>
        </w:rPr>
        <w:t>”)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clause (a) shall be conclusive, absent manifest error.</w:t>
      </w:r>
    </w:p>
    <w:p>
      <w:pPr>
        <w:spacing w:after="0" w:line="166" w:lineRule="exact"/>
        <w:rPr>
          <w:rFonts w:ascii="Arial" w:cs="Arial" w:eastAsia="Arial" w:hAnsi="Arial"/>
          <w:sz w:val="19"/>
          <w:szCs w:val="19"/>
          <w:color w:val="auto"/>
        </w:rPr>
      </w:pPr>
    </w:p>
    <w:p>
      <w:pPr>
        <w:jc w:val="both"/>
        <w:ind w:firstLine="1304"/>
        <w:spacing w:after="0" w:line="235" w:lineRule="auto"/>
        <w:tabs>
          <w:tab w:leader="none" w:pos="17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hereby further agrees that if it receives an Erroneous Payment from the Administrative Agent (or any of its Affiliates) (i) that is in an amount different than (other than a de minimis difference), or on a different date from, that specified in a notice of payment sent by the Administrative Agent (or any of its Affiliates) with respect to such Erroneous Payment (an “</w:t>
      </w:r>
      <w:r>
        <w:rPr>
          <w:rFonts w:ascii="Arial" w:cs="Arial" w:eastAsia="Arial" w:hAnsi="Arial"/>
          <w:sz w:val="18"/>
          <w:szCs w:val="18"/>
          <w:b w:val="1"/>
          <w:bCs w:val="1"/>
          <w:i w:val="1"/>
          <w:iCs w:val="1"/>
          <w:color w:val="auto"/>
        </w:rPr>
        <w:t>Erroneous Payment Notice</w:t>
      </w:r>
      <w:r>
        <w:rPr>
          <w:rFonts w:ascii="Arial" w:cs="Arial" w:eastAsia="Arial" w:hAnsi="Arial"/>
          <w:sz w:val="18"/>
          <w:szCs w:val="18"/>
          <w:color w:val="auto"/>
        </w:rPr>
        <w:t>”), or (ii) that was not preceded or accompanied by an Erroneous Payment Notice, it shall be on notice that, in each such case, an error has been made with respect to such Erroneous Payment. Each Lender further agrees that, in each such case, or if it otherwise becomes aware an Erroneous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Erroneous Payment (or portion thereof) that was received by such Lender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173" w:lineRule="exact"/>
        <w:rPr>
          <w:rFonts w:ascii="Arial" w:cs="Arial" w:eastAsia="Arial" w:hAnsi="Arial"/>
          <w:sz w:val="18"/>
          <w:szCs w:val="18"/>
          <w:color w:val="auto"/>
        </w:rPr>
      </w:pPr>
    </w:p>
    <w:p>
      <w:pPr>
        <w:jc w:val="both"/>
        <w:ind w:firstLine="1304"/>
        <w:spacing w:after="0" w:line="238" w:lineRule="auto"/>
        <w:tabs>
          <w:tab w:leader="none" w:pos="17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 and each other Loan Party hereby agree that (i) in the event an Erroneous Payment (or portion thereof) is not recovered from any Lender that has received such Erroneous Payment (or portion thereof) for any reason, the Administrative Agent shall be subrogated to all the rights of such Lender with respect to such amount and (ii) an Erroneous Payment shall not pay, prepay, repay, discharge or otherwise satisfy any Obligations owed by the Borrower or any other Loan Party; provided that this Section 8.02 shall not be interpreted to increase (or accelerate the due date for), or have the effect of increasing (or accelerating the due date for), the Obligations of the Borrower relative to the amount (and/or timing for payment) of the Obligations that would have been payable had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99" w:name="page100"/>
    <w:bookmarkEnd w:id="99"/>
    <w:p>
      <w:pPr>
        <w:spacing w:after="0"/>
        <w:rPr>
          <w:sz w:val="20"/>
          <w:szCs w:val="20"/>
          <w:color w:val="auto"/>
        </w:rPr>
      </w:pPr>
      <w:r>
        <w:rPr>
          <w:rFonts w:ascii="Arial" w:cs="Arial" w:eastAsia="Arial" w:hAnsi="Arial"/>
          <w:sz w:val="19"/>
          <w:szCs w:val="19"/>
          <w:color w:val="auto"/>
        </w:rPr>
        <w:t>Erroneous Payment not been made by the Administrative Agent; provided, further, that for the avoidance of doubt, the immediately</w:t>
      </w:r>
    </w:p>
    <w:p>
      <w:pPr>
        <w:spacing w:after="0" w:line="226" w:lineRule="auto"/>
        <w:rPr>
          <w:sz w:val="20"/>
          <w:szCs w:val="20"/>
          <w:color w:val="auto"/>
        </w:rPr>
      </w:pPr>
      <w:r>
        <w:rPr>
          <w:rFonts w:ascii="Arial" w:cs="Arial" w:eastAsia="Arial" w:hAnsi="Arial"/>
          <w:sz w:val="18"/>
          <w:szCs w:val="18"/>
          <w:color w:val="auto"/>
        </w:rPr>
        <w:t>preceding clauses (i) and (ii) shall not apply to the extent any such Erroneous Payment is, and solely with respect to the amount of such Erroneous Payment that is, comprised of funds received by the Administrative Agent from the Borrower for the purpose of making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Erroneous Payment.</w:t>
      </w:r>
    </w:p>
    <w:p>
      <w:pPr>
        <w:spacing w:after="0" w:line="173" w:lineRule="exact"/>
        <w:rPr>
          <w:sz w:val="20"/>
          <w:szCs w:val="20"/>
          <w:color w:val="auto"/>
        </w:rPr>
      </w:pPr>
    </w:p>
    <w:p>
      <w:pPr>
        <w:jc w:val="both"/>
        <w:ind w:firstLine="1304"/>
        <w:spacing w:after="0" w:line="223" w:lineRule="auto"/>
        <w:tabs>
          <w:tab w:leader="none" w:pos="1824" w:val="left"/>
        </w:tabs>
        <w:numPr>
          <w:ilvl w:val="0"/>
          <w:numId w:val="89"/>
        </w:numPr>
        <w:rPr>
          <w:rFonts w:ascii="Arial" w:cs="Arial" w:eastAsia="Arial" w:hAnsi="Arial"/>
          <w:sz w:val="20"/>
          <w:szCs w:val="20"/>
          <w:color w:val="auto"/>
        </w:rPr>
      </w:pPr>
      <w:r>
        <w:rPr>
          <w:rFonts w:ascii="Arial" w:cs="Arial" w:eastAsia="Arial" w:hAnsi="Arial"/>
          <w:sz w:val="20"/>
          <w:szCs w:val="20"/>
          <w:color w:val="auto"/>
        </w:rPr>
        <w:t>Each party’s obligations under this Section 8.02 shall survive the resignation or replacement of the Administrative Agent or any transfer of rights or obligations by, or the replacement of, a Lender, the termination of the Commitments or the repayment, satisfaction or discharge of all Obligations (or any portion thereof) under any Loan Document.</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782"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in any other loan document, no Loan Party nor any of their respective Affiliates shall have any obligations or liabilities directly or indirectly arising out of this Section 8.02 in respect of any Erroneous Payment.</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IX</w:t>
      </w:r>
    </w:p>
    <w:p>
      <w:pPr>
        <w:spacing w:after="0" w:line="148"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GUARANTY</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8"/>
          <w:szCs w:val="18"/>
          <w:u w:val="single" w:color="auto"/>
          <w:color w:val="auto"/>
        </w:rPr>
        <w:t>Guaranty by the Borrower</w:t>
      </w:r>
      <w:r>
        <w:rPr>
          <w:rFonts w:ascii="Arial" w:cs="Arial" w:eastAsia="Arial" w:hAnsi="Arial"/>
          <w:sz w:val="18"/>
          <w:szCs w:val="18"/>
          <w:color w:val="auto"/>
        </w:rPr>
        <w:t>. The Borrower hereby unconditionally guarantees, for the benefit of the Credit Parties, all</w:t>
      </w:r>
    </w:p>
    <w:p>
      <w:pPr>
        <w:jc w:val="both"/>
        <w:spacing w:after="0" w:line="226" w:lineRule="auto"/>
        <w:rPr>
          <w:sz w:val="20"/>
          <w:szCs w:val="20"/>
          <w:color w:val="auto"/>
        </w:rPr>
      </w:pPr>
      <w:r>
        <w:rPr>
          <w:rFonts w:ascii="Arial" w:cs="Arial" w:eastAsia="Arial" w:hAnsi="Arial"/>
          <w:sz w:val="18"/>
          <w:szCs w:val="18"/>
          <w:color w:val="auto"/>
        </w:rPr>
        <w:t>of the following (collectively, the “</w:t>
      </w:r>
      <w:r>
        <w:rPr>
          <w:rFonts w:ascii="Arial" w:cs="Arial" w:eastAsia="Arial" w:hAnsi="Arial"/>
          <w:sz w:val="18"/>
          <w:szCs w:val="18"/>
          <w:b w:val="1"/>
          <w:bCs w:val="1"/>
          <w:i w:val="1"/>
          <w:iCs w:val="1"/>
          <w:color w:val="auto"/>
        </w:rPr>
        <w:t>Borrower Guaranteed Obligations</w:t>
      </w:r>
      <w:r>
        <w:rPr>
          <w:rFonts w:ascii="Arial" w:cs="Arial" w:eastAsia="Arial" w:hAnsi="Arial"/>
          <w:sz w:val="18"/>
          <w:szCs w:val="18"/>
          <w:color w:val="auto"/>
        </w:rPr>
        <w:t>”): all amounts, indemnities and reimbursement obligations, direct or indirect, contingent or absolute, of every type or description, and at any time existing owing by any Subsidiary of the Borrower under 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Designated Hedge Agreement or any other document or agreement executed and delivered in connection therewith to any Designated Hedge</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Creditor, in each case, other than any Excluded Swap Obligations, whether now existing, or hereafter incurred or arising, including any such interest or other amounts incurred or arising during the pendency of any bankruptcy, insolvency, reorganization, receivership or similar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proceeding, regardless of whether allowed or allowable in such proceeding or subject to an automatic stay under Section 362(a) of the Bankruptcy Code). Upon failure by any Loan Party to pay punctually any of the Borrower Guaranteed Obligations, the Borrower shall</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forthwith on demand by the Administrative Agent pay the amount not so paid at the place and in the currency and otherwise in the manner specified in this Agreement or any other applicable agreement or instrument.</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u w:val="single" w:color="auto"/>
          <w:color w:val="auto"/>
        </w:rPr>
        <w:t>Guaranty Unconditional</w:t>
      </w:r>
      <w:r>
        <w:rPr>
          <w:rFonts w:ascii="Arial" w:cs="Arial" w:eastAsia="Arial" w:hAnsi="Arial"/>
          <w:sz w:val="20"/>
          <w:szCs w:val="20"/>
          <w:color w:val="auto"/>
        </w:rPr>
        <w:t>. The obligations of the Borrower under this Article IX shall be irrevocable, unconditional and absolute and, without limiting the generality of the foregoing shall not be released, discharged or otherwise affected by the occurrence, one or more times, of any of the following:</w:t>
      </w:r>
    </w:p>
    <w:p>
      <w:pPr>
        <w:spacing w:after="0" w:line="157" w:lineRule="exact"/>
        <w:rPr>
          <w:sz w:val="20"/>
          <w:szCs w:val="20"/>
          <w:color w:val="auto"/>
        </w:rPr>
      </w:pPr>
    </w:p>
    <w:p>
      <w:pPr>
        <w:ind w:firstLine="1304"/>
        <w:spacing w:after="0" w:line="236" w:lineRule="auto"/>
        <w:tabs>
          <w:tab w:leader="none" w:pos="1758"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extension, renewal, settlement, compromise, waiver or release in respect to the Borrower Guaranteed Obligations under any agreement or instrument, by operation of law or otherwise;</w:t>
      </w:r>
    </w:p>
    <w:p>
      <w:pPr>
        <w:spacing w:after="0" w:line="168" w:lineRule="exact"/>
        <w:rPr>
          <w:rFonts w:ascii="Arial" w:cs="Arial" w:eastAsia="Arial" w:hAnsi="Arial"/>
          <w:sz w:val="20"/>
          <w:szCs w:val="20"/>
          <w:color w:val="auto"/>
        </w:rPr>
      </w:pPr>
    </w:p>
    <w:p>
      <w:pPr>
        <w:ind w:firstLine="1304"/>
        <w:spacing w:after="0" w:line="229" w:lineRule="auto"/>
        <w:tabs>
          <w:tab w:leader="none" w:pos="1825"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modification or amendment of or supplement to this Agreement, any Note, any other Loan Document, or any agreement or instrument evidencing or relating to the Borrower Guaranteed Obligations;</w:t>
      </w:r>
    </w:p>
    <w:p>
      <w:pPr>
        <w:spacing w:after="0" w:line="168" w:lineRule="exact"/>
        <w:rPr>
          <w:rFonts w:ascii="Arial" w:cs="Arial" w:eastAsia="Arial" w:hAnsi="Arial"/>
          <w:sz w:val="20"/>
          <w:szCs w:val="20"/>
          <w:color w:val="auto"/>
        </w:rPr>
      </w:pPr>
    </w:p>
    <w:p>
      <w:pPr>
        <w:ind w:right="20" w:firstLine="1304"/>
        <w:spacing w:after="0" w:line="236" w:lineRule="auto"/>
        <w:tabs>
          <w:tab w:leader="none" w:pos="1804"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release, non-perfection or invalidity of any direct or indirect security for the Borrower Guaranteed Obligations under any agreement or instrument evidencing or relating to any of the Borrower Guaranteed Obligations;</w:t>
      </w:r>
    </w:p>
    <w:p>
      <w:pPr>
        <w:spacing w:after="0" w:line="155" w:lineRule="exact"/>
        <w:rPr>
          <w:rFonts w:ascii="Arial" w:cs="Arial" w:eastAsia="Arial" w:hAnsi="Arial"/>
          <w:sz w:val="20"/>
          <w:szCs w:val="20"/>
          <w:color w:val="auto"/>
        </w:rPr>
      </w:pPr>
    </w:p>
    <w:p>
      <w:pPr>
        <w:jc w:val="both"/>
        <w:ind w:firstLine="1304"/>
        <w:spacing w:after="0" w:line="220" w:lineRule="auto"/>
        <w:tabs>
          <w:tab w:leader="none" w:pos="1747"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change in the corporate existence, structure or ownership of any Loan Party or other Subsidiary or any insolvency, bankruptcy, reorganization or other similar proceeding affecting any Loan Party or other Subsidiary or its assets or any resulting release or discharge of any obligation of any Loan Party or other Subsidiary contained in any agreement or instrument evidencing or relating to any of the Borrower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0" w:name="page101"/>
    <w:bookmarkEnd w:id="100"/>
    <w:p>
      <w:pPr>
        <w:jc w:val="both"/>
        <w:ind w:firstLine="1304"/>
        <w:spacing w:after="0" w:line="223" w:lineRule="auto"/>
        <w:tabs>
          <w:tab w:leader="none" w:pos="1785"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existence of any claim, set-off or other rights which the Borrower may have at any time against any other Loan Party, the Administrative Agent, any Lender, any Affiliate of any Lender or any other Person, whether in connection herewith or any unrelated transactions;</w:t>
      </w:r>
    </w:p>
    <w:p>
      <w:pPr>
        <w:spacing w:after="0" w:line="168" w:lineRule="exact"/>
        <w:rPr>
          <w:rFonts w:ascii="Arial" w:cs="Arial" w:eastAsia="Arial" w:hAnsi="Arial"/>
          <w:sz w:val="20"/>
          <w:szCs w:val="20"/>
          <w:color w:val="auto"/>
        </w:rPr>
      </w:pPr>
    </w:p>
    <w:p>
      <w:pPr>
        <w:jc w:val="both"/>
        <w:ind w:firstLine="1304"/>
        <w:spacing w:after="0" w:line="246" w:lineRule="auto"/>
        <w:tabs>
          <w:tab w:leader="none" w:pos="181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any other Loan Party for any reason of any agreement or instrument evidencing or relating to any of the Borrower Guaranteed Obligations, or any provision of applicable law or regulation purporting to prohibit the payment by any Loan Party of any of the Borrower Guaranteed Obligations, or any decree or order prohibiting any Loan Party from paying, or releasing or discharging the obligation of any Loan Party to pay, any of the Borrower Guaranteed Obligations; or</w:t>
      </w:r>
    </w:p>
    <w:p>
      <w:pPr>
        <w:spacing w:after="0" w:line="163" w:lineRule="exact"/>
        <w:rPr>
          <w:rFonts w:ascii="Arial" w:cs="Arial" w:eastAsia="Arial" w:hAnsi="Arial"/>
          <w:sz w:val="18"/>
          <w:szCs w:val="18"/>
          <w:color w:val="auto"/>
        </w:rPr>
      </w:pPr>
    </w:p>
    <w:p>
      <w:pPr>
        <w:jc w:val="both"/>
        <w:ind w:firstLine="1304"/>
        <w:spacing w:after="0" w:line="239" w:lineRule="auto"/>
        <w:tabs>
          <w:tab w:leader="none" w:pos="18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act or omission of any kind by any other Loan Party, the Administrative Agent, any Lender or any other Person or any other circumstance whatsoever which might, but for the provisions of this Article, constitute a legal or equitable discharge of the Borrower’s obligations under this Section, all of which the Borrower hereby unconditionally waives to the fullest extent permitted by law, other than the payment in full of all Borrower Guaranteed Obligations (other than amounts in respect of indemnification, expense reimbursement, tax gross-up or contingent obligations, in each case that are owing and with respect to which no claim has been made).</w:t>
      </w:r>
    </w:p>
    <w:p>
      <w:pPr>
        <w:spacing w:after="0" w:line="15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9.03</w:t>
      </w:r>
      <w:r>
        <w:rPr>
          <w:sz w:val="20"/>
          <w:szCs w:val="20"/>
          <w:color w:val="auto"/>
        </w:rPr>
        <w:tab/>
      </w:r>
      <w:r>
        <w:rPr>
          <w:rFonts w:ascii="Arial" w:cs="Arial" w:eastAsia="Arial" w:hAnsi="Arial"/>
          <w:sz w:val="18"/>
          <w:szCs w:val="18"/>
          <w:u w:val="single" w:color="auto"/>
          <w:color w:val="auto"/>
        </w:rPr>
        <w:t>Waivers</w:t>
      </w:r>
      <w:r>
        <w:rPr>
          <w:rFonts w:ascii="Arial" w:cs="Arial" w:eastAsia="Arial" w:hAnsi="Arial"/>
          <w:sz w:val="18"/>
          <w:szCs w:val="18"/>
          <w:color w:val="auto"/>
        </w:rPr>
        <w:t>. The Borrower unconditionally waives, to the extent permitted under any applicable law now or hereafter in</w:t>
      </w:r>
    </w:p>
    <w:p>
      <w:pPr>
        <w:spacing w:after="0" w:line="226" w:lineRule="auto"/>
        <w:rPr>
          <w:sz w:val="20"/>
          <w:szCs w:val="20"/>
          <w:color w:val="auto"/>
        </w:rPr>
      </w:pPr>
      <w:r>
        <w:rPr>
          <w:rFonts w:ascii="Arial" w:cs="Arial" w:eastAsia="Arial" w:hAnsi="Arial"/>
          <w:sz w:val="18"/>
          <w:szCs w:val="18"/>
          <w:color w:val="auto"/>
        </w:rPr>
        <w:t>effect, insofar as its obligations under this Article IX are concerned, (a) notice of any of the matters referred to in Section 9.02, (b) all notices required by statute, rule of law or otherwise to preserve any rights against the Borrower hereunder, including, without limitation, any</w:t>
      </w:r>
    </w:p>
    <w:p>
      <w:pPr>
        <w:spacing w:after="0" w:line="236" w:lineRule="auto"/>
        <w:rPr>
          <w:sz w:val="20"/>
          <w:szCs w:val="20"/>
          <w:color w:val="auto"/>
        </w:rPr>
      </w:pPr>
      <w:r>
        <w:rPr>
          <w:rFonts w:ascii="Arial" w:cs="Arial" w:eastAsia="Arial" w:hAnsi="Arial"/>
          <w:sz w:val="18"/>
          <w:szCs w:val="18"/>
          <w:color w:val="auto"/>
        </w:rPr>
        <w:t>demand, presentment, proof or notice of dishonor or non-payment of any of the Borrower Guaranteed Obligations, notice of acceptance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provisions of this Article IX, notice of the incurrence of any of the Borrower Guaranteed Obligations, notice of any failure on the part of any Loan Party, any of their Subsidiaries or Affiliates, or any other Person, to perform or comply with any term or provision of this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Agreement, any other Loan Document or any other agreement or instrument to which the such Loan Party or any other Person is a party, or notice of the commencement of any proceeding against any other Person or its any of its property or assets, (c) any right to the enforcement,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assertion or exercise against any Loan Party or against any other Person or any collateral of any right, power or remedy under or in respect of</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Agreement, any other Loan Document or any other agreement or instrument, and (d) any requirement that any such Loan Party be joined as a party to any proceedings against the Borrower or any other Person for the enforcement of any term or provision of this Agreement,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other Loan Documents, the provisions of this Article IX or any other agreement or instrument.</w:t>
      </w:r>
    </w:p>
    <w:p>
      <w:pPr>
        <w:spacing w:after="0" w:line="173" w:lineRule="exact"/>
        <w:rPr>
          <w:sz w:val="20"/>
          <w:szCs w:val="20"/>
          <w:color w:val="auto"/>
        </w:rPr>
      </w:pPr>
    </w:p>
    <w:p>
      <w:pPr>
        <w:ind w:right="20" w:firstLine="648"/>
        <w:spacing w:after="0" w:line="223"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Borrower Obligations to Remain in Effect; Restoration</w:t>
      </w:r>
      <w:r>
        <w:rPr>
          <w:rFonts w:ascii="Arial" w:cs="Arial" w:eastAsia="Arial" w:hAnsi="Arial"/>
          <w:sz w:val="19"/>
          <w:szCs w:val="19"/>
          <w:color w:val="auto"/>
        </w:rPr>
        <w:t>. The Borrower’s obligations under this Article shall remain in full force and effect until the Commitments shall have terminated, and the principal of and interest on the Notes and other Borrower</w:t>
      </w:r>
    </w:p>
    <w:p>
      <w:pPr>
        <w:spacing w:after="0" w:line="224" w:lineRule="auto"/>
        <w:rPr>
          <w:sz w:val="20"/>
          <w:szCs w:val="20"/>
          <w:color w:val="auto"/>
        </w:rPr>
      </w:pPr>
      <w:r>
        <w:rPr>
          <w:rFonts w:ascii="Arial" w:cs="Arial" w:eastAsia="Arial" w:hAnsi="Arial"/>
          <w:sz w:val="19"/>
          <w:szCs w:val="19"/>
          <w:color w:val="auto"/>
        </w:rPr>
        <w:t>Guaranteed Obligations, and all other amounts payable by the Borrower, any other Loan Party or other Subsidiary, under the Loan</w:t>
      </w:r>
    </w:p>
    <w:p>
      <w:pPr>
        <w:spacing w:after="0" w:line="226" w:lineRule="auto"/>
        <w:rPr>
          <w:sz w:val="20"/>
          <w:szCs w:val="20"/>
          <w:color w:val="auto"/>
        </w:rPr>
      </w:pPr>
      <w:r>
        <w:rPr>
          <w:rFonts w:ascii="Arial" w:cs="Arial" w:eastAsia="Arial" w:hAnsi="Arial"/>
          <w:sz w:val="18"/>
          <w:szCs w:val="18"/>
          <w:color w:val="auto"/>
        </w:rPr>
        <w:t>Documents or any other agreement or instrument evidencing or relating to any of the Borrower Guaranteed Obligations (other than amounts in respect of indemnification, expense reimbursement, tax gross-up or contingent obligations, in each case that are owing and with respect to</w:t>
      </w:r>
    </w:p>
    <w:p>
      <w:pPr>
        <w:spacing w:after="0" w:line="236" w:lineRule="auto"/>
        <w:rPr>
          <w:sz w:val="20"/>
          <w:szCs w:val="20"/>
          <w:color w:val="auto"/>
        </w:rPr>
      </w:pPr>
      <w:r>
        <w:rPr>
          <w:rFonts w:ascii="Arial" w:cs="Arial" w:eastAsia="Arial" w:hAnsi="Arial"/>
          <w:sz w:val="18"/>
          <w:szCs w:val="18"/>
          <w:color w:val="auto"/>
        </w:rPr>
        <w:t>which no claim has been made), shall have been paid in full. If at any time any payment of any of the Borrower Guaranteed Obligations 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rescinded or must be otherwise restored or returned upon the insolvency, bankruptcy or reorganization of such Loan Party, the Borrower’s obligations under this Article IX with respect to such payment shall be reinstated at such time as though such payment had been due but not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made at such time.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Waiver of Acceptance, etc</w:t>
      </w:r>
      <w:r>
        <w:rPr>
          <w:rFonts w:ascii="Arial" w:cs="Arial" w:eastAsia="Arial" w:hAnsi="Arial"/>
          <w:sz w:val="18"/>
          <w:szCs w:val="18"/>
          <w:color w:val="auto"/>
        </w:rPr>
        <w:t>. The Borrower irrevocably waives acceptance hereof, presentment, demand, protest and any notice not provided for herein, as well as any requirement that at any time any action be taken by any Person against any other Loan</w:t>
      </w:r>
    </w:p>
    <w:p>
      <w:pPr>
        <w:spacing w:after="0"/>
        <w:rPr>
          <w:sz w:val="20"/>
          <w:szCs w:val="20"/>
          <w:color w:val="auto"/>
        </w:rPr>
      </w:pPr>
      <w:r>
        <w:rPr>
          <w:rFonts w:ascii="Arial" w:cs="Arial" w:eastAsia="Arial" w:hAnsi="Arial"/>
          <w:sz w:val="20"/>
          <w:szCs w:val="20"/>
          <w:color w:val="auto"/>
        </w:rPr>
        <w:t>Party or any other Person, or against any collateral or guaranty of any other Person.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Subrogation</w:t>
      </w:r>
      <w:r>
        <w:rPr>
          <w:rFonts w:ascii="Arial" w:cs="Arial" w:eastAsia="Arial" w:hAnsi="Arial"/>
          <w:sz w:val="18"/>
          <w:szCs w:val="18"/>
          <w:color w:val="auto"/>
        </w:rPr>
        <w:t>. Until the payment in full of all of the Obligations (other than amounts in respect of indemnification, expense reimbursement, tax gross-up or contingent obligations, in each case that are owing and with respect to which no claim has been</w:t>
      </w:r>
    </w:p>
    <w:p>
      <w:pPr>
        <w:spacing w:after="0" w:line="227" w:lineRule="auto"/>
        <w:rPr>
          <w:sz w:val="20"/>
          <w:szCs w:val="20"/>
          <w:color w:val="auto"/>
        </w:rPr>
      </w:pPr>
      <w:r>
        <w:rPr>
          <w:rFonts w:ascii="Arial" w:cs="Arial" w:eastAsia="Arial" w:hAnsi="Arial"/>
          <w:sz w:val="20"/>
          <w:szCs w:val="20"/>
          <w:color w:val="auto"/>
        </w:rPr>
        <w:t>made) and the termination of the Commitments hereunder, the Borrower shall have no rights, by operation of law or otherwise, upon making any payment under this section to be subrogated to the rights of the payee against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Party with respect to such payment or otherwise to be reimbursed, indemnified or exonerated by any such Loan Party in respect thereof.</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Effect of Stay</w:t>
      </w:r>
      <w:r>
        <w:rPr>
          <w:rFonts w:ascii="Arial" w:cs="Arial" w:eastAsia="Arial" w:hAnsi="Arial"/>
          <w:sz w:val="18"/>
          <w:szCs w:val="18"/>
          <w:color w:val="auto"/>
        </w:rPr>
        <w:t>. In the event that acceleration of the time for payment of any amount payable by any Loan Party under any of the Borrower Guaranteed Obligations is stayed upon insolvency, bankruptcy or reorganization of such Loan Party, all such amounts</w:t>
      </w:r>
    </w:p>
    <w:p>
      <w:pPr>
        <w:spacing w:after="0" w:line="235" w:lineRule="auto"/>
        <w:rPr>
          <w:sz w:val="20"/>
          <w:szCs w:val="20"/>
          <w:color w:val="auto"/>
        </w:rPr>
      </w:pPr>
      <w:r>
        <w:rPr>
          <w:rFonts w:ascii="Arial" w:cs="Arial" w:eastAsia="Arial" w:hAnsi="Arial"/>
          <w:sz w:val="18"/>
          <w:szCs w:val="18"/>
          <w:color w:val="auto"/>
        </w:rPr>
        <w:t>otherwise subject to acceleration under the terms of any applicable agreement or instrument evidencing or relating to any of the Borrower</w:t>
      </w:r>
    </w:p>
    <w:p>
      <w:pPr>
        <w:spacing w:after="0" w:line="220" w:lineRule="auto"/>
        <w:rPr>
          <w:sz w:val="20"/>
          <w:szCs w:val="20"/>
          <w:color w:val="auto"/>
        </w:rPr>
      </w:pPr>
      <w:r>
        <w:rPr>
          <w:rFonts w:ascii="Arial" w:cs="Arial" w:eastAsia="Arial" w:hAnsi="Arial"/>
          <w:sz w:val="20"/>
          <w:szCs w:val="20"/>
          <w:color w:val="auto"/>
        </w:rPr>
        <w:t>Guaranteed Obligations shall nonetheless be payable by the Borrower under this Article IX forthwith on demand by the Administrative Agent.</w:t>
      </w:r>
    </w:p>
    <w:p>
      <w:pPr>
        <w:spacing w:after="0" w:line="158" w:lineRule="exact"/>
        <w:rPr>
          <w:sz w:val="20"/>
          <w:szCs w:val="20"/>
          <w:color w:val="auto"/>
        </w:rPr>
      </w:pPr>
    </w:p>
    <w:p>
      <w:pPr>
        <w:ind w:left="660"/>
        <w:spacing w:after="0"/>
        <w:tabs>
          <w:tab w:leader="none" w:pos="1860" w:val="left"/>
          <w:tab w:leader="none" w:pos="3080" w:val="left"/>
        </w:tabs>
        <w:rPr>
          <w:sz w:val="20"/>
          <w:szCs w:val="20"/>
          <w:color w:val="auto"/>
        </w:rPr>
      </w:pPr>
      <w:r>
        <w:rPr>
          <w:rFonts w:ascii="Arial" w:cs="Arial" w:eastAsia="Arial" w:hAnsi="Arial"/>
          <w:sz w:val="20"/>
          <w:szCs w:val="20"/>
          <w:color w:val="auto"/>
        </w:rPr>
        <w:t>Section 9.08</w:t>
      </w:r>
      <w:r>
        <w:rPr>
          <w:sz w:val="20"/>
          <w:szCs w:val="20"/>
          <w:color w:val="auto"/>
        </w:rPr>
        <w:tab/>
      </w:r>
      <w:r>
        <w:rPr>
          <w:rFonts w:ascii="Arial" w:cs="Arial" w:eastAsia="Arial" w:hAnsi="Arial"/>
          <w:sz w:val="20"/>
          <w:szCs w:val="20"/>
          <w:u w:val="single" w:color="auto"/>
          <w:color w:val="auto"/>
        </w:rPr>
        <w:t>Keepwell</w:t>
      </w: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 The Borrower, to the extent it is a Qualified ECP Guarantor, hereby absolutely, unconditionally and</w:t>
      </w:r>
    </w:p>
    <w:p>
      <w:pPr>
        <w:spacing w:after="0" w:line="226" w:lineRule="auto"/>
        <w:rPr>
          <w:sz w:val="20"/>
          <w:szCs w:val="20"/>
          <w:color w:val="auto"/>
        </w:rPr>
      </w:pPr>
      <w:r>
        <w:rPr>
          <w:rFonts w:ascii="Arial" w:cs="Arial" w:eastAsia="Arial" w:hAnsi="Arial"/>
          <w:sz w:val="18"/>
          <w:szCs w:val="18"/>
          <w:color w:val="auto"/>
        </w:rPr>
        <w:t>irrevocably undertakes to provide such funds or other support as may be needed from time to time by any other Loan Party to honor all of its obligations under this Article IX in respect of Designated Hedge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Borrower shall only be liable</w:t>
      </w:r>
    </w:p>
    <w:p>
      <w:pPr>
        <w:spacing w:after="0" w:line="236" w:lineRule="auto"/>
        <w:rPr>
          <w:sz w:val="20"/>
          <w:szCs w:val="20"/>
          <w:color w:val="auto"/>
        </w:rPr>
      </w:pPr>
      <w:r>
        <w:rPr>
          <w:rFonts w:ascii="Arial" w:cs="Arial" w:eastAsia="Arial" w:hAnsi="Arial"/>
          <w:sz w:val="18"/>
          <w:szCs w:val="18"/>
          <w:color w:val="auto"/>
        </w:rPr>
        <w:t>under this Section 9.08 for the maximum amount of such liability that can be hereby incurred without rendering its obligations under this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Section 9.08, or otherwise under this Article IX, voidable under applicable law relating to fraudulent conveyance or fraudulent transfer, and not for any greater amount). The obligations of the Borrower under this Section 9.08 shall remain in full force and effect until payment in full</w:t>
      </w:r>
    </w:p>
    <w:p>
      <w:pPr>
        <w:spacing w:after="0" w:line="236" w:lineRule="auto"/>
        <w:rPr>
          <w:sz w:val="20"/>
          <w:szCs w:val="20"/>
          <w:color w:val="auto"/>
        </w:rPr>
      </w:pPr>
      <w:r>
        <w:rPr>
          <w:rFonts w:ascii="Arial" w:cs="Arial" w:eastAsia="Arial" w:hAnsi="Arial"/>
          <w:sz w:val="18"/>
          <w:szCs w:val="18"/>
          <w:color w:val="auto"/>
        </w:rPr>
        <w:t>of all of the Obligations and the termination of the Commitments hereunder. The Borrower intends that this Section 9.08 constitute, and this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Section 9.08 shall be deemed to constitute, a “keepwell, support, or other agreement” for the benefit of each other Loan Party for all purposes of Section 1a(18)(A)(v)(II) of the Commodity Exchange Act.</w:t>
      </w:r>
    </w:p>
    <w:p>
      <w:pPr>
        <w:spacing w:after="0" w:line="170"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X</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MISCELLANEOUS</w:t>
      </w:r>
    </w:p>
    <w:p>
      <w:pPr>
        <w:spacing w:after="0" w:line="16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Section 10.01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w:t>
      </w:r>
    </w:p>
    <w:p>
      <w:pPr>
        <w:spacing w:after="0" w:line="220" w:lineRule="auto"/>
        <w:rPr>
          <w:sz w:val="20"/>
          <w:szCs w:val="20"/>
          <w:color w:val="auto"/>
        </w:rPr>
      </w:pPr>
      <w:r>
        <w:rPr>
          <w:rFonts w:ascii="Arial" w:cs="Arial" w:eastAsia="Arial" w:hAnsi="Arial"/>
          <w:sz w:val="20"/>
          <w:szCs w:val="20"/>
          <w:color w:val="auto"/>
        </w:rPr>
        <w:t>(and subject to paragraph (b) below), all notices and other communications provided for herein shall be in writing and shall be delivered by hand or overnight courier service, mailed by certified or registered mail or sent by telecopy, as follows:</w:t>
      </w:r>
    </w:p>
    <w:p>
      <w:pPr>
        <w:spacing w:after="0" w:line="170" w:lineRule="exact"/>
        <w:rPr>
          <w:sz w:val="20"/>
          <w:szCs w:val="20"/>
          <w:color w:val="auto"/>
        </w:rPr>
      </w:pPr>
    </w:p>
    <w:p>
      <w:pPr>
        <w:ind w:left="660" w:right="20" w:firstLine="1292"/>
        <w:spacing w:after="0" w:line="236" w:lineRule="auto"/>
        <w:tabs>
          <w:tab w:leader="none" w:pos="2395" w:val="left"/>
        </w:tabs>
        <w:numPr>
          <w:ilvl w:val="0"/>
          <w:numId w:val="92"/>
        </w:numPr>
        <w:rPr>
          <w:rFonts w:ascii="Arial" w:cs="Arial" w:eastAsia="Arial" w:hAnsi="Arial"/>
          <w:sz w:val="20"/>
          <w:szCs w:val="20"/>
          <w:color w:val="auto"/>
        </w:rPr>
      </w:pPr>
      <w:r>
        <w:rPr>
          <w:rFonts w:ascii="Arial" w:cs="Arial" w:eastAsia="Arial" w:hAnsi="Arial"/>
          <w:sz w:val="20"/>
          <w:szCs w:val="20"/>
          <w:color w:val="auto"/>
        </w:rPr>
        <w:t>if to the Borrower, to it at 6101 Bollinger Canyon Road, Suite 500, San Ramon, California 94583, Attention: Brian Andrews, CFO and Treasurer (Telecopier No. (925) 460-3648);</w:t>
      </w:r>
    </w:p>
    <w:p>
      <w:pPr>
        <w:spacing w:after="0" w:line="155" w:lineRule="exact"/>
        <w:rPr>
          <w:rFonts w:ascii="Arial" w:cs="Arial" w:eastAsia="Arial" w:hAnsi="Arial"/>
          <w:sz w:val="20"/>
          <w:szCs w:val="20"/>
          <w:color w:val="auto"/>
        </w:rPr>
      </w:pPr>
    </w:p>
    <w:p>
      <w:pPr>
        <w:ind w:left="660" w:firstLine="1292"/>
        <w:spacing w:after="0" w:line="236" w:lineRule="auto"/>
        <w:tabs>
          <w:tab w:leader="none" w:pos="2511" w:val="left"/>
        </w:tabs>
        <w:numPr>
          <w:ilvl w:val="0"/>
          <w:numId w:val="92"/>
        </w:numPr>
        <w:rPr>
          <w:rFonts w:ascii="Arial" w:cs="Arial" w:eastAsia="Arial" w:hAnsi="Arial"/>
          <w:sz w:val="20"/>
          <w:szCs w:val="20"/>
          <w:color w:val="auto"/>
        </w:rPr>
      </w:pPr>
      <w:r>
        <w:rPr>
          <w:rFonts w:ascii="Arial" w:cs="Arial" w:eastAsia="Arial" w:hAnsi="Arial"/>
          <w:sz w:val="20"/>
          <w:szCs w:val="20"/>
          <w:color w:val="auto"/>
        </w:rPr>
        <w:t>if to any other Loan Party, to it, c/o the Borrower, 6101 Bollinger Canyon Road, Suite 500, San Ramon, California 94583, Attention: Brian Andrews, CFO and Treasurer (Telecopier No. (925) 460-3648);</w:t>
      </w:r>
    </w:p>
    <w:p>
      <w:pPr>
        <w:spacing w:after="0" w:line="168" w:lineRule="exact"/>
        <w:rPr>
          <w:rFonts w:ascii="Arial" w:cs="Arial" w:eastAsia="Arial" w:hAnsi="Arial"/>
          <w:sz w:val="20"/>
          <w:szCs w:val="20"/>
          <w:color w:val="auto"/>
        </w:rPr>
      </w:pPr>
    </w:p>
    <w:p>
      <w:pPr>
        <w:ind w:left="660" w:right="20" w:firstLine="1292"/>
        <w:spacing w:after="0" w:line="269" w:lineRule="auto"/>
        <w:tabs>
          <w:tab w:leader="none" w:pos="247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the Administrative Agent, to PNC Bank, National Association, The Tower at PNC Plaza, 300 Fifth Ave., 10th Floor, Pittsburgh, PA 15222, Attention: Philip Liebscher, Phone: (412) 762-3202, Email: philip.liebscher@pnc.com; and</w:t>
      </w:r>
    </w:p>
    <w:p>
      <w:pPr>
        <w:spacing w:after="0" w:line="143" w:lineRule="exact"/>
        <w:rPr>
          <w:rFonts w:ascii="Arial" w:cs="Arial" w:eastAsia="Arial" w:hAnsi="Arial"/>
          <w:sz w:val="18"/>
          <w:szCs w:val="18"/>
          <w:color w:val="auto"/>
        </w:rPr>
      </w:pPr>
    </w:p>
    <w:p>
      <w:pPr>
        <w:ind w:left="2440" w:hanging="488"/>
        <w:spacing w:after="0"/>
        <w:tabs>
          <w:tab w:leader="none" w:pos="2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w:t>
      </w:r>
    </w:p>
    <w:p>
      <w:pPr>
        <w:spacing w:after="0" w:line="266" w:lineRule="auto"/>
        <w:rPr>
          <w:sz w:val="20"/>
          <w:szCs w:val="20"/>
          <w:color w:val="auto"/>
        </w:rPr>
      </w:pPr>
      <w:r>
        <w:rPr>
          <w:rFonts w:ascii="Arial" w:cs="Arial" w:eastAsia="Arial" w:hAnsi="Arial"/>
          <w:sz w:val="18"/>
          <w:szCs w:val="18"/>
          <w:color w:val="auto"/>
        </w:rPr>
        <w:t>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33" w:lineRule="exact"/>
        <w:rPr>
          <w:sz w:val="20"/>
          <w:szCs w:val="20"/>
          <w:color w:val="auto"/>
        </w:rPr>
      </w:pPr>
    </w:p>
    <w:p>
      <w:pPr>
        <w:jc w:val="both"/>
        <w:ind w:firstLine="1304"/>
        <w:spacing w:after="0" w:line="307" w:lineRule="auto"/>
        <w:tabs>
          <w:tab w:leader="none" w:pos="17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hereunder may be delivered or furnished by using Electronic Systems pursuant to procedures approved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notices pursuant to Article II unless otherwise agreed by the Administrative Agent and the applicable Lender. The Administrative Agent or the Borrower may, in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2" w:name="page103"/>
    <w:bookmarkEnd w:id="102"/>
    <w:p>
      <w:pPr>
        <w:spacing w:after="0" w:line="257" w:lineRule="auto"/>
        <w:rPr>
          <w:sz w:val="20"/>
          <w:szCs w:val="20"/>
          <w:color w:val="auto"/>
        </w:rPr>
      </w:pPr>
      <w:r>
        <w:rPr>
          <w:rFonts w:ascii="Arial" w:cs="Arial" w:eastAsia="Arial" w:hAnsi="Arial"/>
          <w:sz w:val="19"/>
          <w:szCs w:val="19"/>
          <w:color w:val="auto"/>
        </w:rPr>
        <w:t xml:space="preserve">respective discretion, agree to accept notices and other communications to it hereunder by electronic communications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w:t>
      </w:r>
    </w:p>
    <w:p>
      <w:pPr>
        <w:spacing w:after="0" w:line="226" w:lineRule="auto"/>
        <w:rPr>
          <w:sz w:val="20"/>
          <w:szCs w:val="20"/>
          <w:color w:val="auto"/>
        </w:rPr>
      </w:pPr>
      <w:r>
        <w:rPr>
          <w:rFonts w:ascii="Arial" w:cs="Arial" w:eastAsia="Arial" w:hAnsi="Arial"/>
          <w:sz w:val="18"/>
          <w:szCs w:val="18"/>
          <w:color w:val="auto"/>
        </w:rPr>
        <w:t>function, as available, return e-mail or other written acknowledgement), and (ii) notices or communications posted to an Internet or intranet website shall be deemed received upon the deemed receipt by the intended recipient, at its e-mail address as described in the foregoing</w:t>
      </w:r>
    </w:p>
    <w:p>
      <w:pPr>
        <w:spacing w:after="0" w:line="236" w:lineRule="auto"/>
        <w:rPr>
          <w:sz w:val="20"/>
          <w:szCs w:val="20"/>
          <w:color w:val="auto"/>
        </w:rPr>
      </w:pPr>
      <w:r>
        <w:rPr>
          <w:rFonts w:ascii="Arial" w:cs="Arial" w:eastAsia="Arial" w:hAnsi="Arial"/>
          <w:sz w:val="18"/>
          <w:szCs w:val="18"/>
          <w:color w:val="auto"/>
        </w:rPr>
        <w:t xml:space="preserve">clause (i), of notification that such notice or communication is available and identifying the website address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both</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0" w:lineRule="exact"/>
        <w:rPr>
          <w:sz w:val="20"/>
          <w:szCs w:val="20"/>
          <w:color w:val="auto"/>
        </w:rPr>
      </w:pPr>
    </w:p>
    <w:p>
      <w:pPr>
        <w:jc w:val="both"/>
        <w:ind w:firstLine="1304"/>
        <w:spacing w:after="0" w:line="223" w:lineRule="auto"/>
        <w:tabs>
          <w:tab w:leader="none" w:pos="1713" w:val="left"/>
        </w:tabs>
        <w:numPr>
          <w:ilvl w:val="0"/>
          <w:numId w:val="94"/>
        </w:numPr>
        <w:rPr>
          <w:rFonts w:ascii="Arial" w:cs="Arial" w:eastAsia="Arial" w:hAnsi="Arial"/>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60" w:firstLine="1292"/>
        <w:spacing w:after="0" w:line="223" w:lineRule="auto"/>
        <w:tabs>
          <w:tab w:leader="none" w:pos="2343" w:val="left"/>
        </w:tabs>
        <w:numPr>
          <w:ilvl w:val="1"/>
          <w:numId w:val="94"/>
        </w:numPr>
        <w:rPr>
          <w:rFonts w:ascii="Arial" w:cs="Arial" w:eastAsia="Arial" w:hAnsi="Arial"/>
          <w:sz w:val="20"/>
          <w:szCs w:val="20"/>
          <w:color w:val="auto"/>
        </w:rPr>
      </w:pPr>
      <w:r>
        <w:rPr>
          <w:rFonts w:ascii="Arial" w:cs="Arial" w:eastAsia="Arial" w:hAnsi="Arial"/>
          <w:sz w:val="20"/>
          <w:szCs w:val="20"/>
          <w:color w:val="auto"/>
        </w:rPr>
        <w:t>Each Loan Party agrees that the Administrative Agent may, but shall not be obligated to, make Communications (as defined below) available to the Lenders by posting the Communications on Debt Domain, Intralinks, Syndtrak, ClearPar or a substantially similar Electronic System.</w:t>
      </w:r>
    </w:p>
    <w:p>
      <w:pPr>
        <w:spacing w:after="0" w:line="168" w:lineRule="exact"/>
        <w:rPr>
          <w:rFonts w:ascii="Arial" w:cs="Arial" w:eastAsia="Arial" w:hAnsi="Arial"/>
          <w:sz w:val="20"/>
          <w:szCs w:val="20"/>
          <w:color w:val="auto"/>
        </w:rPr>
      </w:pPr>
    </w:p>
    <w:p>
      <w:pPr>
        <w:jc w:val="both"/>
        <w:ind w:left="660" w:firstLine="1292"/>
        <w:spacing w:after="0" w:line="265" w:lineRule="auto"/>
        <w:tabs>
          <w:tab w:leader="none" w:pos="2459"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6"/>
          <w:szCs w:val="16"/>
          <w:b w:val="1"/>
          <w:bCs w:val="1"/>
          <w:i w:val="1"/>
          <w:iCs w:val="1"/>
          <w:color w:val="auto"/>
        </w:rPr>
        <w:t>Agent Parties</w:t>
      </w:r>
      <w:r>
        <w:rPr>
          <w:rFonts w:ascii="Arial" w:cs="Arial" w:eastAsia="Arial" w:hAnsi="Arial"/>
          <w:sz w:val="16"/>
          <w:szCs w:val="16"/>
          <w:color w:val="auto"/>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an Electronic System. “</w:t>
      </w:r>
      <w:r>
        <w:rPr>
          <w:rFonts w:ascii="Arial" w:cs="Arial" w:eastAsia="Arial" w:hAnsi="Arial"/>
          <w:sz w:val="16"/>
          <w:szCs w:val="16"/>
          <w:b w:val="1"/>
          <w:bCs w:val="1"/>
          <w:i w:val="1"/>
          <w:iCs w:val="1"/>
          <w:color w:val="auto"/>
        </w:rPr>
        <w:t>Communications</w:t>
      </w:r>
      <w:r>
        <w:rPr>
          <w:rFonts w:ascii="Arial" w:cs="Arial" w:eastAsia="Arial" w:hAnsi="Arial"/>
          <w:sz w:val="16"/>
          <w:szCs w:val="16"/>
          <w:color w:val="auto"/>
        </w:rPr>
        <w:t>” 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this Section, including through an Electronic System.</w:t>
      </w:r>
    </w:p>
    <w:p>
      <w:pPr>
        <w:spacing w:after="0" w:line="344"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Waivers; Amendments</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 </w:t>
      </w:r>
      <w:r>
        <w:rPr>
          <w:rFonts w:ascii="Arial" w:cs="Arial" w:eastAsia="Arial" w:hAnsi="Arial"/>
          <w:sz w:val="19"/>
          <w:szCs w:val="19"/>
          <w:color w:val="FF0000"/>
          <w:strike w:val="1"/>
        </w:rPr>
        <w:t>. (b)</w:t>
      </w:r>
      <w:r>
        <w:rPr>
          <w:rFonts w:ascii="Arial" w:cs="Arial" w:eastAsia="Arial" w:hAnsi="Arial"/>
          <w:sz w:val="19"/>
          <w:szCs w:val="19"/>
          <w:color w:val="auto"/>
        </w:rPr>
        <w:t xml:space="preserve"> No failure or delay by the Administrative Agent or any Lender in exercising any right or power hereunder shall operate as a waiver thereof, nor shall any single or partial exercise of any such right or power, or any</w:t>
      </w:r>
    </w:p>
    <w:p>
      <w:pPr>
        <w:spacing w:after="0" w:line="255" w:lineRule="auto"/>
        <w:rPr>
          <w:sz w:val="20"/>
          <w:szCs w:val="20"/>
          <w:color w:val="auto"/>
        </w:rPr>
      </w:pPr>
      <w:r>
        <w:rPr>
          <w:rFonts w:ascii="Arial" w:cs="Arial" w:eastAsia="Arial" w:hAnsi="Arial"/>
          <w:sz w:val="16"/>
          <w:szCs w:val="16"/>
          <w:color w:val="auto"/>
        </w:rPr>
        <w:t>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w:t>
      </w:r>
    </w:p>
    <w:p>
      <w:pPr>
        <w:spacing w:after="0" w:line="235" w:lineRule="auto"/>
        <w:rPr>
          <w:sz w:val="20"/>
          <w:szCs w:val="20"/>
          <w:color w:val="auto"/>
        </w:rPr>
      </w:pPr>
      <w:r>
        <w:rPr>
          <w:rFonts w:ascii="Arial" w:cs="Arial" w:eastAsia="Arial" w:hAnsi="Arial"/>
          <w:sz w:val="18"/>
          <w:szCs w:val="18"/>
          <w:color w:val="auto"/>
        </w:rPr>
        <w:t>any rights or remedies that they would otherwise have. No waiver of any provision of this Agreement or consent to any departure by the</w:t>
      </w:r>
    </w:p>
    <w:p>
      <w:pPr>
        <w:spacing w:after="0" w:line="226" w:lineRule="auto"/>
        <w:rPr>
          <w:sz w:val="20"/>
          <w:szCs w:val="20"/>
          <w:color w:val="auto"/>
        </w:rPr>
      </w:pPr>
      <w:r>
        <w:rPr>
          <w:rFonts w:ascii="Arial" w:cs="Arial" w:eastAsia="Arial" w:hAnsi="Arial"/>
          <w:sz w:val="18"/>
          <w:szCs w:val="18"/>
          <w:color w:val="auto"/>
        </w:rPr>
        <w:t>Borrower therefrom shall in any event be effective unless the same shall be permitted by paragraph (b) of this Section, and then such waiver or consent shall be effective only in the specific instance and for the purpose for which given. Without limiting the generality of the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foregoing, the making of a Loan shall not be construed as a waiver of any Default, regardless of whether the Administrative Agent or any Lender may have had notice or knowledge of such Default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3" w:name="page104"/>
    <w:bookmarkEnd w:id="103"/>
    <w:p>
      <w:pPr>
        <w:ind w:left="1300"/>
        <w:spacing w:after="0"/>
        <w:tabs>
          <w:tab w:leader="none" w:pos="184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c</w:t>
      </w:r>
      <w:r>
        <w:rPr>
          <w:rFonts w:ascii="Arial" w:cs="Arial" w:eastAsia="Arial" w:hAnsi="Arial"/>
          <w:sz w:val="20"/>
          <w:szCs w:val="20"/>
          <w:u w:val="single" w:color="auto"/>
          <w:color w:val="0000FF"/>
        </w:rPr>
        <w:t>b</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Subject to Section 2.20(a)(i), neither this Agreement nor any provision hereof may be waived, amended or modified</w:t>
      </w:r>
    </w:p>
    <w:p>
      <w:pPr>
        <w:spacing w:after="0" w:line="255" w:lineRule="auto"/>
        <w:rPr>
          <w:sz w:val="20"/>
          <w:szCs w:val="20"/>
          <w:color w:val="auto"/>
        </w:rPr>
      </w:pPr>
      <w:r>
        <w:rPr>
          <w:rFonts w:ascii="Arial" w:cs="Arial" w:eastAsia="Arial" w:hAnsi="Arial"/>
          <w:sz w:val="16"/>
          <w:szCs w:val="16"/>
          <w:color w:val="auto"/>
        </w:rPr>
        <w:t xml:space="preserve">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agreement shall (i) increase the Commitment of any</w:t>
      </w:r>
    </w:p>
    <w:p>
      <w:pPr>
        <w:spacing w:after="0" w:line="235" w:lineRule="auto"/>
        <w:rPr>
          <w:sz w:val="20"/>
          <w:szCs w:val="20"/>
          <w:color w:val="auto"/>
        </w:rPr>
      </w:pPr>
      <w:r>
        <w:rPr>
          <w:rFonts w:ascii="Arial" w:cs="Arial" w:eastAsia="Arial" w:hAnsi="Arial"/>
          <w:sz w:val="18"/>
          <w:szCs w:val="18"/>
          <w:color w:val="auto"/>
        </w:rPr>
        <w:t>Lender without the written consent of such Lender, (ii) reduce the principal amount of any Loan or reduce the rate of interest thereon, or</w:t>
      </w:r>
    </w:p>
    <w:p>
      <w:pPr>
        <w:spacing w:after="0" w:line="255" w:lineRule="auto"/>
        <w:rPr>
          <w:sz w:val="20"/>
          <w:szCs w:val="20"/>
          <w:color w:val="auto"/>
        </w:rPr>
      </w:pPr>
      <w:r>
        <w:rPr>
          <w:rFonts w:ascii="Arial" w:cs="Arial" w:eastAsia="Arial" w:hAnsi="Arial"/>
          <w:sz w:val="16"/>
          <w:szCs w:val="16"/>
          <w:color w:val="auto"/>
        </w:rPr>
        <w:t>reduce any fees payable hereunder, without the written consent of each Lender affected thereby, (iii) postpone the scheduled date of payment of the principal amount of any Loan, or any interest thereon, or any fees payable hereunder, or reduce the amount of, waive or excuse 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such payment, or postpone the scheduled date of expiration of any Commitment, without the written consent of each Lender affected thereby,</w:t>
      </w:r>
    </w:p>
    <w:p>
      <w:pPr>
        <w:spacing w:after="0" w:line="19" w:lineRule="exact"/>
        <w:rPr>
          <w:sz w:val="20"/>
          <w:szCs w:val="20"/>
          <w:color w:val="auto"/>
        </w:rPr>
      </w:pPr>
    </w:p>
    <w:p>
      <w:pPr>
        <w:jc w:val="both"/>
        <w:ind w:firstLine="8"/>
        <w:spacing w:after="0" w:line="221" w:lineRule="auto"/>
        <w:tabs>
          <w:tab w:leader="none" w:pos="3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change Section 2.18(a) or (c) or Section 7.02 in a manner that would alter the pro rata sharing of payments required thereby,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or (vi) release any Subsidiary Guarantor from its obligations under the Subsidiary Guaranty (except for (x) any release of a Subsidiary Guarantor that becomes an Excluded Subsidiary or (y) any release permitted by the terms of Section 22 of the Subsidiary Guaranty, which release, in each case, shall be permitted without the need for any consent or approval of any Lender), in each case, without the written consent of each Lender;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(x) no such agreement shall amend, modify or otherwise affect the rights or duties of the Administrative Agent hereunder without the prior written consent of the Administrative Agent and (y) no such agreement shall amend or modify Section 2.20 without the prior written consent of the Administrative Agent.</w:t>
      </w:r>
    </w:p>
    <w:p>
      <w:pPr>
        <w:spacing w:after="0" w:line="14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10.03</w:t>
      </w:r>
      <w:r>
        <w:rPr>
          <w:sz w:val="20"/>
          <w:szCs w:val="20"/>
          <w:color w:val="auto"/>
        </w:rPr>
        <w:tab/>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 (a) The Borrower shall pay (i) all reasonable out-of-pocket expenses incurred</w:t>
      </w:r>
    </w:p>
    <w:p>
      <w:pPr>
        <w:spacing w:after="0" w:line="226" w:lineRule="auto"/>
        <w:rPr>
          <w:sz w:val="20"/>
          <w:szCs w:val="20"/>
          <w:color w:val="auto"/>
        </w:rPr>
      </w:pPr>
      <w:r>
        <w:rPr>
          <w:rFonts w:ascii="Arial" w:cs="Arial" w:eastAsia="Arial" w:hAnsi="Arial"/>
          <w:sz w:val="18"/>
          <w:szCs w:val="18"/>
          <w:color w:val="auto"/>
        </w:rPr>
        <w:t>by the Administrative Agent, the Joint Lead Arrangers and their respective Affiliates, including the reasonable fees, charges and disbursements of one outside counsel for the Administrative Agent, in connection with the syndication of the credit facilities provided for</w:t>
      </w:r>
    </w:p>
    <w:p>
      <w:pPr>
        <w:spacing w:after="0" w:line="236" w:lineRule="auto"/>
        <w:rPr>
          <w:sz w:val="20"/>
          <w:szCs w:val="20"/>
          <w:color w:val="auto"/>
        </w:rPr>
      </w:pPr>
      <w:r>
        <w:rPr>
          <w:rFonts w:ascii="Arial" w:cs="Arial" w:eastAsia="Arial" w:hAnsi="Arial"/>
          <w:sz w:val="18"/>
          <w:szCs w:val="18"/>
          <w:color w:val="auto"/>
        </w:rPr>
        <w:t>herein, the preparation and administration of this Agreement or any amendments, modifications or waivers of the provisions hereof (whether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or not the transactions contemplated hereby or thereby shall be consummated), and (ii) all reasonable out-of-pocket expenses incurred by the Administrative Agent or any Lender, including the reasonable fees, charges and disbursements of counsel for the Administrative Agent and</w:t>
      </w:r>
    </w:p>
    <w:p>
      <w:pPr>
        <w:spacing w:after="0" w:line="235" w:lineRule="auto"/>
        <w:rPr>
          <w:sz w:val="20"/>
          <w:szCs w:val="20"/>
          <w:color w:val="auto"/>
        </w:rPr>
      </w:pPr>
      <w:r>
        <w:rPr>
          <w:rFonts w:ascii="Arial" w:cs="Arial" w:eastAsia="Arial" w:hAnsi="Arial"/>
          <w:sz w:val="18"/>
          <w:szCs w:val="18"/>
          <w:color w:val="auto"/>
        </w:rPr>
        <w:t>the Lenders (which shall be limited to one outside counsel and, if necessary, one local counsel in each appropriate jurisdiction and, solely in</w:t>
      </w:r>
    </w:p>
    <w:p>
      <w:pPr>
        <w:spacing w:after="0" w:line="226" w:lineRule="auto"/>
        <w:rPr>
          <w:sz w:val="20"/>
          <w:szCs w:val="20"/>
          <w:color w:val="auto"/>
        </w:rPr>
      </w:pPr>
      <w:r>
        <w:rPr>
          <w:rFonts w:ascii="Arial" w:cs="Arial" w:eastAsia="Arial" w:hAnsi="Arial"/>
          <w:sz w:val="18"/>
          <w:szCs w:val="18"/>
          <w:color w:val="auto"/>
        </w:rPr>
        <w:t>the case of a conflict of interest, one special conflicts counsel to all affected Indemnitees, taken as a whole), in connection with the enforcement or protection of its rights in connection with this Agreement, including its rights under this Section, or in connection with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Loans made hereunder, including all such out-of-pocket expenses incurred during any workout, restructuring or negotiations in respect of such Loans.</w:t>
      </w:r>
    </w:p>
    <w:p>
      <w:pPr>
        <w:spacing w:after="0" w:line="156" w:lineRule="exact"/>
        <w:rPr>
          <w:sz w:val="20"/>
          <w:szCs w:val="20"/>
          <w:color w:val="auto"/>
        </w:rPr>
      </w:pPr>
    </w:p>
    <w:p>
      <w:pPr>
        <w:jc w:val="both"/>
        <w:ind w:firstLine="1304"/>
        <w:spacing w:after="0" w:line="234" w:lineRule="auto"/>
        <w:tabs>
          <w:tab w:leader="none" w:pos="18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 shall indemnify the Administrative Agent and each Lender, and each Related Party of any of the foregoing Persons (each 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(or any of its Related Parties) or from the material breach by such Indemnitee (or any of its Related Parties) of its obligations under the Loan Documents or (y) result from a dispute solely among Indemnitees (other than any claims against an Indemnitee in its capacity or in fulfilling its role as the Administrative Agent, Joint Lead Arranger or similar role under the Loan Documents) and not arising out of any act or omission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394" w:right="339" w:bottom="1440" w:gutter="0" w:footer="0" w:header="0"/>
        </w:sectPr>
      </w:pPr>
    </w:p>
    <w:bookmarkStart w:id="104" w:name="page105"/>
    <w:bookmarkEnd w:id="104"/>
    <w:p>
      <w:pPr>
        <w:spacing w:after="0" w:line="236" w:lineRule="auto"/>
        <w:rPr>
          <w:sz w:val="20"/>
          <w:szCs w:val="20"/>
          <w:color w:val="auto"/>
        </w:rPr>
      </w:pPr>
      <w:r>
        <w:rPr>
          <w:rFonts w:ascii="Arial" w:cs="Arial" w:eastAsia="Arial" w:hAnsi="Arial"/>
          <w:sz w:val="20"/>
          <w:szCs w:val="20"/>
          <w:color w:val="auto"/>
        </w:rPr>
        <w:t>the Borrower or any of its Affiliates. This Section 10.03(b) shall not apply with respect to Taxes other than any Taxes that represent losses, claims or damages arising from any non-Tax claim.</w:t>
      </w:r>
    </w:p>
    <w:p>
      <w:pPr>
        <w:spacing w:after="0" w:line="155" w:lineRule="exact"/>
        <w:rPr>
          <w:sz w:val="20"/>
          <w:szCs w:val="20"/>
          <w:color w:val="auto"/>
        </w:rPr>
      </w:pPr>
    </w:p>
    <w:p>
      <w:pPr>
        <w:jc w:val="both"/>
        <w:ind w:firstLine="1304"/>
        <w:spacing w:after="0" w:line="218" w:lineRule="auto"/>
        <w:tabs>
          <w:tab w:leader="none" w:pos="1777"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To the extent that the Borrower fails to pay any amount required to be paid by it to the Administrative Agent under paragraph (a) or (b) of this Section, each Lender severally agrees to pay to the Administrative Agent such Lender’s Pro-Rata Share (determined as of the time that the applicable unreimbursed expense or indemnity payment is sought) of such unpaid amount;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unreimbursed expense or indemnified loss, claim, damage, liability or related expense, as the case may be, was incurred by or asserted against the Administrative Agent in its capacity as such.</w:t>
      </w:r>
    </w:p>
    <w:p>
      <w:pPr>
        <w:spacing w:after="0" w:line="170" w:lineRule="exact"/>
        <w:rPr>
          <w:rFonts w:ascii="Arial" w:cs="Arial" w:eastAsia="Arial" w:hAnsi="Arial"/>
          <w:sz w:val="20"/>
          <w:szCs w:val="20"/>
          <w:color w:val="auto"/>
        </w:rPr>
      </w:pPr>
    </w:p>
    <w:p>
      <w:pPr>
        <w:jc w:val="both"/>
        <w:ind w:firstLine="1304"/>
        <w:spacing w:after="0" w:line="214" w:lineRule="auto"/>
        <w:tabs>
          <w:tab w:leader="none" w:pos="1770"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To the extent permitted by applicable law, no party hereto shall assert, and each such party hereby waives, any claim against any other party,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nothing in this clause (d) shall relieve the Borrower of any obligation they may have to indemnify an Indemnitee against special, indirect, consequential or punitive damages asserted against such Indemnitee by a third party.</w:t>
      </w:r>
    </w:p>
    <w:p>
      <w:pPr>
        <w:spacing w:after="0" w:line="173" w:lineRule="exact"/>
        <w:rPr>
          <w:rFonts w:ascii="Arial" w:cs="Arial" w:eastAsia="Arial" w:hAnsi="Arial"/>
          <w:sz w:val="20"/>
          <w:szCs w:val="20"/>
          <w:color w:val="auto"/>
        </w:rPr>
      </w:pPr>
    </w:p>
    <w:p>
      <w:pPr>
        <w:ind w:left="1720" w:hanging="416"/>
        <w:spacing w:after="0"/>
        <w:tabs>
          <w:tab w:leader="none" w:pos="1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All amounts due under this Section shall be payable promptly after written demand therefor.</w:t>
      </w:r>
    </w:p>
    <w:p>
      <w:pPr>
        <w:spacing w:after="0" w:line="175" w:lineRule="exact"/>
        <w:rPr>
          <w:sz w:val="20"/>
          <w:szCs w:val="20"/>
          <w:color w:val="auto"/>
        </w:rPr>
      </w:pPr>
    </w:p>
    <w:p>
      <w:pPr>
        <w:ind w:right="20" w:firstLine="648"/>
        <w:spacing w:after="0" w:line="27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Borrower may not assign or otherwise transfer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of its rights or obligations hereunder without the prior written consent of each Lender (and any attempted assignment or transfer by the Borrower without such consent shall be null and void) and (ii) no Lender may assign or otherwise transfer its rights or obligations hereunder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except in accordance with this Section. Nothing in this Agreement, expressed or implied, shall be construed to confer upon any Person (other than the parties hereto, their respective successors and assigns permitted hereby, Participants (to the extent provided in paragraph (c) of this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Section) and, to the extent expressly contemplated hereby, the Related Parties of each of the Administrative Agent and the Lenders) any legal or equitable right, remedy or claim under or by reason of this Agreement.</w:t>
      </w:r>
    </w:p>
    <w:p>
      <w:pPr>
        <w:spacing w:after="0" w:line="156" w:lineRule="exact"/>
        <w:rPr>
          <w:sz w:val="20"/>
          <w:szCs w:val="20"/>
          <w:color w:val="auto"/>
        </w:rPr>
      </w:pPr>
    </w:p>
    <w:p>
      <w:pPr>
        <w:jc w:val="both"/>
        <w:ind w:firstLine="1304"/>
        <w:spacing w:after="0" w:line="239" w:lineRule="auto"/>
        <w:tabs>
          <w:tab w:leader="none" w:pos="1847" w:val="left"/>
        </w:tabs>
        <w:numPr>
          <w:ilvl w:val="0"/>
          <w:numId w:val="98"/>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57" w:lineRule="exact"/>
        <w:rPr>
          <w:rFonts w:ascii="Arial" w:cs="Arial" w:eastAsia="Arial" w:hAnsi="Arial"/>
          <w:sz w:val="19"/>
          <w:szCs w:val="19"/>
          <w:color w:val="auto"/>
        </w:rPr>
      </w:pPr>
    </w:p>
    <w:p>
      <w:pPr>
        <w:jc w:val="both"/>
        <w:ind w:left="1300" w:firstLine="1300"/>
        <w:spacing w:after="0" w:line="228" w:lineRule="auto"/>
        <w:tabs>
          <w:tab w:leader="none" w:pos="3087" w:val="left"/>
        </w:tabs>
        <w:numPr>
          <w:ilvl w:val="2"/>
          <w:numId w:val="98"/>
        </w:numPr>
        <w:rPr>
          <w:rFonts w:ascii="Arial" w:cs="Arial" w:eastAsia="Arial" w:hAnsi="Arial"/>
          <w:sz w:val="19"/>
          <w:szCs w:val="19"/>
          <w:color w:val="auto"/>
        </w:rPr>
      </w:pPr>
      <w:r>
        <w:rPr>
          <w:rFonts w:ascii="Arial" w:cs="Arial" w:eastAsia="Arial" w:hAnsi="Arial"/>
          <w:sz w:val="19"/>
          <w:szCs w:val="19"/>
          <w:color w:val="auto"/>
        </w:rPr>
        <w:t xml:space="preserve">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deemed to have consented to an assignment unless the Borrower shall have objected thereto by written notice to the Administrative Agent within ten (10) Business Days after having received notice thereof;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consent of the Borrower shall be required for an assignment to a Lender, an Affiliate of a Lender, an Approved Fund or, if an Event of Default under Section 7.01(a), (b), (h) or (i) has occurred and is continuing at the time of such assignment, any other assignee, but the Administrative Agent shall nonetheless send notice of such assignment to the Borrower; and</w:t>
      </w:r>
    </w:p>
    <w:p>
      <w:pPr>
        <w:spacing w:after="0" w:line="158" w:lineRule="exact"/>
        <w:rPr>
          <w:rFonts w:ascii="Arial" w:cs="Arial" w:eastAsia="Arial" w:hAnsi="Arial"/>
          <w:sz w:val="19"/>
          <w:szCs w:val="19"/>
          <w:color w:val="auto"/>
        </w:rPr>
      </w:pPr>
    </w:p>
    <w:p>
      <w:pPr>
        <w:ind w:left="1300" w:right="20" w:firstLine="1300"/>
        <w:spacing w:after="0" w:line="257" w:lineRule="auto"/>
        <w:tabs>
          <w:tab w:leader="none" w:pos="3096" w:val="left"/>
        </w:tabs>
        <w:numPr>
          <w:ilvl w:val="2"/>
          <w:numId w:val="98"/>
        </w:numPr>
        <w:rPr>
          <w:rFonts w:ascii="Arial" w:cs="Arial" w:eastAsia="Arial" w:hAnsi="Arial"/>
          <w:sz w:val="19"/>
          <w:szCs w:val="19"/>
          <w:color w:val="auto"/>
        </w:rPr>
      </w:pPr>
      <w:r>
        <w:rPr>
          <w:rFonts w:ascii="Arial" w:cs="Arial" w:eastAsia="Arial" w:hAnsi="Arial"/>
          <w:sz w:val="19"/>
          <w:szCs w:val="19"/>
          <w:color w:val="auto"/>
        </w:rPr>
        <w:t xml:space="preserve">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consent of the Administrative Agent shall be required for an assignment of all or any portion of a Loan to a Lender, an Affiliate of a Lender or an Approved Fund.</w:t>
      </w:r>
    </w:p>
    <w:p>
      <w:pPr>
        <w:spacing w:after="0" w:line="153" w:lineRule="exact"/>
        <w:rPr>
          <w:rFonts w:ascii="Arial" w:cs="Arial" w:eastAsia="Arial" w:hAnsi="Arial"/>
          <w:sz w:val="19"/>
          <w:szCs w:val="19"/>
          <w:color w:val="auto"/>
        </w:rPr>
      </w:pPr>
    </w:p>
    <w:p>
      <w:pPr>
        <w:ind w:left="2380" w:hanging="428"/>
        <w:spacing w:after="0"/>
        <w:tabs>
          <w:tab w:leader="none" w:pos="23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75" w:lineRule="exact"/>
        <w:rPr>
          <w:rFonts w:ascii="Arial" w:cs="Arial" w:eastAsia="Arial" w:hAnsi="Arial"/>
          <w:sz w:val="20"/>
          <w:szCs w:val="20"/>
          <w:color w:val="auto"/>
        </w:rPr>
      </w:pPr>
    </w:p>
    <w:p>
      <w:pPr>
        <w:jc w:val="both"/>
        <w:ind w:left="1300" w:firstLine="1300"/>
        <w:spacing w:after="0" w:line="220" w:lineRule="auto"/>
        <w:tabs>
          <w:tab w:leader="none" w:pos="3134" w:val="left"/>
        </w:tabs>
        <w:numPr>
          <w:ilvl w:val="2"/>
          <w:numId w:val="98"/>
        </w:numPr>
        <w:rPr>
          <w:rFonts w:ascii="Arial" w:cs="Arial" w:eastAsia="Arial" w:hAnsi="Arial"/>
          <w:sz w:val="20"/>
          <w:szCs w:val="20"/>
          <w:color w:val="auto"/>
        </w:rPr>
      </w:pPr>
      <w:r>
        <w:rPr>
          <w:rFonts w:ascii="Arial" w:cs="Arial" w:eastAsia="Arial" w:hAnsi="Arial"/>
          <w:sz w:val="20"/>
          <w:szCs w:val="20"/>
          <w:color w:val="auto"/>
        </w:rPr>
        <w:t>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5" w:name="page106"/>
    <w:bookmarkEnd w:id="105"/>
    <w:p>
      <w:pPr>
        <w:ind w:left="1280"/>
        <w:spacing w:after="0"/>
        <w:rPr>
          <w:sz w:val="20"/>
          <w:szCs w:val="20"/>
          <w:color w:val="auto"/>
        </w:rPr>
      </w:pPr>
      <w:r>
        <w:rPr>
          <w:rFonts w:ascii="Arial" w:cs="Arial" w:eastAsia="Arial" w:hAnsi="Arial"/>
          <w:sz w:val="18"/>
          <w:szCs w:val="18"/>
          <w:color w:val="auto"/>
        </w:rPr>
        <w:t xml:space="preserve">shall not be less than $5,000,000, unless the Borrower and the Administrative Agent otherwise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w:t>
      </w:r>
    </w:p>
    <w:p>
      <w:pPr>
        <w:spacing w:after="0" w:line="12" w:lineRule="exact"/>
        <w:rPr>
          <w:sz w:val="20"/>
          <w:szCs w:val="20"/>
          <w:color w:val="auto"/>
        </w:rPr>
      </w:pPr>
    </w:p>
    <w:p>
      <w:pPr>
        <w:ind w:left="1280" w:right="20"/>
        <w:spacing w:after="0" w:line="220" w:lineRule="auto"/>
        <w:rPr>
          <w:sz w:val="20"/>
          <w:szCs w:val="20"/>
          <w:color w:val="auto"/>
        </w:rPr>
      </w:pPr>
      <w:r>
        <w:rPr>
          <w:rFonts w:ascii="Arial" w:cs="Arial" w:eastAsia="Arial" w:hAnsi="Arial"/>
          <w:sz w:val="20"/>
          <w:szCs w:val="20"/>
          <w:color w:val="auto"/>
        </w:rPr>
        <w:t>such consent of the Borrower shall be required if an Event of Default under Section 7.01(a), (b), (h) or (i) has occurred and is continuing at the time of such assignment;</w:t>
      </w:r>
    </w:p>
    <w:p>
      <w:pPr>
        <w:spacing w:after="0" w:line="170" w:lineRule="exact"/>
        <w:rPr>
          <w:sz w:val="20"/>
          <w:szCs w:val="20"/>
          <w:color w:val="auto"/>
        </w:rPr>
      </w:pPr>
    </w:p>
    <w:p>
      <w:pPr>
        <w:ind w:left="1280" w:firstLine="1300"/>
        <w:spacing w:after="0" w:line="236" w:lineRule="auto"/>
        <w:tabs>
          <w:tab w:leader="none" w:pos="3121" w:val="left"/>
        </w:tabs>
        <w:numPr>
          <w:ilvl w:val="1"/>
          <w:numId w:val="99"/>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55" w:lineRule="exact"/>
        <w:rPr>
          <w:rFonts w:ascii="Arial" w:cs="Arial" w:eastAsia="Arial" w:hAnsi="Arial"/>
          <w:sz w:val="20"/>
          <w:szCs w:val="20"/>
          <w:color w:val="auto"/>
        </w:rPr>
      </w:pPr>
    </w:p>
    <w:p>
      <w:pPr>
        <w:jc w:val="both"/>
        <w:ind w:left="1280" w:firstLine="1300"/>
        <w:spacing w:after="0" w:line="259" w:lineRule="auto"/>
        <w:tabs>
          <w:tab w:leader="none" w:pos="31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Assumption, together with a processing and recordation fee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fee shall be borne by the Borrower if the Borrower requires replacement of a Lender party to such assignment pursuant to Section 2.19(b); and</w:t>
      </w:r>
    </w:p>
    <w:p>
      <w:pPr>
        <w:spacing w:after="0" w:line="139" w:lineRule="exact"/>
        <w:rPr>
          <w:rFonts w:ascii="Arial" w:cs="Arial" w:eastAsia="Arial" w:hAnsi="Arial"/>
          <w:sz w:val="18"/>
          <w:szCs w:val="18"/>
          <w:color w:val="auto"/>
        </w:rPr>
      </w:pPr>
    </w:p>
    <w:p>
      <w:pPr>
        <w:jc w:val="both"/>
        <w:ind w:left="1280" w:firstLine="1300"/>
        <w:spacing w:after="0" w:line="243" w:lineRule="auto"/>
        <w:tabs>
          <w:tab w:leader="none" w:pos="31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at such assignee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67" w:lineRule="exact"/>
        <w:rPr>
          <w:rFonts w:ascii="Arial" w:cs="Arial" w:eastAsia="Arial" w:hAnsi="Arial"/>
          <w:sz w:val="18"/>
          <w:szCs w:val="18"/>
          <w:color w:val="auto"/>
        </w:rPr>
      </w:pPr>
    </w:p>
    <w:p>
      <w:pPr>
        <w:jc w:val="both"/>
        <w:ind w:left="640" w:firstLine="1292"/>
        <w:spacing w:after="0" w:line="235" w:lineRule="auto"/>
        <w:tabs>
          <w:tab w:leader="none" w:pos="24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10.03). Any assignment or transfer by a Lender of rights or obligations under this Agreement that does not comply with this Section 10.04 shall be treated for purposes of this Agreement as a sale by such Lender of a participation in such rights and obligations in accordance with paragraph (c) of this Section.</w:t>
      </w:r>
    </w:p>
    <w:p>
      <w:pPr>
        <w:spacing w:after="0" w:line="160" w:lineRule="exact"/>
        <w:rPr>
          <w:rFonts w:ascii="Arial" w:cs="Arial" w:eastAsia="Arial" w:hAnsi="Arial"/>
          <w:sz w:val="18"/>
          <w:szCs w:val="18"/>
          <w:color w:val="auto"/>
        </w:rPr>
      </w:pPr>
    </w:p>
    <w:p>
      <w:pPr>
        <w:jc w:val="both"/>
        <w:ind w:left="640" w:firstLine="1292"/>
        <w:spacing w:after="0" w:line="238" w:lineRule="auto"/>
        <w:tabs>
          <w:tab w:leader="none" w:pos="244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an agent of the 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The entries in the Register shall be conclusive,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9" w:lineRule="exact"/>
        <w:rPr>
          <w:rFonts w:ascii="Arial" w:cs="Arial" w:eastAsia="Arial" w:hAnsi="Arial"/>
          <w:sz w:val="18"/>
          <w:szCs w:val="18"/>
          <w:color w:val="auto"/>
        </w:rPr>
      </w:pPr>
    </w:p>
    <w:p>
      <w:pPr>
        <w:jc w:val="both"/>
        <w:ind w:left="640" w:firstLine="1292"/>
        <w:spacing w:after="0" w:line="214" w:lineRule="auto"/>
        <w:tabs>
          <w:tab w:leader="none" w:pos="244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either the assigning Lender or the assignee shall have failed to make any payment required to be made by it pursuant to Section 10.03(c), the Administrative Agent shall have no obligation to accept such Assignment and Assumption and record the information therein in the Register unless and until such payment shall have been made in full, together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20"/>
          </w:cols>
          <w:pgMar w:left="340" w:top="1405" w:right="339" w:bottom="1440" w:gutter="0" w:footer="0" w:header="0"/>
        </w:sectPr>
      </w:pPr>
    </w:p>
    <w:bookmarkStart w:id="106" w:name="page107"/>
    <w:bookmarkEnd w:id="106"/>
    <w:p>
      <w:pPr>
        <w:ind w:left="660" w:right="20"/>
        <w:spacing w:after="0" w:line="236" w:lineRule="auto"/>
        <w:rPr>
          <w:sz w:val="20"/>
          <w:szCs w:val="20"/>
          <w:color w:val="auto"/>
        </w:rPr>
      </w:pPr>
      <w:r>
        <w:rPr>
          <w:rFonts w:ascii="Arial" w:cs="Arial" w:eastAsia="Arial" w:hAnsi="Arial"/>
          <w:sz w:val="20"/>
          <w:szCs w:val="20"/>
          <w:color w:val="auto"/>
        </w:rPr>
        <w:t>accrued interest thereon. No assignment shall be effective for purposes of this Agreement unless it has been recorded in the Register as provided in this paragraph.</w:t>
      </w:r>
    </w:p>
    <w:p>
      <w:pPr>
        <w:spacing w:after="0" w:line="155" w:lineRule="exact"/>
        <w:rPr>
          <w:sz w:val="20"/>
          <w:szCs w:val="20"/>
          <w:color w:val="auto"/>
        </w:rPr>
      </w:pPr>
    </w:p>
    <w:p>
      <w:pPr>
        <w:jc w:val="both"/>
        <w:ind w:firstLine="1304"/>
        <w:spacing w:after="0" w:line="231" w:lineRule="auto"/>
        <w:tabs>
          <w:tab w:leader="none" w:pos="17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Lender may, without the consent of the Borrower or the Administrative Agent, sell participations to one or more Persons (other than a Defaulting Lender, the Borrower or any of its Affiliates, a Competitor or a natural Person)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 the Loans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 10.02(b)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 agrees to be subject to the provisions of Section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10.08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agrees to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9" w:lineRule="exact"/>
        <w:rPr>
          <w:rFonts w:ascii="Arial" w:cs="Arial" w:eastAsia="Arial" w:hAnsi="Arial"/>
          <w:sz w:val="18"/>
          <w:szCs w:val="18"/>
          <w:color w:val="auto"/>
        </w:rPr>
      </w:pPr>
    </w:p>
    <w:p>
      <w:pPr>
        <w:jc w:val="both"/>
        <w:ind w:firstLine="1304"/>
        <w:spacing w:after="0" w:line="218" w:lineRule="auto"/>
        <w:tabs>
          <w:tab w:leader="none" w:pos="173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and this Section shall not apply to any such pledge or assignment of a security interest;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5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agreements, representations and warranties made by the Borrower herein and in the certificates or other instruments delivered in connection with or pursuant to this Agreement shall be considered to have been relied upon by</w:t>
      </w:r>
    </w:p>
    <w:p>
      <w:pPr>
        <w:spacing w:after="0" w:line="226" w:lineRule="auto"/>
        <w:rPr>
          <w:sz w:val="20"/>
          <w:szCs w:val="20"/>
          <w:color w:val="auto"/>
        </w:rPr>
      </w:pPr>
      <w:r>
        <w:rPr>
          <w:rFonts w:ascii="Arial" w:cs="Arial" w:eastAsia="Arial" w:hAnsi="Arial"/>
          <w:sz w:val="18"/>
          <w:szCs w:val="18"/>
          <w:color w:val="auto"/>
        </w:rPr>
        <w:t>the other parties hereto and shall survive the execution and delivery of this Agreement and the making of any Loans regardless of any investigation made by any such other party or on its behalf and notwithstanding that the Administrative Agent or any Lender may have had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notice or knowledge of any Default or incorrect representation or warranty at the time any credit is extended hereunder, and shall continue in full force and effect as long as the principal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or any accrued interest on any Loan or any fee or any other amount payable under this Agreement is outstanding and unpaid and so long as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Commitments have not expired or terminated. The provisions of Sections 2.15, 2.16, 2.17 and 10.03 and Article VIII shall survive and remain in full force and effect regardless of the consummation of the transactions contemplated hereby, the repayment of the Loans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Commitments or the termination of this Agreement or any provision hereof.</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 (a) This Agreement may be executed in counterparts (and by different parties hereto on different counterparts), each of which shall constitute an original, but all of which when taken together</w:t>
      </w:r>
    </w:p>
    <w:p>
      <w:pPr>
        <w:spacing w:after="0"/>
        <w:rPr>
          <w:sz w:val="20"/>
          <w:szCs w:val="20"/>
          <w:color w:val="auto"/>
        </w:rPr>
      </w:pPr>
      <w:r>
        <w:rPr>
          <w:rFonts w:ascii="Arial" w:cs="Arial" w:eastAsia="Arial" w:hAnsi="Arial"/>
          <w:sz w:val="16"/>
          <w:szCs w:val="16"/>
          <w:color w:val="auto"/>
        </w:rPr>
        <w:t>shall constitute a single contract. This Agreement and any separate letter agreements with respect to fees payable to the Administrative Agent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constitute the entire contract among the parties relating to the subject matter hereof and supersede any and all previous agreements and understandings, oral or written, relating to the subject matter hereof. Except as provided in Section 4.01, this Agreement shall become</w:t>
      </w:r>
    </w:p>
    <w:p>
      <w:pPr>
        <w:spacing w:after="0" w:line="236" w:lineRule="auto"/>
        <w:rPr>
          <w:sz w:val="20"/>
          <w:szCs w:val="20"/>
          <w:color w:val="auto"/>
        </w:rPr>
      </w:pPr>
      <w:r>
        <w:rPr>
          <w:rFonts w:ascii="Arial" w:cs="Arial" w:eastAsia="Arial" w:hAnsi="Arial"/>
          <w:sz w:val="18"/>
          <w:szCs w:val="18"/>
          <w:color w:val="auto"/>
        </w:rPr>
        <w:t>effective when it shall have been executed by the Administrative Agent and when the Administrative Agent shall have received counterparts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hereof which, when taken together, bear the signatures of each of the other parties hereto, and thereafter shall be binding upon and inure to the benefit of the parties hereto and their respective successors and assigns.</w:t>
      </w:r>
    </w:p>
    <w:p>
      <w:pPr>
        <w:spacing w:after="0" w:line="170" w:lineRule="exact"/>
        <w:rPr>
          <w:sz w:val="20"/>
          <w:szCs w:val="20"/>
          <w:color w:val="auto"/>
        </w:rPr>
      </w:pPr>
    </w:p>
    <w:p>
      <w:pPr>
        <w:jc w:val="both"/>
        <w:ind w:firstLine="1304"/>
        <w:spacing w:after="0" w:line="235" w:lineRule="auto"/>
        <w:tabs>
          <w:tab w:leader="none" w:pos="18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10.07</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w:t>
      </w:r>
    </w:p>
    <w:p>
      <w:pPr>
        <w:spacing w:after="0" w:line="226" w:lineRule="auto"/>
        <w:rPr>
          <w:sz w:val="20"/>
          <w:szCs w:val="20"/>
          <w:color w:val="auto"/>
        </w:rPr>
      </w:pPr>
      <w:r>
        <w:rPr>
          <w:rFonts w:ascii="Arial" w:cs="Arial" w:eastAsia="Arial" w:hAnsi="Arial"/>
          <w:sz w:val="18"/>
          <w:szCs w:val="18"/>
          <w:color w:val="auto"/>
        </w:rPr>
        <w:t>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provision in any other jurisdiction.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and each of its Affiliates is hereby authorized at any time and from time to time, to the fullest extent permitted by law, to set off and apply any and all deposits</w:t>
      </w:r>
    </w:p>
    <w:p>
      <w:pPr>
        <w:spacing w:after="0" w:line="235" w:lineRule="auto"/>
        <w:rPr>
          <w:sz w:val="20"/>
          <w:szCs w:val="20"/>
          <w:color w:val="auto"/>
        </w:rPr>
      </w:pPr>
      <w:r>
        <w:rPr>
          <w:rFonts w:ascii="Arial" w:cs="Arial" w:eastAsia="Arial" w:hAnsi="Arial"/>
          <w:sz w:val="18"/>
          <w:szCs w:val="18"/>
          <w:color w:val="auto"/>
        </w:rPr>
        <w:t>(general or special, time or demand, provisional or final) at any time held and other obligations at any time owing by such Lender or Affiliate</w:t>
      </w:r>
    </w:p>
    <w:p>
      <w:pPr>
        <w:spacing w:after="0" w:line="255" w:lineRule="auto"/>
        <w:rPr>
          <w:sz w:val="20"/>
          <w:szCs w:val="20"/>
          <w:color w:val="auto"/>
        </w:rPr>
      </w:pPr>
      <w:r>
        <w:rPr>
          <w:rFonts w:ascii="Arial" w:cs="Arial" w:eastAsia="Arial" w:hAnsi="Arial"/>
          <w:sz w:val="16"/>
          <w:szCs w:val="16"/>
          <w:color w:val="auto"/>
        </w:rPr>
        <w:t>to or for the credit or the account of the Borrower against any of and all the obligations of the Borrower now or hereafter existing under this Agreement held by such Lender, irrespective of whether or not such Lender shall have made any demand under this Agreement and although</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such obligations may be unmatured. The rights of each Lender under this Section are in addition to other rights and remedies (including other rights of setoff) which such Lender may have.</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10.09 </w:t>
      </w:r>
      <w:r>
        <w:rPr>
          <w:rFonts w:ascii="Arial" w:cs="Arial" w:eastAsia="Arial" w:hAnsi="Arial"/>
          <w:sz w:val="20"/>
          <w:szCs w:val="20"/>
          <w:u w:val="single" w:color="auto"/>
          <w:color w:val="auto"/>
        </w:rPr>
        <w:t>Governing Law; Jurisdiction; Consent to Service of Process</w:t>
      </w:r>
      <w:r>
        <w:rPr>
          <w:rFonts w:ascii="Arial" w:cs="Arial" w:eastAsia="Arial" w:hAnsi="Arial"/>
          <w:sz w:val="20"/>
          <w:szCs w:val="20"/>
          <w:color w:val="auto"/>
        </w:rPr>
        <w:t>. (a) This Agreement shall be construed in accordance with and governed by the law of the State of New York.</w:t>
      </w:r>
    </w:p>
    <w:p>
      <w:pPr>
        <w:spacing w:after="0" w:line="169" w:lineRule="exact"/>
        <w:rPr>
          <w:sz w:val="20"/>
          <w:szCs w:val="20"/>
          <w:color w:val="auto"/>
        </w:rPr>
      </w:pPr>
    </w:p>
    <w:p>
      <w:pPr>
        <w:jc w:val="both"/>
        <w:ind w:firstLine="1304"/>
        <w:spacing w:after="0" w:line="238" w:lineRule="auto"/>
        <w:tabs>
          <w:tab w:leader="none" w:pos="172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8" w:name="page109"/>
    <w:bookmarkEnd w:id="108"/>
    <w:p>
      <w:pPr>
        <w:spacing w:after="0" w:line="257" w:lineRule="auto"/>
        <w:rPr>
          <w:sz w:val="20"/>
          <w:szCs w:val="20"/>
          <w:color w:val="auto"/>
        </w:rPr>
      </w:pPr>
      <w:r>
        <w:rPr>
          <w:rFonts w:ascii="Arial" w:cs="Arial" w:eastAsia="Arial" w:hAnsi="Arial"/>
          <w:sz w:val="19"/>
          <w:szCs w:val="19"/>
          <w:color w:val="auto"/>
        </w:rPr>
        <w:t>provided by law. Nothing in this Agreement shall affect any right that the Administrative Agent or any Lender may otherwise have to bring any action or proceeding relating to this Agreement against the Borrower or its properties in the courts of any jurisdiction.</w:t>
      </w:r>
    </w:p>
    <w:p>
      <w:pPr>
        <w:spacing w:after="0" w:line="140" w:lineRule="exact"/>
        <w:rPr>
          <w:sz w:val="20"/>
          <w:szCs w:val="20"/>
          <w:color w:val="auto"/>
        </w:rPr>
      </w:pPr>
    </w:p>
    <w:p>
      <w:pPr>
        <w:jc w:val="both"/>
        <w:ind w:firstLine="1304"/>
        <w:spacing w:after="0" w:line="246" w:lineRule="auto"/>
        <w:tabs>
          <w:tab w:leader="none" w:pos="17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63" w:lineRule="exact"/>
        <w:rPr>
          <w:rFonts w:ascii="Arial" w:cs="Arial" w:eastAsia="Arial" w:hAnsi="Arial"/>
          <w:sz w:val="18"/>
          <w:szCs w:val="18"/>
          <w:color w:val="auto"/>
        </w:rPr>
      </w:pPr>
    </w:p>
    <w:p>
      <w:pPr>
        <w:jc w:val="both"/>
        <w:ind w:firstLine="1304"/>
        <w:spacing w:after="0" w:line="223" w:lineRule="auto"/>
        <w:tabs>
          <w:tab w:leader="none" w:pos="188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Each party to this Agreement irrevocably consents to service of process in the manner provided for notices in Section 10.01. Nothing in this Agreement will affect the right of any party to this Agreement to serve process in any other manner permitted by law.</w:t>
      </w:r>
    </w:p>
    <w:p>
      <w:pPr>
        <w:spacing w:after="0" w:line="15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0"/>
          <w:szCs w:val="20"/>
          <w:color w:val="auto"/>
        </w:rPr>
        <w:t>Section 10.10</w:t>
      </w:r>
      <w:r>
        <w:rPr>
          <w:sz w:val="20"/>
          <w:szCs w:val="20"/>
          <w:color w:val="auto"/>
        </w:rPr>
        <w:tab/>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WAIVES, TO THE FULLEST EXTENT</w:t>
      </w:r>
    </w:p>
    <w:p>
      <w:pPr>
        <w:spacing w:after="0" w:line="204" w:lineRule="auto"/>
        <w:rPr>
          <w:sz w:val="20"/>
          <w:szCs w:val="20"/>
          <w:color w:val="auto"/>
        </w:rPr>
      </w:pPr>
      <w:r>
        <w:rPr>
          <w:rFonts w:ascii="Arial" w:cs="Arial" w:eastAsia="Arial" w:hAnsi="Arial"/>
          <w:sz w:val="20"/>
          <w:szCs w:val="20"/>
          <w:color w:val="auto"/>
        </w:rPr>
        <w:t>PERMITTED BY APPLICABLE LAW, ANY RIGHT IT MAY HAVE TO A TRIAL BY JURY IN ANY LEGAL PROCEEDING DIRECTLY OR INDIRECTLY ARISING OUT OF OR RELATING TO THIS AGREEMENT OR THE TRANSACTIONS</w:t>
      </w:r>
    </w:p>
    <w:p>
      <w:pPr>
        <w:spacing w:after="0" w:line="223" w:lineRule="auto"/>
        <w:rPr>
          <w:sz w:val="20"/>
          <w:szCs w:val="20"/>
          <w:color w:val="auto"/>
        </w:rPr>
      </w:pPr>
      <w:r>
        <w:rPr>
          <w:rFonts w:ascii="Arial" w:cs="Arial" w:eastAsia="Arial" w:hAnsi="Arial"/>
          <w:sz w:val="19"/>
          <w:szCs w:val="19"/>
          <w:color w:val="auto"/>
        </w:rPr>
        <w:t>CONTEMPLATED HEREBY (WHETHER BASED ON CONTRACT, TORT OR ANY OTHER THEORY). EACH PARTY HERETO</w:t>
      </w:r>
    </w:p>
    <w:p>
      <w:pPr>
        <w:jc w:val="both"/>
        <w:ind w:firstLine="8"/>
        <w:spacing w:after="0" w:line="212" w:lineRule="auto"/>
        <w:tabs>
          <w:tab w:leader="none" w:pos="40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10.12</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and the Lenders agrees to maintain the confidentiality of the</w:t>
      </w:r>
    </w:p>
    <w:p>
      <w:pPr>
        <w:spacing w:after="0" w:line="226" w:lineRule="auto"/>
        <w:rPr>
          <w:sz w:val="20"/>
          <w:szCs w:val="20"/>
          <w:color w:val="auto"/>
        </w:rPr>
      </w:pPr>
      <w:r>
        <w:rPr>
          <w:rFonts w:ascii="Arial" w:cs="Arial" w:eastAsia="Arial" w:hAnsi="Arial"/>
          <w:sz w:val="18"/>
          <w:szCs w:val="18"/>
          <w:color w:val="auto"/>
        </w:rPr>
        <w:t>Information (as defined below), except that Information may be disclosed (a) to its and its Affiliates’ directors, officers, employees and agents, including accountants, legal counsel and other advisors (it being understood that the Persons to whom such disclosure is made will be</w:t>
      </w:r>
    </w:p>
    <w:p>
      <w:pPr>
        <w:spacing w:after="0" w:line="236" w:lineRule="auto"/>
        <w:rPr>
          <w:sz w:val="20"/>
          <w:szCs w:val="20"/>
          <w:color w:val="auto"/>
        </w:rPr>
      </w:pPr>
      <w:r>
        <w:rPr>
          <w:rFonts w:ascii="Arial" w:cs="Arial" w:eastAsia="Arial" w:hAnsi="Arial"/>
          <w:sz w:val="18"/>
          <w:szCs w:val="18"/>
          <w:color w:val="auto"/>
        </w:rPr>
        <w:t>informed of the confidential nature of such Information and instructed to keep such Information confidential), (b) to the extent requested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regulatory authority, (c) to the extent required by applicable laws or regulations or by any subpoena or similar legal process, (d) to any other party to this Agreement, (e) in connection with the exercise of any remedies hereunder or any suit, action or proceeding relating to this</w:t>
      </w:r>
    </w:p>
    <w:p>
      <w:pPr>
        <w:spacing w:after="0" w:line="236" w:lineRule="auto"/>
        <w:rPr>
          <w:sz w:val="20"/>
          <w:szCs w:val="20"/>
          <w:color w:val="auto"/>
        </w:rPr>
      </w:pPr>
      <w:r>
        <w:rPr>
          <w:rFonts w:ascii="Arial" w:cs="Arial" w:eastAsia="Arial" w:hAnsi="Arial"/>
          <w:sz w:val="18"/>
          <w:szCs w:val="18"/>
          <w:color w:val="auto"/>
        </w:rPr>
        <w:t>Agreement or the enforcement of rights hereunder, (f) subject to an agreement containing provisions substantially the same as those of this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Section, to (i) any assignee of or Participant in, or any prospective assignee of or Participant in, any of its rights or obligations under this Agreement or (ii) any actual or prospective counterparty (or its advisors) to any swap or derivative transaction relating to the Borrower and</w:t>
      </w:r>
    </w:p>
    <w:p>
      <w:pPr>
        <w:spacing w:after="0" w:line="236" w:lineRule="auto"/>
        <w:rPr>
          <w:sz w:val="20"/>
          <w:szCs w:val="20"/>
          <w:color w:val="auto"/>
        </w:rPr>
      </w:pPr>
      <w:r>
        <w:rPr>
          <w:rFonts w:ascii="Arial" w:cs="Arial" w:eastAsia="Arial" w:hAnsi="Arial"/>
          <w:sz w:val="18"/>
          <w:szCs w:val="18"/>
          <w:color w:val="auto"/>
        </w:rPr>
        <w:t>its obligations, (g) with the consent of the Borrower or (h) to the extent such Information (i) becomes publicly available other than as a result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a breach of this Section or (ii) becomes available to the Administrative Agent or any Lender on a non-confidential basis from a source other than the Borrower. For the purposes of this Section,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means all information received from the Borrower relating to the</w:t>
      </w:r>
    </w:p>
    <w:p>
      <w:pPr>
        <w:spacing w:after="0" w:line="236" w:lineRule="auto"/>
        <w:rPr>
          <w:sz w:val="20"/>
          <w:szCs w:val="20"/>
          <w:color w:val="auto"/>
        </w:rPr>
      </w:pPr>
      <w:r>
        <w:rPr>
          <w:rFonts w:ascii="Arial" w:cs="Arial" w:eastAsia="Arial" w:hAnsi="Arial"/>
          <w:sz w:val="18"/>
          <w:szCs w:val="18"/>
          <w:color w:val="auto"/>
        </w:rPr>
        <w:t>Borrower or its business, other than any such information that is available to the Administrative Agent or any Lender on a nonconfidential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basis prior to disclosure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10.13</w:t>
      </w:r>
      <w:r>
        <w:rPr>
          <w:sz w:val="20"/>
          <w:szCs w:val="20"/>
          <w:color w:val="auto"/>
        </w:rPr>
        <w:tab/>
      </w: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09" w:name="page110"/>
    <w:bookmarkEnd w:id="109"/>
    <w:p>
      <w:pPr>
        <w:jc w:val="both"/>
        <w:ind w:firstLine="1304"/>
        <w:spacing w:after="0" w:line="214" w:lineRule="auto"/>
        <w:tabs>
          <w:tab w:leader="none" w:pos="172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EACH LENDER ACKNOWLEDGES THAT INFORMATION (AS DEFINED IN SECTION 10.12)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3" w:lineRule="exact"/>
        <w:rPr>
          <w:rFonts w:ascii="Arial" w:cs="Arial" w:eastAsia="Arial" w:hAnsi="Arial"/>
          <w:sz w:val="20"/>
          <w:szCs w:val="20"/>
          <w:color w:val="auto"/>
        </w:rPr>
      </w:pPr>
    </w:p>
    <w:p>
      <w:pPr>
        <w:jc w:val="both"/>
        <w:ind w:firstLine="1304"/>
        <w:spacing w:after="0" w:line="214" w:lineRule="auto"/>
        <w:tabs>
          <w:tab w:leader="none" w:pos="177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w:t>
      </w: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which may be contracted for, charged, taken, received or reserved by the Lender holding such Loan in accordance with applicable law, the rate of interest payable in respect of such Loan hereunder, together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all Charges payable in respect thereof, shall be limited to the Maximum Rate and, to the extent lawful, the interest and Charges that would have been payable in respect of such Loan but were not payable as a result of the operation of this Section shall be cumulated and the</w:t>
      </w:r>
    </w:p>
    <w:p>
      <w:pPr>
        <w:spacing w:after="0" w:line="236" w:lineRule="auto"/>
        <w:rPr>
          <w:sz w:val="20"/>
          <w:szCs w:val="20"/>
          <w:color w:val="auto"/>
        </w:rPr>
      </w:pPr>
      <w:r>
        <w:rPr>
          <w:rFonts w:ascii="Arial" w:cs="Arial" w:eastAsia="Arial" w:hAnsi="Arial"/>
          <w:sz w:val="18"/>
          <w:szCs w:val="18"/>
          <w:color w:val="auto"/>
        </w:rPr>
        <w:t>interest and Charges payable to such Lender in respect of other Loans or periods shall be increased (but not above the Maximum Rate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therefor) until such cumulated amount, together with interest thereon at the Federal Funds Effective Rate to the date of repayment, shall have been received by such Lender.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10.15</w:t>
      </w:r>
      <w:r>
        <w:rPr>
          <w:sz w:val="20"/>
          <w:szCs w:val="20"/>
          <w:color w:val="auto"/>
        </w:rPr>
        <w:tab/>
      </w:r>
      <w:r>
        <w:rPr>
          <w:rFonts w:ascii="Arial" w:cs="Arial" w:eastAsia="Arial" w:hAnsi="Arial"/>
          <w:sz w:val="18"/>
          <w:szCs w:val="18"/>
          <w:u w:val="single" w:color="auto"/>
          <w:color w:val="auto"/>
        </w:rPr>
        <w:t>Judgment Currency</w:t>
      </w:r>
      <w:r>
        <w:rPr>
          <w:rFonts w:ascii="Arial" w:cs="Arial" w:eastAsia="Arial" w:hAnsi="Arial"/>
          <w:sz w:val="18"/>
          <w:szCs w:val="18"/>
          <w:color w:val="auto"/>
        </w:rPr>
        <w:t>. If the Administrative Agent, on behalf of the Lenders, obtains a judgment or judgments against</w:t>
      </w:r>
    </w:p>
    <w:p>
      <w:pPr>
        <w:spacing w:after="0" w:line="226" w:lineRule="auto"/>
        <w:rPr>
          <w:sz w:val="20"/>
          <w:szCs w:val="20"/>
          <w:color w:val="auto"/>
        </w:rPr>
      </w:pPr>
      <w:r>
        <w:rPr>
          <w:rFonts w:ascii="Arial" w:cs="Arial" w:eastAsia="Arial" w:hAnsi="Arial"/>
          <w:sz w:val="18"/>
          <w:szCs w:val="18"/>
          <w:color w:val="auto"/>
        </w:rPr>
        <w:t>the Borrower in a foreign currency, any Dollar denominated obligations of the Borrower in respect of any sum adjudged to be due to the Administrative Agent or the Lenders hereunder or under the Notes (the “</w:t>
      </w:r>
      <w:r>
        <w:rPr>
          <w:rFonts w:ascii="Arial" w:cs="Arial" w:eastAsia="Arial" w:hAnsi="Arial"/>
          <w:sz w:val="18"/>
          <w:szCs w:val="18"/>
          <w:b w:val="1"/>
          <w:bCs w:val="1"/>
          <w:i w:val="1"/>
          <w:iCs w:val="1"/>
          <w:color w:val="auto"/>
        </w:rPr>
        <w:t>Judgment Amount</w:t>
      </w:r>
      <w:r>
        <w:rPr>
          <w:rFonts w:ascii="Arial" w:cs="Arial" w:eastAsia="Arial" w:hAnsi="Arial"/>
          <w:sz w:val="18"/>
          <w:szCs w:val="18"/>
          <w:color w:val="auto"/>
        </w:rPr>
        <w:t>”) shall be discharged only to the extent that, on</w:t>
      </w:r>
    </w:p>
    <w:p>
      <w:pPr>
        <w:spacing w:after="0" w:line="236" w:lineRule="auto"/>
        <w:rPr>
          <w:sz w:val="20"/>
          <w:szCs w:val="20"/>
          <w:color w:val="auto"/>
        </w:rPr>
      </w:pPr>
      <w:r>
        <w:rPr>
          <w:rFonts w:ascii="Arial" w:cs="Arial" w:eastAsia="Arial" w:hAnsi="Arial"/>
          <w:sz w:val="18"/>
          <w:szCs w:val="18"/>
          <w:color w:val="auto"/>
        </w:rPr>
        <w:t>the Business Day following receipt by the Administrative Agent of the Judgment Amount in the foreign currency, the Administrative Agent,</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 accordance with normal banking procedures, may purchase Dollars with the Judgment Amount in such foreign currency. If the amount of Dollars so purchased is less than the amount of Dollars that could have been purchased with the Judgment Amount on the date or dates the</w:t>
      </w:r>
    </w:p>
    <w:p>
      <w:pPr>
        <w:spacing w:after="0" w:line="236" w:lineRule="auto"/>
        <w:rPr>
          <w:sz w:val="20"/>
          <w:szCs w:val="20"/>
          <w:color w:val="auto"/>
        </w:rPr>
      </w:pPr>
      <w:r>
        <w:rPr>
          <w:rFonts w:ascii="Arial" w:cs="Arial" w:eastAsia="Arial" w:hAnsi="Arial"/>
          <w:sz w:val="18"/>
          <w:szCs w:val="18"/>
          <w:color w:val="auto"/>
        </w:rPr>
        <w:t>Judgment Amount (excluding the portion of the Judgment Amount which has accrued as a result of the failure of the Borrower to pay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sum originally due hereunder or under the Notes when it was originally due hereunder or under the Notes) was originally due and owing (the “</w:t>
      </w:r>
      <w:r>
        <w:rPr>
          <w:rFonts w:ascii="Arial" w:cs="Arial" w:eastAsia="Arial" w:hAnsi="Arial"/>
          <w:sz w:val="18"/>
          <w:szCs w:val="18"/>
          <w:b w:val="1"/>
          <w:bCs w:val="1"/>
          <w:i w:val="1"/>
          <w:iCs w:val="1"/>
          <w:color w:val="auto"/>
        </w:rPr>
        <w:t>Original Due Date</w:t>
      </w:r>
      <w:r>
        <w:rPr>
          <w:rFonts w:ascii="Arial" w:cs="Arial" w:eastAsia="Arial" w:hAnsi="Arial"/>
          <w:sz w:val="18"/>
          <w:szCs w:val="18"/>
          <w:color w:val="auto"/>
        </w:rPr>
        <w:t>”) to the Administrative Agent or the Lenders hereunder or under the Notes (the “</w:t>
      </w:r>
      <w:r>
        <w:rPr>
          <w:rFonts w:ascii="Arial" w:cs="Arial" w:eastAsia="Arial" w:hAnsi="Arial"/>
          <w:sz w:val="18"/>
          <w:szCs w:val="18"/>
          <w:b w:val="1"/>
          <w:bCs w:val="1"/>
          <w:i w:val="1"/>
          <w:iCs w:val="1"/>
          <w:color w:val="auto"/>
        </w:rPr>
        <w:t>Loss</w:t>
      </w:r>
      <w:r>
        <w:rPr>
          <w:rFonts w:ascii="Arial" w:cs="Arial" w:eastAsia="Arial" w:hAnsi="Arial"/>
          <w:sz w:val="18"/>
          <w:szCs w:val="18"/>
          <w:color w:val="auto"/>
        </w:rPr>
        <w:t>”), the Borrower agrees as a</w:t>
      </w:r>
    </w:p>
    <w:p>
      <w:pPr>
        <w:spacing w:after="0" w:line="236" w:lineRule="auto"/>
        <w:rPr>
          <w:sz w:val="20"/>
          <w:szCs w:val="20"/>
          <w:color w:val="auto"/>
        </w:rPr>
      </w:pPr>
      <w:r>
        <w:rPr>
          <w:rFonts w:ascii="Arial" w:cs="Arial" w:eastAsia="Arial" w:hAnsi="Arial"/>
          <w:sz w:val="18"/>
          <w:szCs w:val="18"/>
          <w:color w:val="auto"/>
        </w:rPr>
        <w:t>separate obligation and notwithstanding any such judgment, to indemnify the Administrative Agent or such Lender, as the case may be,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against the Loss, and if the amount of Dollars so purchased exceeds the amount of Dollars that could have been purchased with the Judgment Amount on the Original Due Date, the Administrative Agent or such Lender agrees to remit such excess to the Borrower.</w:t>
      </w:r>
    </w:p>
    <w:p>
      <w:pPr>
        <w:spacing w:after="0" w:line="15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Section 10.16</w:t>
      </w:r>
      <w:r>
        <w:rPr>
          <w:sz w:val="20"/>
          <w:szCs w:val="20"/>
          <w:color w:val="auto"/>
        </w:rPr>
        <w:tab/>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hereby notifies the</w:t>
      </w:r>
    </w:p>
    <w:p>
      <w:pPr>
        <w:spacing w:after="0" w:line="226" w:lineRule="auto"/>
        <w:rPr>
          <w:sz w:val="20"/>
          <w:szCs w:val="20"/>
          <w:color w:val="auto"/>
        </w:rPr>
      </w:pPr>
      <w:r>
        <w:rPr>
          <w:rFonts w:ascii="Arial" w:cs="Arial" w:eastAsia="Arial" w:hAnsi="Arial"/>
          <w:sz w:val="18"/>
          <w:szCs w:val="18"/>
          <w:color w:val="auto"/>
        </w:rPr>
        <w:t>Borrower that (a) pursuant to the requirements of the USA PATRIOT Act, it is required to obtain, verify and record information that identifies the Borrower, which information includes the name and address of the Borrower and other information that will allow such Lender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to identify the Borrower in accordance with the USA PATRIOT Act and (b) pursuant to the Beneficial Ownership Regulation, it is required to obtain a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10" w:name="page111"/>
    <w:bookmarkEnd w:id="110"/>
    <w:p>
      <w:pPr>
        <w:ind w:left="660"/>
        <w:spacing w:after="0"/>
        <w:tabs>
          <w:tab w:leader="none" w:pos="2000" w:val="left"/>
        </w:tabs>
        <w:rPr>
          <w:sz w:val="20"/>
          <w:szCs w:val="20"/>
          <w:color w:val="auto"/>
        </w:rPr>
      </w:pPr>
      <w:r>
        <w:rPr>
          <w:rFonts w:ascii="Arial" w:cs="Arial" w:eastAsia="Arial" w:hAnsi="Arial"/>
          <w:sz w:val="20"/>
          <w:szCs w:val="20"/>
          <w:color w:val="auto"/>
        </w:rPr>
        <w:t>Section 10.17</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w:t>
      </w:r>
    </w:p>
    <w:p>
      <w:pPr>
        <w:spacing w:after="0" w:line="215" w:lineRule="auto"/>
        <w:rPr>
          <w:sz w:val="20"/>
          <w:szCs w:val="20"/>
          <w:color w:val="auto"/>
        </w:rPr>
      </w:pPr>
      <w:r>
        <w:rPr>
          <w:rFonts w:ascii="Arial" w:cs="Arial" w:eastAsia="Arial" w:hAnsi="Arial"/>
          <w:sz w:val="19"/>
          <w:szCs w:val="19"/>
          <w:color w:val="auto"/>
        </w:rPr>
        <w:t>(including in connection with any amendment, waiver or other modification hereof or of any other Loan Document), the Borrower acknowledges and agrees, and acknowledges its Affiliates’ understanding, that: (i) (A) the arranging and other services regarding this</w:t>
      </w:r>
    </w:p>
    <w:p>
      <w:pPr>
        <w:spacing w:after="0" w:line="234" w:lineRule="auto"/>
        <w:rPr>
          <w:sz w:val="20"/>
          <w:szCs w:val="20"/>
          <w:color w:val="auto"/>
        </w:rPr>
      </w:pPr>
      <w:r>
        <w:rPr>
          <w:rFonts w:ascii="Arial" w:cs="Arial" w:eastAsia="Arial" w:hAnsi="Arial"/>
          <w:sz w:val="18"/>
          <w:szCs w:val="18"/>
          <w:color w:val="auto"/>
        </w:rPr>
        <w:t>Agreement provided by the Administrative Agent, the Joint Lead Arrangers, and the Lenders are arm’s-length commercial transactions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between the Borrower and its Affiliates, on the one hand, and the Administrative Agent, the Joint Lead Arrangers, and the Lenders, on the other hand, (B) the Borrower has consulted its own legal, accounting, regulatory and tax advisors to the extent it has deemed appropriate, and</w:t>
      </w:r>
    </w:p>
    <w:p>
      <w:pPr>
        <w:spacing w:after="0" w:line="1" w:lineRule="exact"/>
        <w:rPr>
          <w:sz w:val="20"/>
          <w:szCs w:val="20"/>
          <w:color w:val="auto"/>
        </w:rPr>
      </w:pPr>
    </w:p>
    <w:p>
      <w:pPr>
        <w:jc w:val="both"/>
        <w:ind w:firstLine="8"/>
        <w:spacing w:after="0" w:line="220" w:lineRule="auto"/>
        <w:tabs>
          <w:tab w:leader="none" w:pos="33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Borrower is capable of evaluating, and understands and accepts, the terms, risks and conditions of the transactions contemplated hereby and by the other Loan Documents; (ii) (A) the Administrative Agent, each Joint Lead Arranger and each Lender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Joint Lead Arranger nor any Lender has any obligation to the Borrower or any of the Borrower’s Affiliates with respect to the transactions contemplated hereby except those obligations expressly set forth herein and in the other Loan Documents; and (iii) the Administrative Agent, the Joint Lead Arrangers and the Lenders and their respective Affiliates may be engaged in a broad range of transactions that involve interests that differ from those of the Borrower and its Affiliates, and neither the Administrative Agent, nor any Joint Lead Arranger, nor any Lender has any obligation to disclose any of such interests to the Borrower or its Affiliates. To the fullest extent permitted by law, the Borrower hereby waives and releases any claims that it may have against the Administrative Agent, the Joint Lead Arrangers or any Lender with respect to any breach or alleged breach of agency or fiduciary duty in connection with any aspect of any transaction contemplated hereby.</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Acknowledgment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w:t>
      </w:r>
    </w:p>
    <w:p>
      <w:pPr>
        <w:spacing w:after="0" w:line="235" w:lineRule="auto"/>
        <w:rPr>
          <w:sz w:val="20"/>
          <w:szCs w:val="20"/>
          <w:color w:val="auto"/>
        </w:rPr>
      </w:pPr>
      <w:r>
        <w:rPr>
          <w:rFonts w:ascii="Arial" w:cs="Arial" w:eastAsia="Arial" w:hAnsi="Arial"/>
          <w:sz w:val="18"/>
          <w:szCs w:val="18"/>
          <w:color w:val="auto"/>
        </w:rPr>
        <w:t>that any liability of any Affected Financial Institution arising under any Loan Document, to the extent such liability is unsecured, may be</w:t>
      </w:r>
    </w:p>
    <w:p>
      <w:pPr>
        <w:spacing w:after="0" w:line="220" w:lineRule="auto"/>
        <w:rPr>
          <w:sz w:val="20"/>
          <w:szCs w:val="20"/>
          <w:color w:val="auto"/>
        </w:rPr>
      </w:pPr>
      <w:r>
        <w:rPr>
          <w:rFonts w:ascii="Arial" w:cs="Arial" w:eastAsia="Arial" w:hAnsi="Arial"/>
          <w:sz w:val="20"/>
          <w:szCs w:val="20"/>
          <w:color w:val="auto"/>
        </w:rPr>
        <w:t>subject to the Write-Down and Conversion Powers of the applicable Resolution Authority and agrees and consents to, and acknowledges and agrees to be bound by:</w:t>
      </w:r>
    </w:p>
    <w:p>
      <w:pPr>
        <w:spacing w:after="0" w:line="170" w:lineRule="exact"/>
        <w:rPr>
          <w:sz w:val="20"/>
          <w:szCs w:val="20"/>
          <w:color w:val="auto"/>
        </w:rPr>
      </w:pPr>
    </w:p>
    <w:p>
      <w:pPr>
        <w:ind w:firstLine="1304"/>
        <w:spacing w:after="0" w:line="236" w:lineRule="auto"/>
        <w:tabs>
          <w:tab w:leader="none" w:pos="187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5" w:lineRule="exact"/>
        <w:rPr>
          <w:rFonts w:ascii="Arial" w:cs="Arial" w:eastAsia="Arial" w:hAnsi="Arial"/>
          <w:sz w:val="20"/>
          <w:szCs w:val="20"/>
          <w:color w:val="auto"/>
        </w:rPr>
      </w:pPr>
    </w:p>
    <w:p>
      <w:pPr>
        <w:ind w:left="1740" w:hanging="436"/>
        <w:spacing w:after="0"/>
        <w:tabs>
          <w:tab w:leader="none" w:pos="17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88" w:lineRule="exact"/>
        <w:rPr>
          <w:rFonts w:ascii="Arial" w:cs="Arial" w:eastAsia="Arial" w:hAnsi="Arial"/>
          <w:sz w:val="20"/>
          <w:szCs w:val="20"/>
          <w:color w:val="auto"/>
        </w:rPr>
      </w:pPr>
    </w:p>
    <w:p>
      <w:pPr>
        <w:ind w:left="2340" w:hanging="388"/>
        <w:spacing w:after="0"/>
        <w:tabs>
          <w:tab w:leader="none" w:pos="234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auto"/>
        </w:rPr>
      </w:pPr>
    </w:p>
    <w:p>
      <w:pPr>
        <w:jc w:val="both"/>
        <w:ind w:left="660" w:firstLine="1292"/>
        <w:spacing w:after="0" w:line="220" w:lineRule="auto"/>
        <w:tabs>
          <w:tab w:leader="none" w:pos="240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5" w:lineRule="exact"/>
        <w:rPr>
          <w:rFonts w:ascii="Arial" w:cs="Arial" w:eastAsia="Arial" w:hAnsi="Arial"/>
          <w:sz w:val="20"/>
          <w:szCs w:val="20"/>
          <w:color w:val="auto"/>
        </w:rPr>
      </w:pPr>
    </w:p>
    <w:p>
      <w:pPr>
        <w:ind w:left="660" w:firstLine="1292"/>
        <w:spacing w:after="0" w:line="236" w:lineRule="auto"/>
        <w:tabs>
          <w:tab w:leader="none" w:pos="2479"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provisions of this Section 10.18 are intended to comply with, and shall be interpreted in light of, Article 55 of Directive 2014/59/EU of the European Parliament and of the Council of the European Union.</w:t>
      </w:r>
    </w:p>
    <w:p>
      <w:pPr>
        <w:spacing w:after="0" w:line="15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color w:val="auto"/>
        </w:rPr>
        <w:t>Section 10.19</w:t>
      </w:r>
      <w:r>
        <w:rPr>
          <w:sz w:val="20"/>
          <w:szCs w:val="20"/>
          <w:color w:val="auto"/>
        </w:rPr>
        <w:tab/>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w:t>
      </w:r>
    </w:p>
    <w:p>
      <w:pPr>
        <w:spacing w:after="0" w:line="255" w:lineRule="auto"/>
        <w:rPr>
          <w:sz w:val="20"/>
          <w:szCs w:val="20"/>
          <w:color w:val="auto"/>
        </w:rPr>
      </w:pPr>
      <w:r>
        <w:rPr>
          <w:rFonts w:ascii="Arial" w:cs="Arial" w:eastAsia="Arial" w:hAnsi="Arial"/>
          <w:sz w:val="16"/>
          <w:szCs w:val="16"/>
          <w:color w:val="auto"/>
        </w:rPr>
        <w:t>through a guarantee or otherwise, for any Hedge Agreement or any other agreement or instrument that is a QFC (such support, “</w:t>
      </w:r>
      <w:r>
        <w:rPr>
          <w:rFonts w:ascii="Arial" w:cs="Arial" w:eastAsia="Arial" w:hAnsi="Arial"/>
          <w:sz w:val="16"/>
          <w:szCs w:val="16"/>
          <w:b w:val="1"/>
          <w:bCs w:val="1"/>
          <w:i w:val="1"/>
          <w:iCs w:val="1"/>
          <w:color w:val="auto"/>
        </w:rPr>
        <w:t>QFC Credit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Support</w:t>
      </w:r>
      <w:r>
        <w:rPr>
          <w:rFonts w:ascii="Arial" w:cs="Arial" w:eastAsia="Arial" w:hAnsi="Arial"/>
          <w:sz w:val="16"/>
          <w:szCs w:val="16"/>
          <w:color w:val="auto"/>
        </w:rPr>
        <w:t>”, and each such QFC, a “</w:t>
      </w:r>
      <w:r>
        <w:rPr>
          <w:rFonts w:ascii="Arial" w:cs="Arial" w:eastAsia="Arial" w:hAnsi="Arial"/>
          <w:sz w:val="16"/>
          <w:szCs w:val="16"/>
          <w:b w:val="1"/>
          <w:bCs w:val="1"/>
          <w:i w:val="1"/>
          <w:iCs w:val="1"/>
          <w:color w:val="auto"/>
        </w:rPr>
        <w:t>Supported QFC</w:t>
      </w:r>
      <w:r>
        <w:rPr>
          <w:rFonts w:ascii="Arial" w:cs="Arial" w:eastAsia="Arial" w:hAnsi="Arial"/>
          <w:sz w:val="16"/>
          <w:szCs w:val="16"/>
          <w:color w:val="auto"/>
        </w:rPr>
        <w:t>”), the parties acknowledge and agree as follows with respect to the resolution power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Federal Deposit Insurance Corporation under the Federal Deposit Insurance Act and Title II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394"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Dodd-Frank Wall Street Reform and Consumer Protection Act (together with the regulations promulgated thereunder, the “</w:t>
      </w:r>
      <w:r>
        <w:rPr>
          <w:rFonts w:ascii="Arial" w:cs="Arial" w:eastAsia="Arial" w:hAnsi="Arial"/>
          <w:sz w:val="18"/>
          <w:szCs w:val="18"/>
          <w:b w:val="1"/>
          <w:bCs w:val="1"/>
          <w:i w:val="1"/>
          <w:iCs w:val="1"/>
          <w:color w:val="auto"/>
        </w:rPr>
        <w:t>U.S. Special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Resolution Regimes</w:t>
      </w:r>
      <w:r>
        <w:rPr>
          <w:rFonts w:ascii="Arial" w:cs="Arial" w:eastAsia="Arial" w:hAnsi="Arial"/>
          <w:sz w:val="18"/>
          <w:szCs w:val="18"/>
          <w:color w:val="auto"/>
        </w:rPr>
        <w:t>”) in respect of such Supported QFC and QFC Credit Support (with the provisions below applicable notwithstanding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Loan Documents and any Supported QFC may in fact be stated to be governed by the laws of the State of New York and/or of the United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States or any other state of the United States):</w:t>
      </w:r>
    </w:p>
    <w:p>
      <w:pPr>
        <w:spacing w:after="0" w:line="173" w:lineRule="exact"/>
        <w:rPr>
          <w:sz w:val="20"/>
          <w:szCs w:val="20"/>
          <w:color w:val="auto"/>
        </w:rPr>
      </w:pPr>
    </w:p>
    <w:p>
      <w:pPr>
        <w:jc w:val="both"/>
        <w:ind w:firstLine="1304"/>
        <w:spacing w:after="0" w:line="234" w:lineRule="auto"/>
        <w:tabs>
          <w:tab w:leader="none" w:pos="183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i w:val="1"/>
          <w:i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As used in this Section 10.19, the following terms have the following meanings:</w:t>
      </w:r>
    </w:p>
    <w:p>
      <w:pPr>
        <w:spacing w:after="0" w:line="175" w:lineRule="exact"/>
        <w:rPr>
          <w:sz w:val="20"/>
          <w:szCs w:val="20"/>
          <w:color w:val="auto"/>
        </w:rPr>
      </w:pPr>
    </w:p>
    <w:p>
      <w:pPr>
        <w:ind w:left="13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55" w:lineRule="exact"/>
        <w:rPr>
          <w:sz w:val="20"/>
          <w:szCs w:val="20"/>
          <w:color w:val="auto"/>
        </w:rPr>
      </w:pPr>
    </w:p>
    <w:p>
      <w:pPr>
        <w:jc w:val="both"/>
        <w:ind w:left="130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382.2(b).</w:t>
      </w:r>
    </w:p>
    <w:p>
      <w:pPr>
        <w:spacing w:after="0" w:line="173" w:lineRule="exact"/>
        <w:rPr>
          <w:sz w:val="20"/>
          <w:szCs w:val="20"/>
          <w:color w:val="auto"/>
        </w:rPr>
      </w:pPr>
    </w:p>
    <w:p>
      <w:pPr>
        <w:ind w:left="13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1300"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“execute”, “signed,” “signature,” and words of like import in or related to any Loan Document or other document to be signed in connection with this Agreement</w:t>
      </w:r>
    </w:p>
    <w:p>
      <w:pPr>
        <w:spacing w:after="0" w:line="222" w:lineRule="auto"/>
        <w:rPr>
          <w:sz w:val="20"/>
          <w:szCs w:val="20"/>
          <w:color w:val="auto"/>
        </w:rPr>
      </w:pPr>
      <w:r>
        <w:rPr>
          <w:rFonts w:ascii="Arial" w:cs="Arial" w:eastAsia="Arial" w:hAnsi="Arial"/>
          <w:sz w:val="19"/>
          <w:szCs w:val="19"/>
          <w:color w:val="auto"/>
        </w:rPr>
        <w:t>and the transactions contemplated hereby (including without limitation Assignment and Assumptions, amendments or other Borrowing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Requests, guaranties, waivers and consents) shall be deemed to include Electronic Signatures, the electronic matching of assignment terms and contract formations on electronic platforms approved by the Administrative Agent, or the keeping of records in electronic form, each of</w:t>
      </w:r>
    </w:p>
    <w:p>
      <w:pPr>
        <w:spacing w:after="0" w:line="236" w:lineRule="auto"/>
        <w:rPr>
          <w:sz w:val="20"/>
          <w:szCs w:val="20"/>
          <w:color w:val="auto"/>
        </w:rPr>
      </w:pPr>
      <w:r>
        <w:rPr>
          <w:rFonts w:ascii="Arial" w:cs="Arial" w:eastAsia="Arial" w:hAnsi="Arial"/>
          <w:sz w:val="18"/>
          <w:szCs w:val="18"/>
          <w:color w:val="auto"/>
        </w:rPr>
        <w:t>which shall be of the same legal effect, validity or enforceability as a manually executed signature or the use of a paper-based recordkeeping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system, as the case may be, to the extent and as provided for in any applicable law, including the Federal Electronic Signatures in Global and National Commerce Act, the New York State Electronic Signatures and Records Act or any other similar state laws based on the Uniform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[Signature pages </w:t>
      </w:r>
      <w:r>
        <w:rPr>
          <w:rFonts w:ascii="Arial" w:cs="Arial" w:eastAsia="Arial" w:hAnsi="Arial"/>
          <w:sz w:val="20"/>
          <w:szCs w:val="20"/>
          <w:color w:val="FF0000"/>
          <w:strike w:val="1"/>
        </w:rPr>
        <w:t>follow</w:t>
      </w:r>
      <w:r>
        <w:rPr>
          <w:rFonts w:ascii="Arial" w:cs="Arial" w:eastAsia="Arial" w:hAnsi="Arial"/>
          <w:sz w:val="20"/>
          <w:szCs w:val="20"/>
          <w:u w:val="single" w:color="auto"/>
          <w:color w:val="0000FF"/>
        </w:rPr>
        <w:t>intentionally omitted.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1240"/>
          </w:cols>
          <w:pgMar w:left="320" w:top="1405" w:right="339" w:bottom="1440" w:gutter="0" w:footer="0" w:header="0"/>
        </w:sectPr>
      </w:pPr>
    </w:p>
    <w:bookmarkStart w:id="112" w:name="page113"/>
    <w:bookmarkEnd w:id="112"/>
    <w:p>
      <w:pPr>
        <w:jc w:val="center"/>
        <w:ind w:right="-440"/>
        <w:spacing w:after="0"/>
        <w:rPr>
          <w:sz w:val="20"/>
          <w:szCs w:val="20"/>
          <w:color w:val="auto"/>
        </w:rPr>
      </w:pPr>
      <w:r>
        <w:rPr>
          <w:rFonts w:ascii="Arial" w:cs="Arial" w:eastAsia="Arial" w:hAnsi="Arial"/>
          <w:sz w:val="20"/>
          <w:szCs w:val="20"/>
          <w:b w:val="1"/>
          <w:bCs w:val="1"/>
          <w:u w:val="single" w:color="auto"/>
          <w:color w:val="auto"/>
        </w:rPr>
        <w:t>Annex II</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Amended Form of Borrowing Request</w:t>
      </w: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-72-</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1534445371v1</w:t>
      </w:r>
      <w:r>
        <w:rPr>
          <w:rFonts w:ascii="Arial" w:cs="Arial" w:eastAsia="Arial" w:hAnsi="Arial"/>
          <w:sz w:val="13"/>
          <w:szCs w:val="13"/>
          <w:u w:val="single" w:color="auto"/>
          <w:color w:val="0000FF"/>
        </w:rPr>
        <w:t>1534445371v6</w:t>
      </w:r>
    </w:p>
    <w:p>
      <w:pPr>
        <w:sectPr>
          <w:pgSz w:w="11900" w:h="16838" w:orient="portrait"/>
          <w:cols w:equalWidth="0" w:num="1">
            <w:col w:w="10119"/>
          </w:cols>
          <w:pgMar w:left="340" w:top="1399"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BORROWING REQUEST</w:t>
      </w:r>
    </w:p>
    <w:p>
      <w:pPr>
        <w:spacing w:after="0" w:line="181"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Date: ____________, 20__</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20"/>
          <w:szCs w:val="20"/>
          <w:color w:val="auto"/>
        </w:rPr>
        <w:t>PNC Bank, National Association,</w:t>
      </w:r>
    </w:p>
    <w:p>
      <w:pPr>
        <w:ind w:left="180"/>
        <w:spacing w:after="0" w:line="197" w:lineRule="auto"/>
        <w:rPr>
          <w:sz w:val="20"/>
          <w:szCs w:val="20"/>
          <w:color w:val="auto"/>
        </w:rPr>
      </w:pPr>
      <w:r>
        <w:rPr>
          <w:rFonts w:ascii="Arial" w:cs="Arial" w:eastAsia="Arial" w:hAnsi="Arial"/>
          <w:sz w:val="20"/>
          <w:szCs w:val="20"/>
          <w:color w:val="auto"/>
        </w:rPr>
        <w:t>as Administrative Agent</w:t>
      </w:r>
    </w:p>
    <w:p>
      <w:pPr>
        <w:ind w:left="80"/>
        <w:spacing w:after="0" w:line="211" w:lineRule="auto"/>
        <w:rPr>
          <w:sz w:val="20"/>
          <w:szCs w:val="20"/>
          <w:color w:val="auto"/>
        </w:rPr>
      </w:pPr>
      <w:r>
        <w:rPr>
          <w:rFonts w:ascii="Arial" w:cs="Arial" w:eastAsia="Arial" w:hAnsi="Arial"/>
          <w:sz w:val="20"/>
          <w:szCs w:val="20"/>
          <w:color w:val="auto"/>
        </w:rPr>
        <w:t>The Tower at PNC Plaza</w:t>
      </w:r>
    </w:p>
    <w:p>
      <w:pPr>
        <w:ind w:left="80"/>
        <w:spacing w:after="0" w:line="211" w:lineRule="auto"/>
        <w:rPr>
          <w:sz w:val="20"/>
          <w:szCs w:val="20"/>
          <w:color w:val="auto"/>
        </w:rPr>
      </w:pPr>
      <w:r>
        <w:rPr>
          <w:rFonts w:ascii="Arial" w:cs="Arial" w:eastAsia="Arial" w:hAnsi="Arial"/>
          <w:sz w:val="20"/>
          <w:szCs w:val="20"/>
          <w:color w:val="auto"/>
        </w:rPr>
        <w:t>300 Fifth Ave., 10th Floor</w:t>
      </w:r>
    </w:p>
    <w:p>
      <w:pPr>
        <w:ind w:left="80"/>
        <w:spacing w:after="0" w:line="198" w:lineRule="auto"/>
        <w:rPr>
          <w:sz w:val="20"/>
          <w:szCs w:val="20"/>
          <w:color w:val="auto"/>
        </w:rPr>
      </w:pPr>
      <w:r>
        <w:rPr>
          <w:rFonts w:ascii="Arial" w:cs="Arial" w:eastAsia="Arial" w:hAnsi="Arial"/>
          <w:sz w:val="20"/>
          <w:szCs w:val="20"/>
          <w:color w:val="auto"/>
        </w:rPr>
        <w:t>Pittsburgh, Pennsylvania 15222</w:t>
      </w:r>
    </w:p>
    <w:p>
      <w:pPr>
        <w:ind w:left="80"/>
        <w:spacing w:after="0" w:line="208" w:lineRule="auto"/>
        <w:rPr>
          <w:sz w:val="20"/>
          <w:szCs w:val="20"/>
          <w:color w:val="auto"/>
        </w:rPr>
      </w:pPr>
      <w:r>
        <w:rPr>
          <w:rFonts w:ascii="Arial" w:cs="Arial" w:eastAsia="Arial" w:hAnsi="Arial"/>
          <w:sz w:val="20"/>
          <w:szCs w:val="20"/>
          <w:color w:val="auto"/>
        </w:rPr>
        <w:t>Attention: Philip Liebscher</w:t>
      </w:r>
    </w:p>
    <w:p>
      <w:pPr>
        <w:ind w:left="80"/>
        <w:spacing w:after="0" w:line="208" w:lineRule="auto"/>
        <w:rPr>
          <w:sz w:val="20"/>
          <w:szCs w:val="20"/>
          <w:color w:val="auto"/>
        </w:rPr>
      </w:pPr>
      <w:r>
        <w:rPr>
          <w:rFonts w:ascii="Arial" w:cs="Arial" w:eastAsia="Arial" w:hAnsi="Arial"/>
          <w:sz w:val="22"/>
          <w:szCs w:val="22"/>
          <w:color w:val="auto"/>
        </w:rPr>
        <w:t>Phone: 412-762-3202</w:t>
      </w:r>
    </w:p>
    <w:p>
      <w:pPr>
        <w:ind w:left="80"/>
        <w:spacing w:after="0"/>
        <w:rPr>
          <w:sz w:val="20"/>
          <w:szCs w:val="20"/>
          <w:color w:val="auto"/>
        </w:rPr>
      </w:pPr>
      <w:r>
        <w:rPr>
          <w:rFonts w:ascii="Arial" w:cs="Arial" w:eastAsia="Arial" w:hAnsi="Arial"/>
          <w:sz w:val="20"/>
          <w:szCs w:val="20"/>
          <w:color w:val="auto"/>
        </w:rPr>
        <w:t>E-mail: philip.liebscher@pnc.com</w:t>
      </w:r>
    </w:p>
    <w:p>
      <w:pPr>
        <w:spacing w:after="0" w:line="256" w:lineRule="exact"/>
        <w:rPr>
          <w:sz w:val="20"/>
          <w:szCs w:val="20"/>
          <w:color w:val="auto"/>
        </w:rPr>
      </w:pPr>
    </w:p>
    <w:p>
      <w:pPr>
        <w:ind w:left="80"/>
        <w:spacing w:after="0"/>
        <w:rPr>
          <w:sz w:val="20"/>
          <w:szCs w:val="20"/>
          <w:color w:val="auto"/>
        </w:rPr>
      </w:pPr>
      <w:r>
        <w:rPr>
          <w:rFonts w:ascii="Arial" w:cs="Arial" w:eastAsia="Arial" w:hAnsi="Arial"/>
          <w:sz w:val="20"/>
          <w:szCs w:val="20"/>
          <w:color w:val="auto"/>
        </w:rPr>
        <w:t>Each Lender party to the</w:t>
      </w:r>
    </w:p>
    <w:p>
      <w:pPr>
        <w:ind w:left="180"/>
        <w:spacing w:after="0"/>
        <w:rPr>
          <w:sz w:val="20"/>
          <w:szCs w:val="20"/>
          <w:color w:val="auto"/>
        </w:rPr>
      </w:pPr>
      <w:r>
        <w:rPr>
          <w:rFonts w:ascii="Arial" w:cs="Arial" w:eastAsia="Arial" w:hAnsi="Arial"/>
          <w:sz w:val="20"/>
          <w:szCs w:val="20"/>
          <w:color w:val="auto"/>
        </w:rPr>
        <w:t>Loan Agreement referred to below</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Reference is made to that certain Term Loan Agreement, dated as of December 17, 2021 (as amended, restated, extended, supplemented or otherwise modified in writing from time to time, the “</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among The Cooper Companies, Inc., a Delaware</w:t>
      </w:r>
    </w:p>
    <w:p>
      <w:pPr>
        <w:spacing w:after="0" w:line="255" w:lineRule="auto"/>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the Lenders from time to time party thereto and PNC Bank, National Association, as administrative agent for the Lenders (the “</w:t>
      </w:r>
      <w:r>
        <w:rPr>
          <w:rFonts w:ascii="Arial" w:cs="Arial" w:eastAsia="Arial" w:hAnsi="Arial"/>
          <w:sz w:val="16"/>
          <w:szCs w:val="16"/>
          <w:b w:val="1"/>
          <w:bCs w:val="1"/>
          <w:i w:val="1"/>
          <w:iCs w:val="1"/>
          <w:color w:val="auto"/>
        </w:rPr>
        <w:t>Administrative Agent</w:t>
      </w:r>
      <w:r>
        <w:rPr>
          <w:rFonts w:ascii="Arial" w:cs="Arial" w:eastAsia="Arial" w:hAnsi="Arial"/>
          <w:sz w:val="16"/>
          <w:szCs w:val="16"/>
          <w:color w:val="auto"/>
        </w:rPr>
        <w:t>”). Capitalized terms used herein and not otherwise defined herein shall have the meanings assigned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them in the Loan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hereby requests a Borrowing under the Loan Agreement as described on Annex I hereto.</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The Borrower hereby certifies to the Administrative Agent and the Lenders that as of the date hereof and as of the date of the making of the requested Borrowing and after giving effect thereto:</w:t>
      </w:r>
    </w:p>
    <w:p>
      <w:pPr>
        <w:spacing w:after="0" w:line="169" w:lineRule="exact"/>
        <w:rPr>
          <w:sz w:val="20"/>
          <w:szCs w:val="20"/>
          <w:color w:val="auto"/>
        </w:rPr>
      </w:pPr>
    </w:p>
    <w:p>
      <w:pPr>
        <w:jc w:val="both"/>
        <w:ind w:left="660" w:firstLine="644"/>
        <w:spacing w:after="0" w:line="227" w:lineRule="auto"/>
        <w:tabs>
          <w:tab w:leader="none" w:pos="176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representations and warranties of the Loan Parties in Article III of the Loan Agreement are and shall be true and correct in all respects; provided that, to the extent that such representations and warranties specifically refer to an earlier date, they are and shall be true and correct in all material respects as of such earlier date; provided further that any representation and warranty that is qualified as to “materiality,” “Material Adverse Effect” or similar language are and shall be true and correct (after giving effect to any qualification therein) in all respects on such respective dates; and</w:t>
      </w:r>
    </w:p>
    <w:p>
      <w:pPr>
        <w:spacing w:after="0" w:line="166" w:lineRule="exact"/>
        <w:rPr>
          <w:rFonts w:ascii="Arial" w:cs="Arial" w:eastAsia="Arial" w:hAnsi="Arial"/>
          <w:sz w:val="19"/>
          <w:szCs w:val="19"/>
          <w:color w:val="auto"/>
        </w:rPr>
      </w:pPr>
    </w:p>
    <w:p>
      <w:pPr>
        <w:ind w:left="1740" w:hanging="436"/>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Borrowing, no Default or Event of Default has occurred and is</w:t>
      </w:r>
    </w:p>
    <w:p>
      <w:pPr>
        <w:ind w:left="660"/>
        <w:spacing w:after="0"/>
        <w:rPr>
          <w:rFonts w:ascii="Arial" w:cs="Arial" w:eastAsia="Arial" w:hAnsi="Arial"/>
          <w:sz w:val="18"/>
          <w:szCs w:val="18"/>
          <w:color w:val="auto"/>
        </w:rPr>
      </w:pPr>
      <w:r>
        <w:rPr>
          <w:rFonts w:ascii="Arial" w:cs="Arial" w:eastAsia="Arial" w:hAnsi="Arial"/>
          <w:sz w:val="20"/>
          <w:szCs w:val="20"/>
          <w:color w:val="auto"/>
        </w:rPr>
        <w:t>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NAI-1534555923v2</w:t>
      </w:r>
    </w:p>
    <w:p>
      <w:pPr>
        <w:sectPr>
          <w:pgSz w:w="11900" w:h="16838" w:orient="portrait"/>
          <w:cols w:equalWidth="0" w:num="1">
            <w:col w:w="11240"/>
          </w:cols>
          <w:pgMar w:left="320" w:top="104" w:right="339" w:bottom="1440" w:gutter="0" w:footer="0" w:header="0"/>
        </w:sectPr>
      </w:pPr>
    </w:p>
    <w:bookmarkStart w:id="114" w:name="page115"/>
    <w:bookmarkEnd w:id="114"/>
    <w:p>
      <w:pPr>
        <w:jc w:val="right"/>
        <w:ind w:right="3179"/>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32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w:t>
      </w:r>
    </w:p>
    <w:p>
      <w:pPr>
        <w:ind w:left="388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-127000</wp:posOffset>
            </wp:positionV>
            <wp:extent cx="251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NAI-1534555923v2</w:t>
      </w:r>
    </w:p>
    <w:p>
      <w:pPr>
        <w:sectPr>
          <w:pgSz w:w="11900" w:h="16838" w:orient="portrait"/>
          <w:cols w:equalWidth="0" w:num="1">
            <w:col w:w="10119"/>
          </w:cols>
          <w:pgMar w:left="340" w:top="1399" w:right="1440" w:bottom="1440" w:gutter="0" w:footer="0" w:header="0"/>
        </w:sectPr>
      </w:pPr>
    </w:p>
    <w:bookmarkStart w:id="115" w:name="page116"/>
    <w:bookmarkEnd w:id="115"/>
    <w:p>
      <w:pPr>
        <w:ind w:left="10600"/>
        <w:spacing w:after="0"/>
        <w:rPr>
          <w:sz w:val="20"/>
          <w:szCs w:val="20"/>
          <w:color w:val="auto"/>
        </w:rPr>
      </w:pPr>
      <w:r>
        <w:rPr>
          <w:rFonts w:ascii="Arial" w:cs="Arial" w:eastAsia="Arial" w:hAnsi="Arial"/>
          <w:sz w:val="18"/>
          <w:szCs w:val="18"/>
          <w:color w:val="auto"/>
        </w:rPr>
        <w:t>Annex I</w:t>
      </w:r>
    </w:p>
    <w:p>
      <w:pPr>
        <w:ind w:left="11080"/>
        <w:spacing w:after="0" w:line="220" w:lineRule="auto"/>
        <w:rPr>
          <w:sz w:val="20"/>
          <w:szCs w:val="20"/>
          <w:color w:val="auto"/>
        </w:rPr>
      </w:pPr>
      <w:r>
        <w:rPr>
          <w:rFonts w:ascii="Arial" w:cs="Arial" w:eastAsia="Arial" w:hAnsi="Arial"/>
          <w:sz w:val="19"/>
          <w:szCs w:val="19"/>
          <w:color w:val="auto"/>
        </w:rPr>
        <w:t>to</w:t>
      </w:r>
    </w:p>
    <w:p>
      <w:pPr>
        <w:ind w:left="9700"/>
        <w:spacing w:after="0" w:line="235" w:lineRule="auto"/>
        <w:rPr>
          <w:sz w:val="20"/>
          <w:szCs w:val="20"/>
          <w:color w:val="auto"/>
        </w:rPr>
      </w:pPr>
      <w:r>
        <w:rPr>
          <w:rFonts w:ascii="Arial" w:cs="Arial" w:eastAsia="Arial" w:hAnsi="Arial"/>
          <w:sz w:val="18"/>
          <w:szCs w:val="18"/>
          <w:color w:val="auto"/>
        </w:rPr>
        <w:t>Borrowing Request</w:t>
      </w:r>
    </w:p>
    <w:p>
      <w:pPr>
        <w:ind w:left="3520"/>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246" w:lineRule="exact"/>
        <w:rPr>
          <w:sz w:val="20"/>
          <w:szCs w:val="20"/>
          <w:color w:val="auto"/>
        </w:rPr>
      </w:pPr>
    </w:p>
    <w:p>
      <w:pPr>
        <w:ind w:left="360" w:hanging="352"/>
        <w:spacing w:after="0"/>
        <w:tabs>
          <w:tab w:leader="none" w:pos="3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Business Day of the proposed Borrowing is [________________].</w:t>
      </w:r>
    </w:p>
    <w:p>
      <w:pPr>
        <w:spacing w:after="0" w:line="175" w:lineRule="exact"/>
        <w:rPr>
          <w:rFonts w:ascii="Arial" w:cs="Arial" w:eastAsia="Arial" w:hAnsi="Arial"/>
          <w:sz w:val="20"/>
          <w:szCs w:val="20"/>
          <w:color w:val="auto"/>
        </w:rPr>
      </w:pPr>
    </w:p>
    <w:p>
      <w:pPr>
        <w:ind w:left="400" w:hanging="392"/>
        <w:spacing w:after="0"/>
        <w:tabs>
          <w:tab w:leader="none" w:pos="4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Type of Loan comprising the proposed Borrowing [is a][are] [ABR Loan[s]] [Term SOFR Loan[s]].</w:t>
      </w:r>
    </w:p>
    <w:p>
      <w:pPr>
        <w:spacing w:after="0" w:line="18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The aggregate amount of the Loan is as follows:</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[ABR Loan: $___________.]</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[Term SOFR Loan: $___________, with an initial Interest Period of [___] month[s].]</w:t>
      </w:r>
    </w:p>
    <w:p>
      <w:pPr>
        <w:spacing w:after="0" w:line="18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color w:val="auto"/>
        </w:rPr>
        <w:t>The location and number of the Borrower’s account to which funds are to be disbursed is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NAI-1534555923v2</w:t>
      </w:r>
    </w:p>
    <w:p>
      <w:pPr>
        <w:sectPr>
          <w:pgSz w:w="11900" w:h="16838" w:orient="portrait"/>
          <w:cols w:equalWidth="0" w:num="1">
            <w:col w:w="11240"/>
          </w:cols>
          <w:pgMar w:left="320" w:top="140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NO. 3 TO</w:t>
      </w:r>
    </w:p>
    <w:p>
      <w:pPr>
        <w:jc w:val="center"/>
        <w:spacing w:after="0"/>
        <w:rPr>
          <w:sz w:val="20"/>
          <w:szCs w:val="20"/>
          <w:color w:val="auto"/>
        </w:rPr>
      </w:pPr>
      <w:r>
        <w:rPr>
          <w:rFonts w:ascii="Arial" w:cs="Arial" w:eastAsia="Arial" w:hAnsi="Arial"/>
          <w:sz w:val="20"/>
          <w:szCs w:val="20"/>
          <w:u w:val="single" w:color="auto"/>
          <w:color w:val="auto"/>
        </w:rPr>
        <w:t>REVOLVING CREDIT AND TERM LOAN AGREEMENT</w:t>
      </w:r>
    </w:p>
    <w:p>
      <w:pPr>
        <w:spacing w:after="0" w:line="186" w:lineRule="exact"/>
        <w:rPr>
          <w:sz w:val="20"/>
          <w:szCs w:val="20"/>
          <w:color w:val="auto"/>
        </w:rPr>
      </w:pPr>
    </w:p>
    <w:p>
      <w:pPr>
        <w:ind w:firstLine="258"/>
        <w:spacing w:after="0" w:line="231" w:lineRule="auto"/>
        <w:rPr>
          <w:sz w:val="20"/>
          <w:szCs w:val="20"/>
          <w:color w:val="auto"/>
        </w:rPr>
      </w:pPr>
      <w:r>
        <w:rPr>
          <w:rFonts w:ascii="Arial" w:cs="Arial" w:eastAsia="Arial" w:hAnsi="Arial"/>
          <w:sz w:val="19"/>
          <w:szCs w:val="19"/>
          <w:color w:val="auto"/>
        </w:rPr>
        <w:t>This AMENDMENT NO. 3 TO REVOLVING CREDIT AND TERM LOAN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February 1, 2023 among (i) THE COOPER COMPANIES,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(ii) COOPERVISION</w:t>
      </w:r>
    </w:p>
    <w:p>
      <w:pPr>
        <w:spacing w:after="0" w:line="215" w:lineRule="auto"/>
        <w:rPr>
          <w:sz w:val="20"/>
          <w:szCs w:val="20"/>
          <w:color w:val="auto"/>
        </w:rPr>
      </w:pPr>
      <w:r>
        <w:rPr>
          <w:rFonts w:ascii="Arial" w:cs="Arial" w:eastAsia="Arial" w:hAnsi="Arial"/>
          <w:sz w:val="19"/>
          <w:szCs w:val="19"/>
          <w:color w:val="auto"/>
        </w:rPr>
        <w:t>INTERNATIONAL LIMITED, a private limited company registered in England and Wales with company registration number 12210296 (“</w:t>
      </w:r>
      <w:r>
        <w:rPr>
          <w:rFonts w:ascii="Arial" w:cs="Arial" w:eastAsia="Arial" w:hAnsi="Arial"/>
          <w:sz w:val="19"/>
          <w:szCs w:val="19"/>
          <w:u w:val="single" w:color="auto"/>
          <w:color w:val="auto"/>
        </w:rPr>
        <w:t>Cooper UK</w:t>
      </w:r>
      <w:r>
        <w:rPr>
          <w:rFonts w:ascii="Arial" w:cs="Arial" w:eastAsia="Arial" w:hAnsi="Arial"/>
          <w:sz w:val="19"/>
          <w:szCs w:val="19"/>
          <w:color w:val="auto"/>
        </w:rPr>
        <w:t>”), (iii) COOPERSURGICAL HOLDINGS LIMITED, a private limited company registered in England and Wales with</w:t>
      </w:r>
    </w:p>
    <w:p>
      <w:pPr>
        <w:ind w:right="20"/>
        <w:spacing w:after="0" w:line="266" w:lineRule="auto"/>
        <w:rPr>
          <w:sz w:val="20"/>
          <w:szCs w:val="20"/>
          <w:color w:val="auto"/>
        </w:rPr>
      </w:pPr>
      <w:r>
        <w:rPr>
          <w:rFonts w:ascii="Arial" w:cs="Arial" w:eastAsia="Arial" w:hAnsi="Arial"/>
          <w:sz w:val="18"/>
          <w:szCs w:val="18"/>
          <w:color w:val="auto"/>
        </w:rPr>
        <w:t>company registration number 09877160 (“</w:t>
      </w:r>
      <w:r>
        <w:rPr>
          <w:rFonts w:ascii="Arial" w:cs="Arial" w:eastAsia="Arial" w:hAnsi="Arial"/>
          <w:sz w:val="18"/>
          <w:szCs w:val="18"/>
          <w:u w:val="single" w:color="auto"/>
          <w:color w:val="auto"/>
        </w:rPr>
        <w:t>CooperSurgical UK</w:t>
      </w:r>
      <w:r>
        <w:rPr>
          <w:rFonts w:ascii="Arial" w:cs="Arial" w:eastAsia="Arial" w:hAnsi="Arial"/>
          <w:sz w:val="18"/>
          <w:szCs w:val="18"/>
          <w:color w:val="auto"/>
        </w:rPr>
        <w:t>” and, together with the Company and Cooper UK, each a “</w:t>
      </w:r>
      <w:r>
        <w:rPr>
          <w:rFonts w:ascii="Arial" w:cs="Arial" w:eastAsia="Arial" w:hAnsi="Arial"/>
          <w:sz w:val="18"/>
          <w:szCs w:val="18"/>
          <w:u w:val="single" w:color="auto"/>
          <w:color w:val="auto"/>
        </w:rPr>
        <w:t>Borrower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and (v) KEYBANK NATIONAL ASSOCIATION,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3" w:lineRule="auto"/>
        <w:tabs>
          <w:tab w:leader="none" w:pos="11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WHEREAS, the Borrowers, the Administrative Agent and the lenders party thereto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are parties to the Revolving Credit and Term Loan Agreement, dated as of April 1, 2020 (as amended by the Amendment No. 1 and Joinder, dated as of October 30, 2020, Amendment No. 2 and Joinder, dated as of December 17, 2021, the Conforming Changes Amendment, dated as of March 9, 2022, and as further amended, restated, amended and restated,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the Credit Agreement as amended by this Amendment,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firstLine="656"/>
        <w:spacing w:after="0" w:line="227" w:lineRule="auto"/>
        <w:tabs>
          <w:tab w:leader="none" w:pos="120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WHEREAS, on January 23, 2023, the Administrative Agent notified the Lenders of the Administrative Agent and the Company’s joint election to trigger a fallback from LIBOR pursuant to clause (2) of the definition of Early Opt-in Election in the Credit Agreement; and</w:t>
      </w:r>
    </w:p>
    <w:p>
      <w:pPr>
        <w:spacing w:after="0" w:line="157" w:lineRule="exact"/>
        <w:rPr>
          <w:rFonts w:ascii="Arial" w:cs="Arial" w:eastAsia="Arial" w:hAnsi="Arial"/>
          <w:sz w:val="20"/>
          <w:szCs w:val="20"/>
          <w:color w:val="auto"/>
        </w:rPr>
      </w:pPr>
    </w:p>
    <w:p>
      <w:pPr>
        <w:ind w:firstLine="656"/>
        <w:spacing w:after="0" w:line="236" w:lineRule="auto"/>
        <w:tabs>
          <w:tab w:leader="none" w:pos="110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WHEREAS, in connection with the Early Opt-in Election, the Borrowers and the Administrative Agent desire to amend the Credit Agreement solely for the purpose of implementing certain Benchmark Replacement Conforming Changes.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premises and mutual covenants herein and for other valuable consideration, the Borrowers and the</w:t>
      </w:r>
    </w:p>
    <w:p>
      <w:pPr>
        <w:spacing w:after="0"/>
        <w:rPr>
          <w:sz w:val="20"/>
          <w:szCs w:val="20"/>
          <w:color w:val="auto"/>
        </w:rPr>
      </w:pPr>
      <w:r>
        <w:rPr>
          <w:rFonts w:ascii="Arial" w:cs="Arial" w:eastAsia="Arial" w:hAnsi="Arial"/>
          <w:sz w:val="20"/>
          <w:szCs w:val="20"/>
          <w:color w:val="auto"/>
        </w:rPr>
        <w:t>Administrative Agent agree as follows:</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Definitions</w:t>
      </w:r>
      <w:r>
        <w:rPr>
          <w:rFonts w:ascii="Arial" w:cs="Arial" w:eastAsia="Arial" w:hAnsi="Arial"/>
          <w:sz w:val="20"/>
          <w:szCs w:val="20"/>
          <w:color w:val="auto"/>
        </w:rPr>
        <w:t>. Unless otherwise defined herein, each capitalized term used in this Amendment and not defined herein shall be defined in accordance with the Amended Credit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Subject to the satisfaction of the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Amendment, as of the Early Opt-in</w:t>
      </w:r>
    </w:p>
    <w:p>
      <w:pPr>
        <w:spacing w:after="0"/>
        <w:rPr>
          <w:sz w:val="20"/>
          <w:szCs w:val="20"/>
          <w:color w:val="auto"/>
        </w:rPr>
      </w:pPr>
      <w:r>
        <w:rPr>
          <w:rFonts w:ascii="Arial" w:cs="Arial" w:eastAsia="Arial" w:hAnsi="Arial"/>
          <w:sz w:val="20"/>
          <w:szCs w:val="20"/>
          <w:color w:val="auto"/>
        </w:rPr>
        <w:t>Effective Date:</w:t>
      </w:r>
    </w:p>
    <w:p>
      <w:pPr>
        <w:spacing w:after="0" w:line="173" w:lineRule="exact"/>
        <w:rPr>
          <w:sz w:val="20"/>
          <w:szCs w:val="20"/>
          <w:color w:val="auto"/>
        </w:rPr>
      </w:pPr>
    </w:p>
    <w:p>
      <w:pPr>
        <w:jc w:val="both"/>
        <w:ind w:left="660" w:firstLine="644"/>
        <w:spacing w:after="0" w:line="235" w:lineRule="auto"/>
        <w:tabs>
          <w:tab w:leader="none" w:pos="177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The Credit Agreement is hereby amended by deleting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(ii) adding the double underlined text (indicated textually in the same manner as the following example: </w:t>
      </w:r>
      <w:r>
        <w:rPr>
          <w:rFonts w:ascii="Arial" w:cs="Arial" w:eastAsia="Arial" w:hAnsi="Arial"/>
          <w:sz w:val="19"/>
          <w:szCs w:val="19"/>
          <w:u w:val="single" w:color="auto"/>
          <w:color w:val="074BB9"/>
        </w:rPr>
        <w:t>double-underlined text</w:t>
      </w:r>
      <w:r>
        <w:rPr>
          <w:rFonts w:ascii="Arial" w:cs="Arial" w:eastAsia="Arial" w:hAnsi="Arial"/>
          <w:sz w:val="19"/>
          <w:szCs w:val="19"/>
          <w:color w:val="auto"/>
        </w:rPr>
        <w:t xml:space="preserve">) as set forth in the Amended Credit Agreement attached hereto as </w:t>
      </w:r>
      <w:r>
        <w:rPr>
          <w:rFonts w:ascii="Arial" w:cs="Arial" w:eastAsia="Arial" w:hAnsi="Arial"/>
          <w:sz w:val="19"/>
          <w:szCs w:val="19"/>
          <w:u w:val="single" w:color="auto"/>
          <w:color w:val="auto"/>
        </w:rPr>
        <w:t>Annex I</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ind w:left="660" w:firstLine="644"/>
        <w:spacing w:after="0" w:line="236" w:lineRule="auto"/>
        <w:tabs>
          <w:tab w:leader="none" w:pos="180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Exhibit E to the Credit Agreement is hereby amended and restated in its entirety and replaced with Exhibit E to the Credit Agreement attached hereto as </w:t>
      </w:r>
      <w:r>
        <w:rPr>
          <w:rFonts w:ascii="Arial" w:cs="Arial" w:eastAsia="Arial" w:hAnsi="Arial"/>
          <w:sz w:val="20"/>
          <w:szCs w:val="20"/>
          <w:u w:val="single" w:color="auto"/>
          <w:color w:val="auto"/>
        </w:rPr>
        <w:t>Annex II</w:t>
      </w:r>
      <w:r>
        <w:rPr>
          <w:rFonts w:ascii="Arial" w:cs="Arial" w:eastAsia="Arial" w:hAnsi="Arial"/>
          <w:sz w:val="20"/>
          <w:szCs w:val="20"/>
          <w:color w:val="auto"/>
        </w:rPr>
        <w:t>.</w:t>
      </w:r>
    </w:p>
    <w:p>
      <w:pPr>
        <w:spacing w:after="0" w:line="155"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LIBOR Replacement</w:t>
      </w:r>
      <w:r>
        <w:rPr>
          <w:rFonts w:ascii="Arial" w:cs="Arial" w:eastAsia="Arial" w:hAnsi="Arial"/>
          <w:sz w:val="18"/>
          <w:szCs w:val="18"/>
          <w:color w:val="auto"/>
        </w:rPr>
        <w:t>. Notwithstanding anything to the contrary in the Amended Credit Agreement or in any other Loan Document, to the extent any Eurodollar Loan (as defined in the Credit Agreement) is outstanding on the Early Opt-in Effective Date, such</w:t>
      </w:r>
    </w:p>
    <w:p>
      <w:pPr>
        <w:spacing w:after="0" w:line="226" w:lineRule="auto"/>
        <w:rPr>
          <w:sz w:val="20"/>
          <w:szCs w:val="20"/>
          <w:color w:val="auto"/>
        </w:rPr>
      </w:pPr>
      <w:r>
        <w:rPr>
          <w:rFonts w:ascii="Arial" w:cs="Arial" w:eastAsia="Arial" w:hAnsi="Arial"/>
          <w:sz w:val="18"/>
          <w:szCs w:val="18"/>
          <w:color w:val="auto"/>
        </w:rPr>
        <w:t>Loan shall continue to bear interest at the Adjusted LIBO Rate (as defined in the Credit Agreement) plus the Applicable Rate (as defined in the Credit Agreement) until the end of the current Interest Period (as defined in the Credit Agreement) applicable to such Eurodollar Loan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accordance with and subject to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1240"/>
          </w:cols>
          <w:pgMar w:left="320" w:top="104" w:right="339" w:bottom="1440" w:gutter="0" w:footer="0" w:header="0"/>
        </w:sectPr>
      </w:pPr>
    </w:p>
    <w:bookmarkStart w:id="117" w:name="page118"/>
    <w:bookmarkEnd w:id="117"/>
    <w:p>
      <w:pPr>
        <w:ind w:firstLine="648"/>
        <w:spacing w:after="0" w:line="25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Effectiveness of Amendment</w:t>
      </w:r>
      <w:r>
        <w:rPr>
          <w:rFonts w:ascii="Arial" w:cs="Arial" w:eastAsia="Arial" w:hAnsi="Arial"/>
          <w:sz w:val="19"/>
          <w:szCs w:val="19"/>
          <w:color w:val="auto"/>
        </w:rPr>
        <w:t>. Each of the modifications set forth in the Amended Credit Agreement shall be effective on the date upon which each of the following conditions precedent has been satisfied (the “</w:t>
      </w:r>
      <w:r>
        <w:rPr>
          <w:rFonts w:ascii="Arial" w:cs="Arial" w:eastAsia="Arial" w:hAnsi="Arial"/>
          <w:sz w:val="19"/>
          <w:szCs w:val="19"/>
          <w:u w:val="single" w:color="auto"/>
          <w:color w:val="auto"/>
        </w:rPr>
        <w:t>Early Opt-in Effective Date</w:t>
      </w:r>
      <w:r>
        <w:rPr>
          <w:rFonts w:ascii="Arial" w:cs="Arial" w:eastAsia="Arial" w:hAnsi="Arial"/>
          <w:sz w:val="19"/>
          <w:szCs w:val="19"/>
          <w:color w:val="auto"/>
        </w:rPr>
        <w:t>”):</w:t>
      </w:r>
    </w:p>
    <w:p>
      <w:pPr>
        <w:spacing w:after="0" w:line="140" w:lineRule="exact"/>
        <w:rPr>
          <w:sz w:val="20"/>
          <w:szCs w:val="20"/>
          <w:color w:val="auto"/>
        </w:rPr>
      </w:pPr>
    </w:p>
    <w:p>
      <w:pPr>
        <w:ind w:left="660" w:firstLine="644"/>
        <w:spacing w:after="0" w:line="236" w:lineRule="auto"/>
        <w:tabs>
          <w:tab w:leader="none" w:pos="172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This Amendment shall have been executed by each Borrower, each Subsidiary Guarantor and the Administrative Agent, and counterparts hereof as so executed shall have been delivered to the Administrative Agent.</w:t>
      </w:r>
    </w:p>
    <w:p>
      <w:pPr>
        <w:spacing w:after="0" w:line="168" w:lineRule="exact"/>
        <w:rPr>
          <w:rFonts w:ascii="Arial" w:cs="Arial" w:eastAsia="Arial" w:hAnsi="Arial"/>
          <w:sz w:val="20"/>
          <w:szCs w:val="20"/>
          <w:color w:val="auto"/>
        </w:rPr>
      </w:pPr>
    </w:p>
    <w:p>
      <w:pPr>
        <w:jc w:val="both"/>
        <w:ind w:left="660" w:firstLine="644"/>
        <w:spacing w:after="0" w:line="220" w:lineRule="auto"/>
        <w:tabs>
          <w:tab w:leader="none" w:pos="181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Administrative Agent shall have received all reasonable out of pocket expenses incurred by the Administrative Agent (including the reasonable fees, charges and disbursements of its outside counsel, to the extent invoiced on or prior to the Early Opt-in Effective Date) in connection with the preparation, negotiation and effectiveness of this Amendment and the other documents being executed or delivered in connection herewith.</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Borrower and each Subsidiary Guarantor, by signing below, hereby represents and warrants to the Administrative Agent and the Lenders that:</w:t>
      </w:r>
    </w:p>
    <w:p>
      <w:pPr>
        <w:spacing w:after="0" w:line="155" w:lineRule="exact"/>
        <w:rPr>
          <w:sz w:val="20"/>
          <w:szCs w:val="20"/>
          <w:color w:val="auto"/>
        </w:rPr>
      </w:pPr>
    </w:p>
    <w:p>
      <w:pPr>
        <w:ind w:left="1920" w:hanging="616"/>
        <w:spacing w:after="0"/>
        <w:tabs>
          <w:tab w:leader="none" w:pos="192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each Borrower and each Subsidiary Guarantor has the legal power and authority to execute and deliver this</w:t>
      </w:r>
    </w:p>
    <w:p>
      <w:pPr>
        <w:ind w:left="660"/>
        <w:spacing w:after="0"/>
        <w:rPr>
          <w:rFonts w:ascii="Arial" w:cs="Arial" w:eastAsia="Arial" w:hAnsi="Arial"/>
          <w:sz w:val="19"/>
          <w:szCs w:val="19"/>
          <w:color w:val="auto"/>
        </w:rPr>
      </w:pPr>
      <w:r>
        <w:rPr>
          <w:rFonts w:ascii="Arial" w:cs="Arial" w:eastAsia="Arial" w:hAnsi="Arial"/>
          <w:sz w:val="20"/>
          <w:szCs w:val="20"/>
          <w:color w:val="auto"/>
        </w:rPr>
        <w:t>Amendment;</w:t>
      </w:r>
    </w:p>
    <w:p>
      <w:pPr>
        <w:spacing w:after="0" w:line="172" w:lineRule="exact"/>
        <w:rPr>
          <w:rFonts w:ascii="Arial" w:cs="Arial" w:eastAsia="Arial" w:hAnsi="Arial"/>
          <w:sz w:val="19"/>
          <w:szCs w:val="19"/>
          <w:color w:val="auto"/>
        </w:rPr>
      </w:pPr>
    </w:p>
    <w:p>
      <w:pPr>
        <w:jc w:val="both"/>
        <w:ind w:left="660" w:firstLine="644"/>
        <w:spacing w:after="0" w:line="223" w:lineRule="auto"/>
        <w:tabs>
          <w:tab w:leader="none" w:pos="182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officers executing this Amendment on behalf of each Borrower and each Subsidiary Guarantor have been duly authorized to execute and deliver the same and bind such Borrower or such Subsidiary Guarantor with respect to the provisions hereof;</w:t>
      </w:r>
    </w:p>
    <w:p>
      <w:pPr>
        <w:spacing w:after="0" w:line="168" w:lineRule="exact"/>
        <w:rPr>
          <w:rFonts w:ascii="Arial" w:cs="Arial" w:eastAsia="Arial" w:hAnsi="Arial"/>
          <w:sz w:val="20"/>
          <w:szCs w:val="20"/>
          <w:color w:val="auto"/>
        </w:rPr>
      </w:pPr>
    </w:p>
    <w:p>
      <w:pPr>
        <w:jc w:val="both"/>
        <w:ind w:left="660" w:firstLine="644"/>
        <w:spacing w:after="0" w:line="231" w:lineRule="auto"/>
        <w:tabs>
          <w:tab w:leader="none" w:pos="172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this Amendment constitutes the legal, valid and binding agreement and obligation of the Borrowers and each Subsidiary Guarantor,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and</w:t>
      </w:r>
    </w:p>
    <w:p>
      <w:pPr>
        <w:spacing w:after="0" w:line="157" w:lineRule="exact"/>
        <w:rPr>
          <w:rFonts w:ascii="Arial" w:cs="Arial" w:eastAsia="Arial" w:hAnsi="Arial"/>
          <w:sz w:val="19"/>
          <w:szCs w:val="19"/>
          <w:color w:val="auto"/>
        </w:rPr>
      </w:pPr>
    </w:p>
    <w:p>
      <w:pPr>
        <w:jc w:val="both"/>
        <w:ind w:left="660" w:firstLine="644"/>
        <w:spacing w:after="0" w:line="259" w:lineRule="auto"/>
        <w:tabs>
          <w:tab w:leader="none" w:pos="17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in Article III of the Amended Credit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4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Credit Agreement Unaffected</w:t>
      </w:r>
      <w:r>
        <w:rPr>
          <w:rFonts w:ascii="Arial" w:cs="Arial" w:eastAsia="Arial" w:hAnsi="Arial"/>
          <w:sz w:val="19"/>
          <w:szCs w:val="19"/>
          <w:color w:val="auto"/>
        </w:rPr>
        <w:t>. Each reference to the Credit Agreement in any Loan Document shall hereafter be construed as a reference to the Amended Credit Agreement. Except as otherwise specifically provided herein, all provisions of the Credit Agreement shall remain in full force and effect and be unaffected hereby. This Amendment shall be a Loan Document.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Subsidiary Guarantor Acknowledgment</w:t>
      </w:r>
      <w:r>
        <w:rPr>
          <w:rFonts w:ascii="Arial" w:cs="Arial" w:eastAsia="Arial" w:hAnsi="Arial"/>
          <w:sz w:val="20"/>
          <w:szCs w:val="20"/>
          <w:color w:val="auto"/>
        </w:rPr>
        <w:t>. Each Subsidiary Guarantor, by signing this Amendment:</w:t>
      </w:r>
    </w:p>
    <w:p>
      <w:pPr>
        <w:spacing w:after="0" w:line="189" w:lineRule="exact"/>
        <w:rPr>
          <w:sz w:val="20"/>
          <w:szCs w:val="20"/>
          <w:color w:val="auto"/>
        </w:rPr>
      </w:pPr>
    </w:p>
    <w:p>
      <w:pPr>
        <w:ind w:left="1720" w:hanging="416"/>
        <w:spacing w:after="0"/>
        <w:tabs>
          <w:tab w:leader="none" w:pos="1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consents and agrees to and acknowledges the terms of this Amendment;</w:t>
      </w:r>
    </w:p>
    <w:p>
      <w:pPr>
        <w:spacing w:after="0" w:line="188" w:lineRule="exact"/>
        <w:rPr>
          <w:rFonts w:ascii="Arial" w:cs="Arial" w:eastAsia="Arial" w:hAnsi="Arial"/>
          <w:sz w:val="20"/>
          <w:szCs w:val="20"/>
          <w:color w:val="auto"/>
        </w:rPr>
      </w:pPr>
    </w:p>
    <w:p>
      <w:pPr>
        <w:jc w:val="both"/>
        <w:ind w:left="660" w:right="20" w:firstLine="644"/>
        <w:spacing w:after="0" w:line="235" w:lineRule="auto"/>
        <w:tabs>
          <w:tab w:leader="none" w:pos="175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acknowledges and agrees that all of the Loan Documents to which such Subsidiary Guarantor is a party or is otherwise bound shall continue in full force and effect and that all of such Subsidiary Guarantor’s obligations thereunder shall be valid and enforceable and shall not be impaired or limited by the execution or effectiveness of this Amendment; and</w:t>
      </w:r>
    </w:p>
    <w:p>
      <w:pPr>
        <w:spacing w:after="0" w:line="168" w:lineRule="exact"/>
        <w:rPr>
          <w:rFonts w:ascii="Arial" w:cs="Arial" w:eastAsia="Arial" w:hAnsi="Arial"/>
          <w:sz w:val="19"/>
          <w:szCs w:val="19"/>
          <w:color w:val="auto"/>
        </w:rPr>
      </w:pPr>
    </w:p>
    <w:p>
      <w:pPr>
        <w:jc w:val="both"/>
        <w:ind w:left="660" w:firstLine="644"/>
        <w:spacing w:after="0" w:line="227" w:lineRule="auto"/>
        <w:tabs>
          <w:tab w:leader="none" w:pos="181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acknowledges and agrees that (i) notwithstanding the conditions to effectiveness set forth in this Amendment, such Subsidiary Guarantor is not required by the terms of the Credit Agreement or any other Loan Document to which such Subsidiary Guarantor is a party to consent to the amendments to the Credit Agreement effected pursuant to this Amendment and (ii) nothing in the Credit Agreement, this Amendment or any other Loan Document shall be deemed to require the consent of such Subsidiary Guarantor to any future amendments or modifications to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1240"/>
          </w:cols>
          <w:pgMar w:left="320" w:top="1405"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Credit Agreement and the other Loan Documents, integrates all the</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terms and conditions mentioned herein or incidental hereto and supersedes all oral representations and negotiations and prior writings with respect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any number of counterparts, by different parties hereto in separate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counterparts and by facsimile signature, each of which when so executed and delivered shall be deemed to be an original and all of which taken together shall constitute but one and the same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OTHER LOAN DOCUMENTS AND THE RIGHTS AND</w:t>
      </w:r>
    </w:p>
    <w:p>
      <w:pPr>
        <w:spacing w:after="0" w:line="215" w:lineRule="auto"/>
        <w:rPr>
          <w:sz w:val="20"/>
          <w:szCs w:val="20"/>
          <w:color w:val="auto"/>
        </w:rPr>
      </w:pPr>
      <w:r>
        <w:rPr>
          <w:rFonts w:ascii="Arial" w:cs="Arial" w:eastAsia="Arial" w:hAnsi="Arial"/>
          <w:sz w:val="19"/>
          <w:szCs w:val="19"/>
          <w:color w:val="auto"/>
        </w:rPr>
        <w:t>OBLIGATIONS OF THE PARTIES HEREUNDER AND THEREUNDER SHALL BE CONSTRUED IN ACCORDANCE WITH AND BE GOVERNED BY THE LAW OF THE STATE OF NEW YORK. TO THE FULLEST EXTENT PERMITTED BY LAW, THE</w:t>
      </w:r>
    </w:p>
    <w:p>
      <w:pPr>
        <w:spacing w:after="0" w:line="222" w:lineRule="auto"/>
        <w:rPr>
          <w:sz w:val="20"/>
          <w:szCs w:val="20"/>
          <w:color w:val="auto"/>
        </w:rPr>
      </w:pPr>
      <w:r>
        <w:rPr>
          <w:rFonts w:ascii="Arial" w:cs="Arial" w:eastAsia="Arial" w:hAnsi="Arial"/>
          <w:sz w:val="19"/>
          <w:szCs w:val="19"/>
          <w:color w:val="auto"/>
        </w:rPr>
        <w:t>BORROWERS HEREBY UNCONDITIONALLY AND IRREVOCABLY WAIVE ANY CLAIM TO ASSERT THAT THE LAW OF ANY</w:t>
      </w:r>
    </w:p>
    <w:p>
      <w:pPr>
        <w:spacing w:after="0" w:line="220" w:lineRule="auto"/>
        <w:rPr>
          <w:sz w:val="20"/>
          <w:szCs w:val="20"/>
          <w:color w:val="auto"/>
        </w:rPr>
      </w:pPr>
      <w:r>
        <w:rPr>
          <w:rFonts w:ascii="Arial" w:cs="Arial" w:eastAsia="Arial" w:hAnsi="Arial"/>
          <w:sz w:val="20"/>
          <w:szCs w:val="20"/>
          <w:color w:val="auto"/>
        </w:rPr>
        <w:t>JURISDICTION OTHER THAN THE STATE OF NEW YORK GOVERNS THIS AMENDMENT OR ANY OF THE OTHER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Jurisdiction</w:t>
      </w:r>
      <w:r>
        <w:rPr>
          <w:rFonts w:ascii="Arial" w:cs="Arial" w:eastAsia="Arial" w:hAnsi="Arial"/>
          <w:sz w:val="19"/>
          <w:szCs w:val="19"/>
          <w:color w:val="auto"/>
        </w:rPr>
        <w:t>. EACH BORROWER HEREBY IRREVOCABLY AND UNCONDITIONALLY SUBMITS, FOR ITSELF</w:t>
      </w:r>
    </w:p>
    <w:p>
      <w:pPr>
        <w:spacing w:after="0" w:line="215" w:lineRule="auto"/>
        <w:rPr>
          <w:sz w:val="20"/>
          <w:szCs w:val="20"/>
          <w:color w:val="auto"/>
        </w:rPr>
      </w:pPr>
      <w:r>
        <w:rPr>
          <w:rFonts w:ascii="Arial" w:cs="Arial" w:eastAsia="Arial" w:hAnsi="Arial"/>
          <w:sz w:val="19"/>
          <w:szCs w:val="19"/>
          <w:color w:val="auto"/>
        </w:rPr>
        <w:t>AND ITS PROPERTY, TO THE EXCLUSIVE JURISDICTION OF THE SUPREME COURT OF THE STATE OF NEW YORK SITTING IN NEW YORK COUNTY, BOROUGH OF MANHATTAN, AND OF THE UNITED STATES DISTRICT COURT FOR THE</w:t>
      </w:r>
    </w:p>
    <w:p>
      <w:pPr>
        <w:spacing w:after="0" w:line="211" w:lineRule="auto"/>
        <w:rPr>
          <w:sz w:val="20"/>
          <w:szCs w:val="20"/>
          <w:color w:val="auto"/>
        </w:rPr>
      </w:pPr>
      <w:r>
        <w:rPr>
          <w:rFonts w:ascii="Arial" w:cs="Arial" w:eastAsia="Arial" w:hAnsi="Arial"/>
          <w:sz w:val="20"/>
          <w:szCs w:val="20"/>
          <w:color w:val="auto"/>
        </w:rPr>
        <w:t>SOUTHERN DISTRICT OF NEW YORK, AND ANY APPELLATE COURT FROM ANY THEREOF, IN ANY ACTION OR</w:t>
      </w:r>
    </w:p>
    <w:p>
      <w:pPr>
        <w:spacing w:after="0" w:line="215" w:lineRule="auto"/>
        <w:rPr>
          <w:sz w:val="20"/>
          <w:szCs w:val="20"/>
          <w:color w:val="auto"/>
        </w:rPr>
      </w:pPr>
      <w:r>
        <w:rPr>
          <w:rFonts w:ascii="Arial" w:cs="Arial" w:eastAsia="Arial" w:hAnsi="Arial"/>
          <w:sz w:val="19"/>
          <w:szCs w:val="19"/>
          <w:color w:val="auto"/>
        </w:rPr>
        <w:t>PROCEEDING ARISING OUT OF OR RELATING TO THIS AMENDMENT OR ANY OTHER LOAN DOCUMENT, OR FOR RECOGNITION OR ENFORCEMENT OF ANY JUDGMENT, AND EACH OF THE PARTIES HERETO HEREBY IRREVOCABLY</w:t>
      </w:r>
    </w:p>
    <w:p>
      <w:pPr>
        <w:spacing w:after="0" w:line="215" w:lineRule="auto"/>
        <w:rPr>
          <w:sz w:val="20"/>
          <w:szCs w:val="20"/>
          <w:color w:val="auto"/>
        </w:rPr>
      </w:pPr>
      <w:r>
        <w:rPr>
          <w:rFonts w:ascii="Arial" w:cs="Arial" w:eastAsia="Arial" w:hAnsi="Arial"/>
          <w:sz w:val="19"/>
          <w:szCs w:val="19"/>
          <w:color w:val="auto"/>
        </w:rPr>
        <w:t>AND UNCONDITIONALLY AGREES THAT ALL CLAIMS IN RESPECT OF ANY SUCH ACTION OR PROCEEDING MAY BE HEARD AND DETERMINED IN SUCH NEW YORK STATE OR, TO THE EXTENT PERMITTED BY LAW, IN SUCH FEDERAL</w:t>
      </w:r>
    </w:p>
    <w:p>
      <w:pPr>
        <w:spacing w:after="0" w:line="222" w:lineRule="auto"/>
        <w:rPr>
          <w:sz w:val="20"/>
          <w:szCs w:val="20"/>
          <w:color w:val="auto"/>
        </w:rPr>
      </w:pPr>
      <w:r>
        <w:rPr>
          <w:rFonts w:ascii="Arial" w:cs="Arial" w:eastAsia="Arial" w:hAnsi="Arial"/>
          <w:sz w:val="19"/>
          <w:szCs w:val="19"/>
          <w:color w:val="auto"/>
        </w:rPr>
        <w:t>COURT. EACH OF THE PARTIES HERETO AGREES THAT A FINAL JUDGMENT IN ANY SUCH ACTION OR PROCEEDING</w:t>
      </w:r>
    </w:p>
    <w:p>
      <w:pPr>
        <w:spacing w:after="0" w:line="204" w:lineRule="auto"/>
        <w:rPr>
          <w:sz w:val="20"/>
          <w:szCs w:val="20"/>
          <w:color w:val="auto"/>
        </w:rPr>
      </w:pPr>
      <w:r>
        <w:rPr>
          <w:rFonts w:ascii="Arial" w:cs="Arial" w:eastAsia="Arial" w:hAnsi="Arial"/>
          <w:sz w:val="20"/>
          <w:szCs w:val="20"/>
          <w:color w:val="auto"/>
        </w:rPr>
        <w:t>SHALL BE CONCLUSIVE AND MAY BE ENFORCED IN OTHER JURISDICTIONS BY SUIT ON THE JUDGMENT OR IN ANY OTHER MANNER PROVIDED BY LAW. NOTHING IN THIS AMENDMENT SHALL AFFECT ANY RIGHT THAT THE</w:t>
      </w:r>
    </w:p>
    <w:p>
      <w:pPr>
        <w:spacing w:after="0" w:line="211" w:lineRule="auto"/>
        <w:rPr>
          <w:sz w:val="20"/>
          <w:szCs w:val="20"/>
          <w:color w:val="auto"/>
        </w:rPr>
      </w:pPr>
      <w:r>
        <w:rPr>
          <w:rFonts w:ascii="Arial" w:cs="Arial" w:eastAsia="Arial" w:hAnsi="Arial"/>
          <w:sz w:val="20"/>
          <w:szCs w:val="20"/>
          <w:color w:val="auto"/>
        </w:rPr>
        <w:t>ADMINISTRATIVE AGENT, THE ISSUING BANK OR ANY LENDER MAY OTHERWISE HAVE TO BRING ANY ACTION OR</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PROCEEDING RELATING TO THIS AMENDMENT OR ANY OF THE OTHER LOAN DOCUMENTS AGAINST ANY BORROWER OR ITS PROPERTIES IN THE COURTS OF ANY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JURY TRIAL WAIVER</w:t>
      </w:r>
      <w:r>
        <w:rPr>
          <w:rFonts w:ascii="Arial" w:cs="Arial" w:eastAsia="Arial" w:hAnsi="Arial"/>
          <w:sz w:val="19"/>
          <w:szCs w:val="19"/>
          <w:color w:val="auto"/>
        </w:rPr>
        <w:t>. EACH OF THE PARTIES TO THIS AMENDMENT HEREBY IRREVOCABLY WAIVES</w:t>
      </w:r>
    </w:p>
    <w:p>
      <w:pPr>
        <w:spacing w:after="0" w:line="204" w:lineRule="auto"/>
        <w:rPr>
          <w:sz w:val="20"/>
          <w:szCs w:val="20"/>
          <w:color w:val="auto"/>
        </w:rPr>
      </w:pPr>
      <w:r>
        <w:rPr>
          <w:rFonts w:ascii="Arial" w:cs="Arial" w:eastAsia="Arial" w:hAnsi="Arial"/>
          <w:sz w:val="20"/>
          <w:szCs w:val="20"/>
          <w:color w:val="auto"/>
        </w:rPr>
        <w:t>ALL RIGHT TO A TRIAL BY JURY IN ANY ACTION, PROCEEDING OR COUNTERCLAIM ARISING OUT OF OR RELATING TO THIS AMENDMENT OR ANY OF THE OTHER LOAN DOCUMENTS (INCLUDING, WITHOUT LIMITATION, ANY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AMENDMENTS, WAIVERS OR OTHER MODIFICATIONS RELATING TO ANY OF THE FOREGOING), OR THE TRANSACTIONS CONTEMPLATED HEREBY OR THEREBY.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1240"/>
          </w:cols>
          <w:pgMar w:left="320" w:top="1405" w:right="339" w:bottom="1440" w:gutter="0" w:footer="0" w:header="0"/>
        </w:sectPr>
      </w:pPr>
    </w:p>
    <w:bookmarkStart w:id="119" w:name="page120"/>
    <w:bookmarkEnd w:id="119"/>
    <w:p>
      <w:pPr>
        <w:ind w:left="180"/>
        <w:spacing w:after="0"/>
        <w:rPr>
          <w:sz w:val="20"/>
          <w:szCs w:val="20"/>
          <w:color w:val="auto"/>
        </w:rPr>
      </w:pPr>
      <w:r>
        <w:rPr>
          <w:rFonts w:ascii="Arial" w:cs="Arial" w:eastAsia="Arial" w:hAnsi="Arial"/>
          <w:sz w:val="18"/>
          <w:szCs w:val="18"/>
          <w:color w:val="auto"/>
        </w:rPr>
        <w:t>IN WITNESS WHEREOF, this Amendment has been duly executed and delivered as of the date first above written.</w:t>
      </w:r>
    </w:p>
    <w:p>
      <w:pPr>
        <w:spacing w:after="0" w:line="287"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THE COOPER COMPANIES, INC.</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-7620</wp:posOffset>
            </wp:positionV>
            <wp:extent cx="10991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5480"/>
        <w:spacing w:after="0" w:line="211" w:lineRule="auto"/>
        <w:rPr>
          <w:sz w:val="20"/>
          <w:szCs w:val="20"/>
          <w:color w:val="auto"/>
        </w:rPr>
      </w:pPr>
      <w:r>
        <w:rPr>
          <w:rFonts w:ascii="Arial" w:cs="Arial" w:eastAsia="Arial" w:hAnsi="Arial"/>
          <w:sz w:val="20"/>
          <w:szCs w:val="20"/>
          <w:color w:val="auto"/>
        </w:rPr>
        <w:t>Name: Brian G. Andrews</w:t>
      </w:r>
    </w:p>
    <w:p>
      <w:pPr>
        <w:ind w:left="5480"/>
        <w:spacing w:after="0"/>
        <w:rPr>
          <w:sz w:val="20"/>
          <w:szCs w:val="20"/>
          <w:color w:val="auto"/>
        </w:rPr>
      </w:pPr>
      <w:r>
        <w:rPr>
          <w:rFonts w:ascii="Arial" w:cs="Arial" w:eastAsia="Arial" w:hAnsi="Arial"/>
          <w:sz w:val="20"/>
          <w:szCs w:val="20"/>
          <w:color w:val="auto"/>
        </w:rPr>
        <w:t>Title: Executive Vice President, Chief</w:t>
      </w:r>
    </w:p>
    <w:p>
      <w:pPr>
        <w:ind w:left="5940"/>
        <w:spacing w:after="0"/>
        <w:rPr>
          <w:sz w:val="20"/>
          <w:szCs w:val="20"/>
          <w:color w:val="auto"/>
        </w:rPr>
      </w:pPr>
      <w:r>
        <w:rPr>
          <w:rFonts w:ascii="Arial" w:cs="Arial" w:eastAsia="Arial" w:hAnsi="Arial"/>
          <w:sz w:val="20"/>
          <w:szCs w:val="20"/>
          <w:color w:val="auto"/>
        </w:rPr>
        <w:t>Financial Officer &amp; Treasurer</w:t>
      </w:r>
    </w:p>
    <w:p>
      <w:pPr>
        <w:spacing w:after="0" w:line="200" w:lineRule="exact"/>
        <w:rPr>
          <w:sz w:val="20"/>
          <w:szCs w:val="20"/>
          <w:color w:val="auto"/>
        </w:rPr>
      </w:pPr>
    </w:p>
    <w:p>
      <w:pPr>
        <w:spacing w:after="0" w:line="264" w:lineRule="exact"/>
        <w:rPr>
          <w:sz w:val="20"/>
          <w:szCs w:val="20"/>
          <w:color w:val="auto"/>
        </w:rPr>
      </w:pPr>
    </w:p>
    <w:p>
      <w:pPr>
        <w:jc w:val="right"/>
        <w:ind w:right="639"/>
        <w:spacing w:after="0"/>
        <w:rPr>
          <w:sz w:val="20"/>
          <w:szCs w:val="20"/>
          <w:color w:val="auto"/>
        </w:rPr>
      </w:pPr>
      <w:r>
        <w:rPr>
          <w:rFonts w:ascii="Arial" w:cs="Arial" w:eastAsia="Arial" w:hAnsi="Arial"/>
          <w:sz w:val="20"/>
          <w:szCs w:val="20"/>
          <w:b w:val="1"/>
          <w:bCs w:val="1"/>
          <w:color w:val="auto"/>
        </w:rPr>
        <w:t>COOPERVISION INTERNATIONAL LIMITED</w:t>
      </w: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/s/ Brian G. Andrews</w:t>
      </w:r>
    </w:p>
    <w:p>
      <w:pPr>
        <w:ind w:left="5480"/>
        <w:spacing w:after="0" w:line="234" w:lineRule="auto"/>
        <w:tabs>
          <w:tab w:leader="none" w:pos="6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-127000</wp:posOffset>
            </wp:positionV>
            <wp:extent cx="10991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COOPERSURGICAL HOLDINGS LIMITED</w:t>
      </w: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-7620</wp:posOffset>
            </wp:positionV>
            <wp:extent cx="10991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5480"/>
        <w:spacing w:after="0" w:line="219" w:lineRule="auto"/>
        <w:tabs>
          <w:tab w:leader="none" w:pos="61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Brian G. Andrews</w:t>
      </w:r>
    </w:p>
    <w:p>
      <w:pPr>
        <w:ind w:left="54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[Signtaure Page – Amendment No. 3]</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0119"/>
          </w:cols>
          <w:pgMar w:left="340" w:top="1405" w:right="1440" w:bottom="1440" w:gutter="0" w:footer="0" w:header="0"/>
        </w:sectPr>
      </w:pPr>
    </w:p>
    <w:bookmarkStart w:id="120" w:name="page121"/>
    <w:bookmarkEnd w:id="120"/>
    <w:p>
      <w:pPr>
        <w:spacing w:after="0" w:line="263"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KEYBANK NATIONAL ASSOCIATION,</w:t>
      </w:r>
    </w:p>
    <w:p>
      <w:pPr>
        <w:spacing w:after="0" w:line="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as the Administrative Agent</w:t>
      </w:r>
    </w:p>
    <w:p>
      <w:pPr>
        <w:spacing w:after="0" w:line="23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/s/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-14605</wp:posOffset>
            </wp:positionV>
            <wp:extent cx="10617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Name: Marianne T. Meil</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[Signtaure Page – Amendment No. 3]</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0119"/>
          </w:cols>
          <w:pgMar w:left="340" w:top="1440" w:right="1440" w:bottom="1440" w:gutter="0" w:footer="0" w:header="0"/>
        </w:sectPr>
      </w:pPr>
    </w:p>
    <w:bookmarkStart w:id="121" w:name="page122"/>
    <w:bookmarkEnd w:id="121"/>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Each of the undersigned Subsidiary Guarantors acknowledges</w:t>
      </w:r>
    </w:p>
    <w:p>
      <w:pPr>
        <w:ind w:left="160"/>
        <w:spacing w:after="0"/>
        <w:rPr>
          <w:sz w:val="20"/>
          <w:szCs w:val="20"/>
          <w:color w:val="auto"/>
        </w:rPr>
      </w:pPr>
      <w:r>
        <w:rPr>
          <w:rFonts w:ascii="Arial" w:cs="Arial" w:eastAsia="Arial" w:hAnsi="Arial"/>
          <w:sz w:val="20"/>
          <w:szCs w:val="20"/>
          <w:color w:val="auto"/>
        </w:rPr>
        <w:t>the terms of and consents to the foregoing:</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COOPERVISION, INC.</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By: /s/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10991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20"/>
          <w:szCs w:val="20"/>
          <w:color w:val="auto"/>
        </w:rPr>
        <w:t>Name: Brian G. Andrews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Title: Executive Vice President</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&amp; Treasurer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COOPERSURGICAL, INC.</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By: /s/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10991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20"/>
          <w:szCs w:val="20"/>
          <w:color w:val="auto"/>
        </w:rPr>
        <w:t>Name: Brian G. Andrews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Title: Executive Vice President</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[Signtaure Page – Amendment No. 3]</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0119"/>
          </w:cols>
          <w:pgMar w:left="340" w:top="1440" w:right="1440" w:bottom="1440" w:gutter="0" w:footer="0" w:header="0"/>
        </w:sectPr>
      </w:pPr>
    </w:p>
    <w:bookmarkStart w:id="122" w:name="page123"/>
    <w:bookmarkEnd w:id="122"/>
    <w:p>
      <w:pPr>
        <w:jc w:val="center"/>
        <w:ind w:right="-440"/>
        <w:spacing w:after="0"/>
        <w:rPr>
          <w:sz w:val="20"/>
          <w:szCs w:val="20"/>
          <w:color w:val="auto"/>
        </w:rPr>
      </w:pPr>
      <w:r>
        <w:rPr>
          <w:rFonts w:ascii="Arial" w:cs="Arial" w:eastAsia="Arial" w:hAnsi="Arial"/>
          <w:sz w:val="20"/>
          <w:szCs w:val="20"/>
          <w:b w:val="1"/>
          <w:bCs w:val="1"/>
          <w:u w:val="single" w:color="auto"/>
          <w:color w:val="auto"/>
        </w:rPr>
        <w:t>Annex I</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Amended Credit Agreement</w:t>
      </w:r>
    </w:p>
    <w:p>
      <w:pPr>
        <w:spacing w:after="0" w:line="23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0119"/>
          </w:cols>
          <w:pgMar w:left="340" w:top="1399" w:right="1440" w:bottom="1440" w:gutter="0" w:footer="0" w:header="0"/>
        </w:sectPr>
      </w:pPr>
    </w:p>
    <w:bookmarkStart w:id="123" w:name="page124"/>
    <w:bookmarkEnd w:id="123"/>
    <w:p>
      <w:pPr>
        <w:ind w:left="5400"/>
        <w:spacing w:after="0"/>
        <w:rPr>
          <w:sz w:val="20"/>
          <w:szCs w:val="20"/>
          <w:color w:val="auto"/>
        </w:rPr>
      </w:pPr>
      <w:r>
        <w:rPr>
          <w:rFonts w:ascii="Arial" w:cs="Arial" w:eastAsia="Arial" w:hAnsi="Arial"/>
          <w:sz w:val="13"/>
          <w:szCs w:val="13"/>
          <w:b w:val="1"/>
          <w:bCs w:val="1"/>
          <w:i w:val="1"/>
          <w:iCs w:val="1"/>
          <w:u w:val="single" w:color="auto"/>
          <w:color w:val="auto"/>
        </w:rPr>
        <w:t>AS AMENDED BY AMENDMENT NO. 1 AND JOINDER, DATED AS OF OCTOBER 30, 2020,</w:t>
      </w:r>
    </w:p>
    <w:p>
      <w:pPr>
        <w:jc w:val="right"/>
        <w:spacing w:after="0" w:line="217" w:lineRule="auto"/>
        <w:rPr>
          <w:sz w:val="20"/>
          <w:szCs w:val="20"/>
          <w:color w:val="auto"/>
        </w:rPr>
      </w:pPr>
      <w:r>
        <w:rPr>
          <w:rFonts w:ascii="Arial" w:cs="Arial" w:eastAsia="Arial" w:hAnsi="Arial"/>
          <w:sz w:val="14"/>
          <w:szCs w:val="14"/>
          <w:b w:val="1"/>
          <w:bCs w:val="1"/>
          <w:i w:val="1"/>
          <w:iCs w:val="1"/>
          <w:u w:val="single" w:color="auto"/>
          <w:color w:val="auto"/>
        </w:rPr>
        <w:t xml:space="preserve">AMENDMENT NO. 2 AND JOINDER, DATED AS OF DECEMBER 17, 2021, </w:t>
      </w:r>
      <w:r>
        <w:rPr>
          <w:rFonts w:ascii="Arial" w:cs="Arial" w:eastAsia="Arial" w:hAnsi="Arial"/>
          <w:sz w:val="14"/>
          <w:szCs w:val="14"/>
          <w:b w:val="1"/>
          <w:bCs w:val="1"/>
          <w:i w:val="1"/>
          <w:iCs w:val="1"/>
          <w:u w:val="single" w:color="auto"/>
          <w:color w:val="FF0000"/>
          <w:strike w:val="1"/>
        </w:rPr>
        <w:t>AND</w:t>
      </w:r>
    </w:p>
    <w:p>
      <w:pPr>
        <w:jc w:val="right"/>
        <w:spacing w:after="0" w:line="221" w:lineRule="auto"/>
        <w:rPr>
          <w:sz w:val="20"/>
          <w:szCs w:val="20"/>
          <w:color w:val="auto"/>
        </w:rPr>
      </w:pPr>
      <w:r>
        <w:rPr>
          <w:rFonts w:ascii="Arial" w:cs="Arial" w:eastAsia="Arial" w:hAnsi="Arial"/>
          <w:sz w:val="14"/>
          <w:szCs w:val="14"/>
          <w:b w:val="1"/>
          <w:bCs w:val="1"/>
          <w:i w:val="1"/>
          <w:iCs w:val="1"/>
          <w:u w:val="single" w:color="auto"/>
          <w:color w:val="auto"/>
        </w:rPr>
        <w:t>CONFORMING CHANGES AMENDMENT, DATED AS OF MARCH 9, 2022</w:t>
      </w:r>
      <w:r>
        <w:rPr>
          <w:rFonts w:ascii="Arial" w:cs="Arial" w:eastAsia="Arial" w:hAnsi="Arial"/>
          <w:sz w:val="14"/>
          <w:szCs w:val="14"/>
          <w:b w:val="1"/>
          <w:bCs w:val="1"/>
          <w:i w:val="1"/>
          <w:iCs w:val="1"/>
          <w:u w:val="single" w:color="auto"/>
          <w:color w:val="0000FF"/>
        </w:rPr>
        <w:t>, AND</w:t>
      </w:r>
    </w:p>
    <w:p>
      <w:pPr>
        <w:jc w:val="right"/>
        <w:spacing w:after="0"/>
        <w:rPr>
          <w:sz w:val="20"/>
          <w:szCs w:val="20"/>
          <w:color w:val="auto"/>
        </w:rPr>
      </w:pPr>
      <w:r>
        <w:rPr>
          <w:rFonts w:ascii="Arial" w:cs="Arial" w:eastAsia="Arial" w:hAnsi="Arial"/>
          <w:sz w:val="14"/>
          <w:szCs w:val="14"/>
          <w:b w:val="1"/>
          <w:bCs w:val="1"/>
          <w:i w:val="1"/>
          <w:iCs w:val="1"/>
          <w:u w:val="single" w:color="auto"/>
          <w:color w:val="0000FF"/>
        </w:rPr>
        <w:t>AMENDMENT NO. 3, DATED AS OF FEBRUARY 1, 2023</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DEAL CUSIP: 21664UAQ9</w:t>
      </w:r>
    </w:p>
    <w:p>
      <w:pPr>
        <w:jc w:val="right"/>
        <w:spacing w:after="0" w:line="211" w:lineRule="auto"/>
        <w:rPr>
          <w:sz w:val="20"/>
          <w:szCs w:val="20"/>
          <w:color w:val="auto"/>
        </w:rPr>
      </w:pPr>
      <w:r>
        <w:rPr>
          <w:rFonts w:ascii="Arial" w:cs="Arial" w:eastAsia="Arial" w:hAnsi="Arial"/>
          <w:sz w:val="20"/>
          <w:szCs w:val="20"/>
          <w:color w:val="auto"/>
        </w:rPr>
        <w:t>TERM LOAN CUSIP: 21664UAR7</w:t>
      </w:r>
    </w:p>
    <w:p>
      <w:pPr>
        <w:jc w:val="right"/>
        <w:spacing w:after="0"/>
        <w:rPr>
          <w:sz w:val="20"/>
          <w:szCs w:val="20"/>
          <w:color w:val="auto"/>
        </w:rPr>
      </w:pPr>
      <w:r>
        <w:rPr>
          <w:rFonts w:ascii="Arial" w:cs="Arial" w:eastAsia="Arial" w:hAnsi="Arial"/>
          <w:sz w:val="20"/>
          <w:szCs w:val="20"/>
          <w:color w:val="auto"/>
        </w:rPr>
        <w:t>REVOLVER CUSIP: 21664UAR7</w:t>
      </w:r>
    </w:p>
    <w:p>
      <w:pPr>
        <w:spacing w:after="0" w:line="200" w:lineRule="exact"/>
        <w:rPr>
          <w:sz w:val="20"/>
          <w:szCs w:val="20"/>
          <w:color w:val="auto"/>
        </w:rPr>
      </w:pPr>
    </w:p>
    <w:p>
      <w:pPr>
        <w:spacing w:after="0" w:line="358"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REVOLVING CREDIT AND TERM LOAN AGREEMENT</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dated as of</w:t>
      </w:r>
    </w:p>
    <w:p>
      <w:pPr>
        <w:ind w:left="5080"/>
        <w:spacing w:after="0"/>
        <w:rPr>
          <w:sz w:val="20"/>
          <w:szCs w:val="20"/>
          <w:color w:val="auto"/>
        </w:rPr>
      </w:pPr>
      <w:r>
        <w:rPr>
          <w:rFonts w:ascii="Arial" w:cs="Arial" w:eastAsia="Arial" w:hAnsi="Arial"/>
          <w:sz w:val="20"/>
          <w:szCs w:val="20"/>
          <w:color w:val="auto"/>
        </w:rPr>
        <w:t>April 1, 2020</w:t>
      </w:r>
    </w:p>
    <w:p>
      <w:pPr>
        <w:spacing w:after="0" w:line="173"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among</w:t>
      </w:r>
    </w:p>
    <w:p>
      <w:pPr>
        <w:spacing w:after="0" w:line="164"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THE COOPER COMPANIES, INC.,</w:t>
      </w:r>
    </w:p>
    <w:p>
      <w:pPr>
        <w:ind w:left="3640"/>
        <w:spacing w:after="0" w:line="211" w:lineRule="auto"/>
        <w:rPr>
          <w:sz w:val="20"/>
          <w:szCs w:val="20"/>
          <w:color w:val="auto"/>
        </w:rPr>
      </w:pPr>
      <w:r>
        <w:rPr>
          <w:rFonts w:ascii="Arial" w:cs="Arial" w:eastAsia="Arial" w:hAnsi="Arial"/>
          <w:sz w:val="20"/>
          <w:szCs w:val="20"/>
          <w:color w:val="auto"/>
        </w:rPr>
        <w:t>COOPERVISION INTERNATIONAL LIMITED</w:t>
      </w:r>
    </w:p>
    <w:p>
      <w:pPr>
        <w:ind w:left="5460"/>
        <w:spacing w:after="0" w:line="197" w:lineRule="auto"/>
        <w:rPr>
          <w:sz w:val="20"/>
          <w:szCs w:val="20"/>
          <w:color w:val="auto"/>
        </w:rPr>
      </w:pPr>
      <w:r>
        <w:rPr>
          <w:rFonts w:ascii="Arial" w:cs="Arial" w:eastAsia="Arial" w:hAnsi="Arial"/>
          <w:sz w:val="20"/>
          <w:szCs w:val="20"/>
          <w:color w:val="auto"/>
        </w:rPr>
        <w:t>and</w:t>
      </w:r>
    </w:p>
    <w:p>
      <w:pPr>
        <w:jc w:val="center"/>
        <w:ind w:right="20"/>
        <w:spacing w:after="0" w:line="211" w:lineRule="auto"/>
        <w:rPr>
          <w:sz w:val="20"/>
          <w:szCs w:val="20"/>
          <w:color w:val="auto"/>
        </w:rPr>
      </w:pPr>
      <w:r>
        <w:rPr>
          <w:rFonts w:ascii="Arial" w:cs="Arial" w:eastAsia="Arial" w:hAnsi="Arial"/>
          <w:sz w:val="20"/>
          <w:szCs w:val="20"/>
          <w:color w:val="auto"/>
        </w:rPr>
        <w:t>COOPERSURGICAL HOLDINGS LIMITED,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Borrowers,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LENDERS NAMED HEREIN,</w:t>
      </w:r>
    </w:p>
    <w:p>
      <w:pPr>
        <w:jc w:val="center"/>
        <w:ind w:right="20"/>
        <w:spacing w:after="0"/>
        <w:rPr>
          <w:sz w:val="20"/>
          <w:szCs w:val="20"/>
          <w:color w:val="auto"/>
        </w:rPr>
      </w:pPr>
      <w:r>
        <w:rPr>
          <w:rFonts w:ascii="Arial" w:cs="Arial" w:eastAsia="Arial" w:hAnsi="Arial"/>
          <w:sz w:val="20"/>
          <w:szCs w:val="20"/>
          <w:color w:val="auto"/>
        </w:rPr>
        <w:t>as Lenders,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KEYBANK NATIONAL ASSOCIATION,</w:t>
      </w:r>
    </w:p>
    <w:p>
      <w:pPr>
        <w:jc w:val="center"/>
        <w:ind w:right="20"/>
        <w:spacing w:after="0"/>
        <w:rPr>
          <w:sz w:val="20"/>
          <w:szCs w:val="20"/>
          <w:color w:val="auto"/>
        </w:rPr>
      </w:pPr>
      <w:r>
        <w:rPr>
          <w:rFonts w:ascii="Arial" w:cs="Arial" w:eastAsia="Arial" w:hAnsi="Arial"/>
          <w:sz w:val="20"/>
          <w:szCs w:val="20"/>
          <w:color w:val="auto"/>
        </w:rPr>
        <w:t>as Administrative Agent,</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PNC BANK, NATIONAL ASSOCIATION, and</w:t>
      </w:r>
    </w:p>
    <w:p>
      <w:pPr>
        <w:jc w:val="center"/>
        <w:ind w:right="20"/>
        <w:spacing w:after="0" w:line="211" w:lineRule="auto"/>
        <w:rPr>
          <w:sz w:val="20"/>
          <w:szCs w:val="20"/>
          <w:color w:val="auto"/>
        </w:rPr>
      </w:pPr>
      <w:r>
        <w:rPr>
          <w:rFonts w:ascii="Arial" w:cs="Arial" w:eastAsia="Arial" w:hAnsi="Arial"/>
          <w:sz w:val="20"/>
          <w:szCs w:val="20"/>
          <w:color w:val="auto"/>
        </w:rPr>
        <w:t>TD BANK, N.A.,</w:t>
      </w:r>
    </w:p>
    <w:p>
      <w:pPr>
        <w:jc w:val="center"/>
        <w:ind w:right="20"/>
        <w:spacing w:after="0"/>
        <w:rPr>
          <w:sz w:val="20"/>
          <w:szCs w:val="20"/>
          <w:color w:val="auto"/>
        </w:rPr>
      </w:pPr>
      <w:r>
        <w:rPr>
          <w:rFonts w:ascii="Arial" w:cs="Arial" w:eastAsia="Arial" w:hAnsi="Arial"/>
          <w:sz w:val="20"/>
          <w:szCs w:val="20"/>
          <w:color w:val="auto"/>
        </w:rPr>
        <w:t>as Syndication Agents,</w:t>
      </w:r>
    </w:p>
    <w:p>
      <w:pPr>
        <w:spacing w:after="0" w:line="14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BANK OF THE WEST,</w:t>
      </w:r>
    </w:p>
    <w:p>
      <w:pPr>
        <w:ind w:left="4600"/>
        <w:spacing w:after="0" w:line="211" w:lineRule="auto"/>
        <w:rPr>
          <w:sz w:val="20"/>
          <w:szCs w:val="20"/>
          <w:color w:val="auto"/>
        </w:rPr>
      </w:pPr>
      <w:r>
        <w:rPr>
          <w:rFonts w:ascii="Arial" w:cs="Arial" w:eastAsia="Arial" w:hAnsi="Arial"/>
          <w:sz w:val="20"/>
          <w:szCs w:val="20"/>
          <w:color w:val="auto"/>
        </w:rPr>
        <w:t>CITIZENS BANK, N.A.,</w:t>
      </w:r>
    </w:p>
    <w:p>
      <w:pPr>
        <w:ind w:left="4620"/>
        <w:spacing w:after="0" w:line="197" w:lineRule="auto"/>
        <w:rPr>
          <w:sz w:val="20"/>
          <w:szCs w:val="20"/>
          <w:color w:val="auto"/>
        </w:rPr>
      </w:pPr>
      <w:r>
        <w:rPr>
          <w:rFonts w:ascii="Arial" w:cs="Arial" w:eastAsia="Arial" w:hAnsi="Arial"/>
          <w:sz w:val="20"/>
          <w:szCs w:val="20"/>
          <w:color w:val="auto"/>
        </w:rPr>
        <w:t>MIZUHO BANK, LTD.,</w:t>
      </w:r>
    </w:p>
    <w:p>
      <w:pPr>
        <w:ind w:left="4260"/>
        <w:spacing w:after="0" w:line="211" w:lineRule="auto"/>
        <w:rPr>
          <w:sz w:val="20"/>
          <w:szCs w:val="20"/>
          <w:color w:val="auto"/>
        </w:rPr>
      </w:pPr>
      <w:r>
        <w:rPr>
          <w:rFonts w:ascii="Arial" w:cs="Arial" w:eastAsia="Arial" w:hAnsi="Arial"/>
          <w:sz w:val="20"/>
          <w:szCs w:val="20"/>
          <w:color w:val="auto"/>
        </w:rPr>
        <w:t>THE BANK OF NOVA SCOTIA,</w:t>
      </w:r>
    </w:p>
    <w:p>
      <w:pPr>
        <w:ind w:left="3760"/>
        <w:spacing w:after="0" w:line="212" w:lineRule="auto"/>
        <w:rPr>
          <w:sz w:val="20"/>
          <w:szCs w:val="20"/>
          <w:color w:val="auto"/>
        </w:rPr>
      </w:pPr>
      <w:r>
        <w:rPr>
          <w:rFonts w:ascii="Arial" w:cs="Arial" w:eastAsia="Arial" w:hAnsi="Arial"/>
          <w:sz w:val="20"/>
          <w:szCs w:val="20"/>
          <w:color w:val="auto"/>
        </w:rPr>
        <w:t>U.S. BANK NATIONAL ASSOCIATION and</w:t>
      </w:r>
    </w:p>
    <w:p>
      <w:pPr>
        <w:ind w:left="3400"/>
        <w:spacing w:after="0" w:line="197" w:lineRule="auto"/>
        <w:rPr>
          <w:sz w:val="20"/>
          <w:szCs w:val="20"/>
          <w:color w:val="auto"/>
        </w:rPr>
      </w:pPr>
      <w:r>
        <w:rPr>
          <w:rFonts w:ascii="Arial" w:cs="Arial" w:eastAsia="Arial" w:hAnsi="Arial"/>
          <w:sz w:val="20"/>
          <w:szCs w:val="20"/>
          <w:color w:val="auto"/>
        </w:rPr>
        <w:t>WELLS FARGO BANK, NATIONAL ASSOCIATION</w:t>
      </w:r>
    </w:p>
    <w:p>
      <w:pPr>
        <w:ind w:left="4560"/>
        <w:spacing w:after="0"/>
        <w:rPr>
          <w:sz w:val="20"/>
          <w:szCs w:val="20"/>
          <w:color w:val="auto"/>
        </w:rPr>
      </w:pPr>
      <w:r>
        <w:rPr>
          <w:rFonts w:ascii="Arial" w:cs="Arial" w:eastAsia="Arial" w:hAnsi="Arial"/>
          <w:sz w:val="20"/>
          <w:szCs w:val="20"/>
          <w:color w:val="auto"/>
        </w:rPr>
        <w:t>as Documentation Agents,</w:t>
      </w:r>
    </w:p>
    <w:p>
      <w:pPr>
        <w:spacing w:after="0" w:line="173"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and</w:t>
      </w:r>
    </w:p>
    <w:p>
      <w:pPr>
        <w:spacing w:after="0" w:line="164"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KEYBANC CAPITAL MARKETS INC.,</w:t>
      </w:r>
    </w:p>
    <w:p>
      <w:pPr>
        <w:ind w:left="4640"/>
        <w:spacing w:after="0" w:line="211" w:lineRule="auto"/>
        <w:rPr>
          <w:sz w:val="20"/>
          <w:szCs w:val="20"/>
          <w:color w:val="auto"/>
        </w:rPr>
      </w:pPr>
      <w:r>
        <w:rPr>
          <w:rFonts w:ascii="Arial" w:cs="Arial" w:eastAsia="Arial" w:hAnsi="Arial"/>
          <w:sz w:val="20"/>
          <w:szCs w:val="20"/>
          <w:color w:val="auto"/>
        </w:rPr>
        <w:t>BANK OF THE WEST,</w:t>
      </w:r>
    </w:p>
    <w:p>
      <w:pPr>
        <w:ind w:left="4600"/>
        <w:spacing w:after="0" w:line="211" w:lineRule="auto"/>
        <w:rPr>
          <w:sz w:val="20"/>
          <w:szCs w:val="20"/>
          <w:color w:val="auto"/>
        </w:rPr>
      </w:pPr>
      <w:r>
        <w:rPr>
          <w:rFonts w:ascii="Arial" w:cs="Arial" w:eastAsia="Arial" w:hAnsi="Arial"/>
          <w:sz w:val="20"/>
          <w:szCs w:val="20"/>
          <w:color w:val="auto"/>
        </w:rPr>
        <w:t>CITIZENS BANK, N.A.,</w:t>
      </w:r>
    </w:p>
    <w:p>
      <w:pPr>
        <w:ind w:left="4620"/>
        <w:spacing w:after="0" w:line="197" w:lineRule="auto"/>
        <w:rPr>
          <w:sz w:val="20"/>
          <w:szCs w:val="20"/>
          <w:color w:val="auto"/>
        </w:rPr>
      </w:pPr>
      <w:r>
        <w:rPr>
          <w:rFonts w:ascii="Arial" w:cs="Arial" w:eastAsia="Arial" w:hAnsi="Arial"/>
          <w:sz w:val="20"/>
          <w:szCs w:val="20"/>
          <w:color w:val="auto"/>
        </w:rPr>
        <w:t>MIZUHO BANK, LTD.,</w:t>
      </w:r>
    </w:p>
    <w:p>
      <w:pPr>
        <w:ind w:left="4220"/>
        <w:spacing w:after="0" w:line="212" w:lineRule="auto"/>
        <w:rPr>
          <w:sz w:val="20"/>
          <w:szCs w:val="20"/>
          <w:color w:val="auto"/>
        </w:rPr>
      </w:pPr>
      <w:r>
        <w:rPr>
          <w:rFonts w:ascii="Arial" w:cs="Arial" w:eastAsia="Arial" w:hAnsi="Arial"/>
          <w:sz w:val="20"/>
          <w:szCs w:val="20"/>
          <w:color w:val="auto"/>
        </w:rPr>
        <w:t>PNC CAPITAL MARKETS, LLC,</w:t>
      </w:r>
    </w:p>
    <w:p>
      <w:pPr>
        <w:ind w:left="4260"/>
        <w:spacing w:after="0" w:line="211" w:lineRule="auto"/>
        <w:rPr>
          <w:sz w:val="20"/>
          <w:szCs w:val="20"/>
          <w:color w:val="auto"/>
        </w:rPr>
      </w:pPr>
      <w:r>
        <w:rPr>
          <w:rFonts w:ascii="Arial" w:cs="Arial" w:eastAsia="Arial" w:hAnsi="Arial"/>
          <w:sz w:val="20"/>
          <w:szCs w:val="20"/>
          <w:color w:val="auto"/>
        </w:rPr>
        <w:t>THE BANK OF NOVA SCOTIA,</w:t>
      </w:r>
    </w:p>
    <w:p>
      <w:pPr>
        <w:ind w:left="4360"/>
        <w:spacing w:after="0" w:line="197" w:lineRule="auto"/>
        <w:rPr>
          <w:sz w:val="20"/>
          <w:szCs w:val="20"/>
          <w:color w:val="auto"/>
        </w:rPr>
      </w:pPr>
      <w:r>
        <w:rPr>
          <w:rFonts w:ascii="Arial" w:cs="Arial" w:eastAsia="Arial" w:hAnsi="Arial"/>
          <w:sz w:val="20"/>
          <w:szCs w:val="20"/>
          <w:color w:val="auto"/>
        </w:rPr>
        <w:t>TD SECURITIES (USA) LLC,</w:t>
      </w:r>
    </w:p>
    <w:p>
      <w:pPr>
        <w:ind w:left="3760"/>
        <w:spacing w:after="0" w:line="212" w:lineRule="auto"/>
        <w:rPr>
          <w:sz w:val="20"/>
          <w:szCs w:val="20"/>
          <w:color w:val="auto"/>
        </w:rPr>
      </w:pPr>
      <w:r>
        <w:rPr>
          <w:rFonts w:ascii="Arial" w:cs="Arial" w:eastAsia="Arial" w:hAnsi="Arial"/>
          <w:sz w:val="20"/>
          <w:szCs w:val="20"/>
          <w:color w:val="auto"/>
        </w:rPr>
        <w:t>U.S. BANK NATIONAL ASSOCIATION and</w:t>
      </w:r>
    </w:p>
    <w:p>
      <w:pPr>
        <w:ind w:left="4080"/>
        <w:spacing w:after="0" w:line="197" w:lineRule="auto"/>
        <w:rPr>
          <w:sz w:val="20"/>
          <w:szCs w:val="20"/>
          <w:color w:val="auto"/>
        </w:rPr>
      </w:pPr>
      <w:r>
        <w:rPr>
          <w:rFonts w:ascii="Arial" w:cs="Arial" w:eastAsia="Arial" w:hAnsi="Arial"/>
          <w:sz w:val="20"/>
          <w:szCs w:val="20"/>
          <w:color w:val="auto"/>
        </w:rPr>
        <w:t>WELLS FARGO SECURITIES, LLC,</w:t>
      </w:r>
    </w:p>
    <w:p>
      <w:pPr>
        <w:jc w:val="center"/>
        <w:ind w:right="20"/>
        <w:spacing w:after="0"/>
        <w:rPr>
          <w:sz w:val="20"/>
          <w:szCs w:val="20"/>
          <w:color w:val="auto"/>
        </w:rPr>
      </w:pPr>
      <w:r>
        <w:rPr>
          <w:rFonts w:ascii="Arial" w:cs="Arial" w:eastAsia="Arial" w:hAnsi="Arial"/>
          <w:sz w:val="20"/>
          <w:szCs w:val="20"/>
          <w:color w:val="auto"/>
        </w:rPr>
        <w:t>as Joint Bookrunners and Joint Lead Arrangers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$1,290,000,000 Revolving Facility</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$850,000,000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40" w:top="108" w:right="339" w:bottom="1440" w:gutter="0" w:footer="0" w:header="0"/>
        </w:sectPr>
      </w:pPr>
    </w:p>
    <w:bookmarkStart w:id="124" w:name="page125"/>
    <w:bookmarkEnd w:id="124"/>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60" w:type="dxa"/>
            <w:vAlign w:val="bottom"/>
            <w:gridSpan w:val="2"/>
          </w:tcPr>
          <w:p>
            <w:pPr>
              <w:spacing w:after="0"/>
              <w:rPr>
                <w:sz w:val="20"/>
                <w:szCs w:val="20"/>
                <w:color w:val="auto"/>
              </w:rPr>
            </w:pPr>
            <w:r>
              <w:rPr>
                <w:rFonts w:ascii="Arial" w:cs="Arial" w:eastAsia="Arial" w:hAnsi="Arial"/>
                <w:sz w:val="20"/>
                <w:szCs w:val="20"/>
                <w:color w:val="auto"/>
              </w:rPr>
              <w:t>Article I Definitions</w:t>
            </w:r>
          </w:p>
        </w:tc>
        <w:tc>
          <w:tcPr>
            <w:tcW w:w="880" w:type="dxa"/>
            <w:vAlign w:val="bottom"/>
            <w:gridSpan w:val="2"/>
          </w:tcPr>
          <w:p>
            <w:pPr>
              <w:ind w:left="60"/>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9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1.01</w:t>
            </w:r>
          </w:p>
        </w:tc>
        <w:tc>
          <w:tcPr>
            <w:tcW w:w="8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20"/>
                <w:szCs w:val="20"/>
                <w:color w:val="auto"/>
                <w:w w:val="91"/>
              </w:rPr>
              <w:t>Defined Terms</w:t>
            </w:r>
          </w:p>
        </w:tc>
        <w:tc>
          <w:tcPr>
            <w:tcW w:w="360" w:type="dxa"/>
            <w:vAlign w:val="bottom"/>
            <w:gridSpan w:val="2"/>
          </w:tcPr>
          <w:p>
            <w:pPr>
              <w:jc w:val="right"/>
              <w:ind w:right="1"/>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1.02</w:t>
            </w:r>
          </w:p>
        </w:tc>
        <w:tc>
          <w:tcPr>
            <w:tcW w:w="80" w:type="dxa"/>
            <w:vAlign w:val="bottom"/>
          </w:tcPr>
          <w:p>
            <w:pPr>
              <w:spacing w:after="0"/>
              <w:rPr>
                <w:sz w:val="24"/>
                <w:szCs w:val="24"/>
                <w:color w:val="auto"/>
              </w:rPr>
            </w:pPr>
          </w:p>
        </w:tc>
        <w:tc>
          <w:tcPr>
            <w:tcW w:w="3320" w:type="dxa"/>
            <w:vAlign w:val="bottom"/>
            <w:gridSpan w:val="22"/>
          </w:tcPr>
          <w:p>
            <w:pPr>
              <w:spacing w:after="0"/>
              <w:rPr>
                <w:sz w:val="20"/>
                <w:szCs w:val="20"/>
                <w:color w:val="auto"/>
              </w:rPr>
            </w:pPr>
            <w:r>
              <w:rPr>
                <w:rFonts w:ascii="Arial" w:cs="Arial" w:eastAsia="Arial" w:hAnsi="Arial"/>
                <w:sz w:val="20"/>
                <w:szCs w:val="20"/>
                <w:color w:val="auto"/>
                <w:w w:val="95"/>
              </w:rPr>
              <w:t>Classification of Loans and Borrowings</w:t>
            </w:r>
          </w:p>
        </w:tc>
        <w:tc>
          <w:tcPr>
            <w:tcW w:w="400" w:type="dxa"/>
            <w:vAlign w:val="bottom"/>
            <w:gridSpan w:val="3"/>
          </w:tcPr>
          <w:p>
            <w:pPr>
              <w:jc w:val="right"/>
              <w:ind w:right="61"/>
              <w:spacing w:after="0"/>
              <w:rPr>
                <w:sz w:val="20"/>
                <w:szCs w:val="20"/>
                <w:color w:val="auto"/>
              </w:rPr>
            </w:pPr>
            <w:r>
              <w:rPr>
                <w:rFonts w:ascii="Arial" w:cs="Arial" w:eastAsia="Arial" w:hAnsi="Arial"/>
                <w:sz w:val="20"/>
                <w:szCs w:val="20"/>
                <w:color w:val="auto"/>
                <w:w w:val="98"/>
              </w:rPr>
              <w:t>32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1.03</w:t>
            </w:r>
          </w:p>
        </w:tc>
        <w:tc>
          <w:tcPr>
            <w:tcW w:w="1500" w:type="dxa"/>
            <w:vAlign w:val="bottom"/>
            <w:gridSpan w:val="6"/>
          </w:tcPr>
          <w:p>
            <w:pPr>
              <w:ind w:left="80"/>
              <w:spacing w:after="0"/>
              <w:rPr>
                <w:sz w:val="20"/>
                <w:szCs w:val="20"/>
                <w:color w:val="auto"/>
              </w:rPr>
            </w:pPr>
            <w:r>
              <w:rPr>
                <w:rFonts w:ascii="Arial" w:cs="Arial" w:eastAsia="Arial" w:hAnsi="Arial"/>
                <w:sz w:val="20"/>
                <w:szCs w:val="20"/>
                <w:color w:val="auto"/>
                <w:w w:val="94"/>
              </w:rPr>
              <w:t>Terms Generally</w:t>
            </w: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1.04</w:t>
            </w:r>
          </w:p>
        </w:tc>
        <w:tc>
          <w:tcPr>
            <w:tcW w:w="2380" w:type="dxa"/>
            <w:vAlign w:val="bottom"/>
            <w:gridSpan w:val="18"/>
          </w:tcPr>
          <w:p>
            <w:pPr>
              <w:ind w:left="80"/>
              <w:spacing w:after="0"/>
              <w:rPr>
                <w:sz w:val="20"/>
                <w:szCs w:val="20"/>
                <w:color w:val="auto"/>
              </w:rPr>
            </w:pPr>
            <w:r>
              <w:rPr>
                <w:rFonts w:ascii="Arial" w:cs="Arial" w:eastAsia="Arial" w:hAnsi="Arial"/>
                <w:sz w:val="20"/>
                <w:szCs w:val="20"/>
                <w:color w:val="auto"/>
              </w:rPr>
              <w:t>Accounting Terms; GAAP</w:t>
            </w:r>
          </w:p>
        </w:tc>
        <w:tc>
          <w:tcPr>
            <w:tcW w:w="280" w:type="dxa"/>
            <w:vAlign w:val="bottom"/>
            <w:gridSpan w:val="4"/>
          </w:tcPr>
          <w:p>
            <w:pPr>
              <w:jc w:val="right"/>
              <w:ind w:right="1"/>
              <w:spacing w:after="0"/>
              <w:rPr>
                <w:sz w:val="20"/>
                <w:szCs w:val="20"/>
                <w:color w:val="auto"/>
              </w:rPr>
            </w:pPr>
            <w:r>
              <w:rPr>
                <w:rFonts w:ascii="Arial" w:cs="Arial" w:eastAsia="Arial" w:hAnsi="Arial"/>
                <w:sz w:val="20"/>
                <w:szCs w:val="20"/>
                <w:color w:val="auto"/>
                <w:w w:val="71"/>
              </w:rPr>
              <w:t>32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6"/>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1.05</w:t>
            </w:r>
          </w:p>
        </w:tc>
        <w:tc>
          <w:tcPr>
            <w:tcW w:w="80" w:type="dxa"/>
            <w:vAlign w:val="bottom"/>
          </w:tcPr>
          <w:p>
            <w:pPr>
              <w:spacing w:after="0"/>
              <w:rPr>
                <w:sz w:val="23"/>
                <w:szCs w:val="23"/>
                <w:color w:val="auto"/>
              </w:rPr>
            </w:pPr>
          </w:p>
        </w:tc>
        <w:tc>
          <w:tcPr>
            <w:tcW w:w="1880" w:type="dxa"/>
            <w:vAlign w:val="bottom"/>
            <w:gridSpan w:val="9"/>
          </w:tcPr>
          <w:p>
            <w:pPr>
              <w:spacing w:after="0"/>
              <w:rPr>
                <w:sz w:val="20"/>
                <w:szCs w:val="20"/>
                <w:color w:val="auto"/>
              </w:rPr>
            </w:pPr>
            <w:r>
              <w:rPr>
                <w:rFonts w:ascii="Arial" w:cs="Arial" w:eastAsia="Arial" w:hAnsi="Arial"/>
                <w:sz w:val="20"/>
                <w:szCs w:val="20"/>
                <w:color w:val="auto"/>
                <w:w w:val="97"/>
              </w:rPr>
              <w:t>Currency Equivalents</w:t>
            </w:r>
          </w:p>
        </w:tc>
        <w:tc>
          <w:tcPr>
            <w:tcW w:w="40" w:type="dxa"/>
            <w:vAlign w:val="bottom"/>
          </w:tcPr>
          <w:p>
            <w:pPr>
              <w:spacing w:after="0"/>
              <w:rPr>
                <w:sz w:val="23"/>
                <w:szCs w:val="23"/>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32</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33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1.06</w:t>
            </w:r>
          </w:p>
        </w:tc>
        <w:tc>
          <w:tcPr>
            <w:tcW w:w="80" w:type="dxa"/>
            <w:vAlign w:val="bottom"/>
          </w:tcPr>
          <w:p>
            <w:pPr>
              <w:spacing w:after="0"/>
              <w:rPr>
                <w:sz w:val="24"/>
                <w:szCs w:val="24"/>
                <w:color w:val="auto"/>
              </w:rPr>
            </w:pPr>
          </w:p>
        </w:tc>
        <w:tc>
          <w:tcPr>
            <w:tcW w:w="1620" w:type="dxa"/>
            <w:vAlign w:val="bottom"/>
            <w:gridSpan w:val="7"/>
          </w:tcPr>
          <w:p>
            <w:pPr>
              <w:spacing w:after="0"/>
              <w:rPr>
                <w:sz w:val="20"/>
                <w:szCs w:val="20"/>
                <w:color w:val="auto"/>
              </w:rPr>
            </w:pPr>
            <w:r>
              <w:rPr>
                <w:rFonts w:ascii="Arial" w:cs="Arial" w:eastAsia="Arial" w:hAnsi="Arial"/>
                <w:sz w:val="20"/>
                <w:szCs w:val="20"/>
                <w:color w:val="FF0000"/>
                <w:strike w:val="1"/>
                <w:w w:val="96"/>
              </w:rPr>
              <w:t>LIBOR Notification</w:t>
            </w:r>
          </w:p>
        </w:tc>
        <w:tc>
          <w:tcPr>
            <w:tcW w:w="440" w:type="dxa"/>
            <w:vAlign w:val="bottom"/>
            <w:gridSpan w:val="5"/>
          </w:tcPr>
          <w:p>
            <w:pPr>
              <w:spacing w:after="0"/>
              <w:rPr>
                <w:sz w:val="20"/>
                <w:szCs w:val="20"/>
                <w:color w:val="auto"/>
              </w:rPr>
            </w:pPr>
            <w:r>
              <w:rPr>
                <w:rFonts w:ascii="Arial" w:cs="Arial" w:eastAsia="Arial" w:hAnsi="Arial"/>
                <w:sz w:val="20"/>
                <w:szCs w:val="20"/>
                <w:color w:val="0000FF"/>
                <w:w w:val="80"/>
              </w:rPr>
              <w:t>Rates</w:t>
            </w:r>
          </w:p>
        </w:tc>
        <w:tc>
          <w:tcPr>
            <w:tcW w:w="520" w:type="dxa"/>
            <w:vAlign w:val="bottom"/>
            <w:gridSpan w:val="9"/>
          </w:tcPr>
          <w:p>
            <w:pPr>
              <w:jc w:val="right"/>
              <w:ind w:right="41"/>
              <w:spacing w:after="0"/>
              <w:rPr>
                <w:sz w:val="20"/>
                <w:szCs w:val="20"/>
                <w:color w:val="auto"/>
              </w:rPr>
            </w:pPr>
            <w:r>
              <w:rPr>
                <w:rFonts w:ascii="Arial" w:cs="Arial" w:eastAsia="Arial" w:hAnsi="Arial"/>
                <w:sz w:val="20"/>
                <w:szCs w:val="20"/>
                <w:color w:val="auto"/>
              </w:rPr>
              <w:t>33</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1.07</w:t>
            </w:r>
          </w:p>
        </w:tc>
        <w:tc>
          <w:tcPr>
            <w:tcW w:w="8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20"/>
                <w:szCs w:val="20"/>
                <w:color w:val="auto"/>
              </w:rPr>
              <w:t>Dutch Terms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33</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34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1.08</w:t>
            </w:r>
          </w:p>
        </w:tc>
        <w:tc>
          <w:tcPr>
            <w:tcW w:w="8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w w:val="90"/>
              </w:rPr>
              <w:t>Hungarian Terms</w:t>
            </w: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1.09</w:t>
            </w:r>
          </w:p>
        </w:tc>
        <w:tc>
          <w:tcPr>
            <w:tcW w:w="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20"/>
                <w:szCs w:val="20"/>
                <w:color w:val="auto"/>
                <w:w w:val="97"/>
              </w:rPr>
              <w:t>Divisions</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35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FF0000"/>
                <w:strike w:val="1"/>
                <w:w w:val="97"/>
              </w:rPr>
              <w:t>Section 1.10</w:t>
            </w:r>
          </w:p>
        </w:tc>
        <w:tc>
          <w:tcPr>
            <w:tcW w:w="80" w:type="dxa"/>
            <w:vAlign w:val="bottom"/>
          </w:tcPr>
          <w:p>
            <w:pPr>
              <w:spacing w:after="0"/>
              <w:rPr>
                <w:sz w:val="24"/>
                <w:szCs w:val="24"/>
                <w:color w:val="auto"/>
              </w:rPr>
            </w:pPr>
          </w:p>
        </w:tc>
        <w:tc>
          <w:tcPr>
            <w:tcW w:w="1920" w:type="dxa"/>
            <w:vAlign w:val="bottom"/>
            <w:gridSpan w:val="10"/>
          </w:tcPr>
          <w:p>
            <w:pPr>
              <w:spacing w:after="0"/>
              <w:rPr>
                <w:sz w:val="20"/>
                <w:szCs w:val="20"/>
                <w:color w:val="auto"/>
              </w:rPr>
            </w:pPr>
            <w:r>
              <w:rPr>
                <w:rFonts w:ascii="Arial" w:cs="Arial" w:eastAsia="Arial" w:hAnsi="Arial"/>
                <w:sz w:val="20"/>
                <w:szCs w:val="20"/>
                <w:color w:val="FF0000"/>
                <w:strike w:val="1"/>
                <w:w w:val="92"/>
              </w:rPr>
              <w:t>Benchmark Notification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5"/>
          </w:tcPr>
          <w:p>
            <w:pPr>
              <w:jc w:val="right"/>
              <w:spacing w:after="0"/>
              <w:rPr>
                <w:sz w:val="20"/>
                <w:szCs w:val="20"/>
                <w:color w:val="auto"/>
              </w:rPr>
            </w:pPr>
            <w:r>
              <w:rPr>
                <w:rFonts w:ascii="Arial" w:cs="Arial" w:eastAsia="Arial" w:hAnsi="Arial"/>
                <w:sz w:val="20"/>
                <w:szCs w:val="20"/>
                <w:color w:val="FF0000"/>
                <w:strike w:val="1"/>
                <w:w w:val="98"/>
              </w:rPr>
              <w:t>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1760" w:type="dxa"/>
            <w:vAlign w:val="bottom"/>
            <w:gridSpan w:val="2"/>
          </w:tcPr>
          <w:p>
            <w:pPr>
              <w:spacing w:after="0"/>
              <w:rPr>
                <w:sz w:val="20"/>
                <w:szCs w:val="20"/>
                <w:color w:val="auto"/>
              </w:rPr>
            </w:pPr>
            <w:r>
              <w:rPr>
                <w:rFonts w:ascii="Arial" w:cs="Arial" w:eastAsia="Arial" w:hAnsi="Arial"/>
                <w:sz w:val="20"/>
                <w:szCs w:val="20"/>
                <w:color w:val="auto"/>
                <w:w w:val="96"/>
              </w:rPr>
              <w:t>Article II The Credits</w:t>
            </w:r>
          </w:p>
        </w:tc>
        <w:tc>
          <w:tcPr>
            <w:tcW w:w="880" w:type="dxa"/>
            <w:vAlign w:val="bottom"/>
            <w:gridSpan w:val="2"/>
          </w:tcPr>
          <w:p>
            <w:pPr>
              <w:ind w:left="160"/>
              <w:spacing w:after="0"/>
              <w:rPr>
                <w:sz w:val="20"/>
                <w:szCs w:val="20"/>
                <w:color w:val="auto"/>
              </w:rPr>
            </w:pPr>
            <w:r>
              <w:rPr>
                <w:rFonts w:ascii="Arial" w:cs="Arial" w:eastAsia="Arial" w:hAnsi="Arial"/>
                <w:sz w:val="20"/>
                <w:szCs w:val="20"/>
                <w:color w:val="auto"/>
              </w:rPr>
              <w:t>35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2.01</w:t>
            </w:r>
          </w:p>
        </w:tc>
        <w:tc>
          <w:tcPr>
            <w:tcW w:w="8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20"/>
                <w:szCs w:val="20"/>
                <w:color w:val="auto"/>
                <w:w w:val="97"/>
              </w:rPr>
              <w:t>Commitments</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35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6"/>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2.02</w:t>
            </w:r>
          </w:p>
        </w:tc>
        <w:tc>
          <w:tcPr>
            <w:tcW w:w="80" w:type="dxa"/>
            <w:vAlign w:val="bottom"/>
          </w:tcPr>
          <w:p>
            <w:pPr>
              <w:spacing w:after="0"/>
              <w:rPr>
                <w:sz w:val="23"/>
                <w:szCs w:val="23"/>
                <w:color w:val="auto"/>
              </w:rPr>
            </w:pPr>
          </w:p>
        </w:tc>
        <w:tc>
          <w:tcPr>
            <w:tcW w:w="1880" w:type="dxa"/>
            <w:vAlign w:val="bottom"/>
            <w:gridSpan w:val="9"/>
          </w:tcPr>
          <w:p>
            <w:pPr>
              <w:spacing w:after="0"/>
              <w:rPr>
                <w:sz w:val="20"/>
                <w:szCs w:val="20"/>
                <w:color w:val="auto"/>
              </w:rPr>
            </w:pPr>
            <w:r>
              <w:rPr>
                <w:rFonts w:ascii="Arial" w:cs="Arial" w:eastAsia="Arial" w:hAnsi="Arial"/>
                <w:sz w:val="20"/>
                <w:szCs w:val="20"/>
                <w:color w:val="auto"/>
                <w:w w:val="93"/>
              </w:rPr>
              <w:t>Loans and Borrowings</w:t>
            </w:r>
          </w:p>
        </w:tc>
        <w:tc>
          <w:tcPr>
            <w:tcW w:w="160" w:type="dxa"/>
            <w:vAlign w:val="bottom"/>
            <w:gridSpan w:val="2"/>
          </w:tcPr>
          <w:p>
            <w:pPr>
              <w:spacing w:after="0"/>
              <w:rPr>
                <w:sz w:val="23"/>
                <w:szCs w:val="23"/>
                <w:color w:val="auto"/>
              </w:rPr>
            </w:pPr>
          </w:p>
        </w:tc>
        <w:tc>
          <w:tcPr>
            <w:tcW w:w="160" w:type="dxa"/>
            <w:vAlign w:val="bottom"/>
            <w:gridSpan w:val="4"/>
          </w:tcPr>
          <w:p>
            <w:pPr>
              <w:jc w:val="right"/>
              <w:spacing w:after="0"/>
              <w:rPr>
                <w:sz w:val="20"/>
                <w:szCs w:val="20"/>
                <w:color w:val="auto"/>
              </w:rPr>
            </w:pPr>
            <w:r>
              <w:rPr>
                <w:rFonts w:ascii="Arial" w:cs="Arial" w:eastAsia="Arial" w:hAnsi="Arial"/>
                <w:sz w:val="16"/>
                <w:szCs w:val="16"/>
                <w:color w:val="FF0000"/>
                <w:strike w:val="1"/>
                <w:w w:val="78"/>
              </w:rPr>
              <w:t>35</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36</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2.03</w:t>
            </w:r>
          </w:p>
        </w:tc>
        <w:tc>
          <w:tcPr>
            <w:tcW w:w="80" w:type="dxa"/>
            <w:vAlign w:val="bottom"/>
          </w:tcPr>
          <w:p>
            <w:pPr>
              <w:spacing w:after="0"/>
              <w:rPr>
                <w:sz w:val="24"/>
                <w:szCs w:val="24"/>
                <w:color w:val="auto"/>
              </w:rPr>
            </w:pPr>
          </w:p>
        </w:tc>
        <w:tc>
          <w:tcPr>
            <w:tcW w:w="2060" w:type="dxa"/>
            <w:vAlign w:val="bottom"/>
            <w:gridSpan w:val="12"/>
          </w:tcPr>
          <w:p>
            <w:pPr>
              <w:spacing w:after="0"/>
              <w:rPr>
                <w:sz w:val="20"/>
                <w:szCs w:val="20"/>
                <w:color w:val="auto"/>
              </w:rPr>
            </w:pPr>
            <w:r>
              <w:rPr>
                <w:rFonts w:ascii="Arial" w:cs="Arial" w:eastAsia="Arial" w:hAnsi="Arial"/>
                <w:sz w:val="20"/>
                <w:szCs w:val="20"/>
                <w:color w:val="auto"/>
                <w:w w:val="93"/>
              </w:rPr>
              <w:t>Requests for Borrowings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5"/>
          </w:tcPr>
          <w:p>
            <w:pPr>
              <w:jc w:val="right"/>
              <w:spacing w:after="0"/>
              <w:rPr>
                <w:sz w:val="20"/>
                <w:szCs w:val="20"/>
                <w:color w:val="auto"/>
              </w:rPr>
            </w:pPr>
            <w:r>
              <w:rPr>
                <w:rFonts w:ascii="Arial" w:cs="Arial" w:eastAsia="Arial" w:hAnsi="Arial"/>
                <w:sz w:val="20"/>
                <w:szCs w:val="20"/>
                <w:color w:val="FF0000"/>
                <w:strike w:val="1"/>
              </w:rPr>
              <w:t>36</w:t>
            </w:r>
          </w:p>
        </w:tc>
        <w:tc>
          <w:tcPr>
            <w:tcW w:w="940" w:type="dxa"/>
            <w:vAlign w:val="bottom"/>
            <w:gridSpan w:val="3"/>
          </w:tcPr>
          <w:p>
            <w:pPr>
              <w:spacing w:after="0"/>
              <w:rPr>
                <w:sz w:val="20"/>
                <w:szCs w:val="20"/>
                <w:color w:val="auto"/>
              </w:rPr>
            </w:pPr>
            <w:r>
              <w:rPr>
                <w:rFonts w:ascii="Arial" w:cs="Arial" w:eastAsia="Arial" w:hAnsi="Arial"/>
                <w:sz w:val="20"/>
                <w:szCs w:val="20"/>
                <w:color w:val="0000FF"/>
              </w:rPr>
              <w:t>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2"/>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2.04</w:t>
            </w:r>
          </w:p>
        </w:tc>
        <w:tc>
          <w:tcPr>
            <w:tcW w:w="8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Arial" w:cs="Arial" w:eastAsia="Arial" w:hAnsi="Arial"/>
                <w:sz w:val="20"/>
                <w:szCs w:val="20"/>
                <w:color w:val="auto"/>
                <w:w w:val="99"/>
              </w:rPr>
              <w:t>Incremental Facilities</w:t>
            </w:r>
          </w:p>
        </w:tc>
        <w:tc>
          <w:tcPr>
            <w:tcW w:w="240" w:type="dxa"/>
            <w:vAlign w:val="bottom"/>
            <w:gridSpan w:val="5"/>
          </w:tcPr>
          <w:p>
            <w:pPr>
              <w:jc w:val="right"/>
              <w:spacing w:after="0"/>
              <w:rPr>
                <w:sz w:val="20"/>
                <w:szCs w:val="20"/>
                <w:color w:val="auto"/>
              </w:rPr>
            </w:pPr>
            <w:r>
              <w:rPr>
                <w:rFonts w:ascii="Arial" w:cs="Arial" w:eastAsia="Arial" w:hAnsi="Arial"/>
                <w:sz w:val="20"/>
                <w:szCs w:val="20"/>
                <w:color w:val="auto"/>
                <w:w w:val="98"/>
              </w:rPr>
              <w:t>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2.05</w:t>
            </w:r>
          </w:p>
        </w:tc>
        <w:tc>
          <w:tcPr>
            <w:tcW w:w="8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w w:val="96"/>
              </w:rPr>
              <w:t>Swingline Loans</w:t>
            </w: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2.06</w:t>
            </w:r>
          </w:p>
        </w:tc>
        <w:tc>
          <w:tcPr>
            <w:tcW w:w="8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w w:val="98"/>
              </w:rPr>
              <w:t>Letters of Credit</w:t>
            </w:r>
          </w:p>
        </w:tc>
        <w:tc>
          <w:tcPr>
            <w:tcW w:w="360" w:type="dxa"/>
            <w:vAlign w:val="bottom"/>
            <w:gridSpan w:val="3"/>
          </w:tcPr>
          <w:p>
            <w:pPr>
              <w:jc w:val="right"/>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2.07</w:t>
            </w:r>
          </w:p>
        </w:tc>
        <w:tc>
          <w:tcPr>
            <w:tcW w:w="8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Arial" w:cs="Arial" w:eastAsia="Arial" w:hAnsi="Arial"/>
                <w:sz w:val="20"/>
                <w:szCs w:val="20"/>
                <w:color w:val="auto"/>
                <w:w w:val="92"/>
              </w:rPr>
              <w:t>Funding of Borrowings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auto"/>
                <w:w w:val="80"/>
              </w:rPr>
              <w:t>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6"/>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2.08</w:t>
            </w:r>
          </w:p>
        </w:tc>
        <w:tc>
          <w:tcPr>
            <w:tcW w:w="80" w:type="dxa"/>
            <w:vAlign w:val="bottom"/>
          </w:tcPr>
          <w:p>
            <w:pPr>
              <w:spacing w:after="0"/>
              <w:rPr>
                <w:sz w:val="23"/>
                <w:szCs w:val="23"/>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w w:val="91"/>
              </w:rPr>
              <w:t>Interest Elections</w:t>
            </w:r>
          </w:p>
        </w:tc>
        <w:tc>
          <w:tcPr>
            <w:tcW w:w="1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44</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45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2.09</w:t>
            </w:r>
          </w:p>
        </w:tc>
        <w:tc>
          <w:tcPr>
            <w:tcW w:w="4100" w:type="dxa"/>
            <w:vAlign w:val="bottom"/>
            <w:gridSpan w:val="28"/>
          </w:tcPr>
          <w:p>
            <w:pPr>
              <w:ind w:left="80"/>
              <w:spacing w:after="0"/>
              <w:rPr>
                <w:sz w:val="20"/>
                <w:szCs w:val="20"/>
                <w:color w:val="auto"/>
              </w:rPr>
            </w:pPr>
            <w:r>
              <w:rPr>
                <w:rFonts w:ascii="Arial" w:cs="Arial" w:eastAsia="Arial" w:hAnsi="Arial"/>
                <w:sz w:val="20"/>
                <w:szCs w:val="20"/>
                <w:color w:val="auto"/>
                <w:w w:val="94"/>
              </w:rPr>
              <w:t>Termination and Reduction of Commitments  46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3"/>
        </w:trPr>
        <w:tc>
          <w:tcPr>
            <w:tcW w:w="66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2.10</w:t>
            </w:r>
          </w:p>
        </w:tc>
        <w:tc>
          <w:tcPr>
            <w:tcW w:w="80" w:type="dxa"/>
            <w:vAlign w:val="bottom"/>
          </w:tcPr>
          <w:p>
            <w:pPr>
              <w:spacing w:after="0"/>
              <w:rPr>
                <w:sz w:val="21"/>
                <w:szCs w:val="21"/>
                <w:color w:val="auto"/>
              </w:rPr>
            </w:pPr>
          </w:p>
        </w:tc>
        <w:tc>
          <w:tcPr>
            <w:tcW w:w="3320" w:type="dxa"/>
            <w:vAlign w:val="bottom"/>
            <w:gridSpan w:val="22"/>
          </w:tcPr>
          <w:p>
            <w:pPr>
              <w:spacing w:after="0"/>
              <w:rPr>
                <w:sz w:val="20"/>
                <w:szCs w:val="20"/>
                <w:color w:val="auto"/>
              </w:rPr>
            </w:pPr>
            <w:r>
              <w:rPr>
                <w:rFonts w:ascii="Arial" w:cs="Arial" w:eastAsia="Arial" w:hAnsi="Arial"/>
                <w:sz w:val="20"/>
                <w:szCs w:val="20"/>
                <w:color w:val="auto"/>
                <w:w w:val="94"/>
              </w:rPr>
              <w:t>Repayment of Loans; Evidence of Debt</w:t>
            </w:r>
          </w:p>
        </w:tc>
        <w:tc>
          <w:tcPr>
            <w:tcW w:w="2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46</w:t>
            </w:r>
          </w:p>
        </w:tc>
        <w:tc>
          <w:tcPr>
            <w:tcW w:w="480" w:type="dxa"/>
            <w:vAlign w:val="bottom"/>
            <w:gridSpan w:val="3"/>
          </w:tcPr>
          <w:p>
            <w:pPr>
              <w:jc w:val="right"/>
              <w:ind w:right="280"/>
              <w:spacing w:after="0"/>
              <w:rPr>
                <w:sz w:val="20"/>
                <w:szCs w:val="20"/>
                <w:color w:val="auto"/>
              </w:rPr>
            </w:pPr>
            <w:r>
              <w:rPr>
                <w:rFonts w:ascii="Arial" w:cs="Arial" w:eastAsia="Arial" w:hAnsi="Arial"/>
                <w:sz w:val="20"/>
                <w:szCs w:val="20"/>
                <w:color w:val="0000FF"/>
                <w:w w:val="80"/>
              </w:rPr>
              <w:t>47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9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2.11</w:t>
            </w:r>
          </w:p>
        </w:tc>
        <w:tc>
          <w:tcPr>
            <w:tcW w:w="1960" w:type="dxa"/>
            <w:vAlign w:val="bottom"/>
            <w:gridSpan w:val="10"/>
          </w:tcPr>
          <w:p>
            <w:pPr>
              <w:ind w:left="80"/>
              <w:spacing w:after="0"/>
              <w:rPr>
                <w:sz w:val="20"/>
                <w:szCs w:val="20"/>
                <w:color w:val="auto"/>
              </w:rPr>
            </w:pPr>
            <w:r>
              <w:rPr>
                <w:rFonts w:ascii="Arial" w:cs="Arial" w:eastAsia="Arial" w:hAnsi="Arial"/>
                <w:sz w:val="20"/>
                <w:szCs w:val="20"/>
                <w:color w:val="auto"/>
                <w:w w:val="97"/>
              </w:rPr>
              <w:t>Prepayment of Loans</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47</w:t>
            </w:r>
          </w:p>
        </w:tc>
        <w:tc>
          <w:tcPr>
            <w:tcW w:w="220" w:type="dxa"/>
            <w:vAlign w:val="bottom"/>
            <w:gridSpan w:val="4"/>
          </w:tcPr>
          <w:p>
            <w:pPr>
              <w:jc w:val="right"/>
              <w:ind w:right="20"/>
              <w:spacing w:after="0"/>
              <w:rPr>
                <w:sz w:val="20"/>
                <w:szCs w:val="20"/>
                <w:color w:val="auto"/>
              </w:rPr>
            </w:pPr>
            <w:r>
              <w:rPr>
                <w:rFonts w:ascii="Arial" w:cs="Arial" w:eastAsia="Arial" w:hAnsi="Arial"/>
                <w:sz w:val="20"/>
                <w:szCs w:val="20"/>
                <w:color w:val="0000FF"/>
                <w:w w:val="80"/>
              </w:rPr>
              <w:t>48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2.12</w:t>
            </w:r>
          </w:p>
        </w:tc>
        <w:tc>
          <w:tcPr>
            <w:tcW w:w="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20"/>
                <w:szCs w:val="20"/>
                <w:color w:val="auto"/>
              </w:rPr>
              <w:t>Fees  48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3"/>
        </w:trPr>
        <w:tc>
          <w:tcPr>
            <w:tcW w:w="66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2.13</w:t>
            </w:r>
          </w:p>
        </w:tc>
        <w:tc>
          <w:tcPr>
            <w:tcW w:w="8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20"/>
                <w:szCs w:val="20"/>
                <w:color w:val="auto"/>
              </w:rPr>
              <w:t>Interest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48</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0000FF"/>
                <w:w w:val="80"/>
              </w:rPr>
              <w:t>49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2.14</w:t>
            </w:r>
          </w:p>
        </w:tc>
        <w:tc>
          <w:tcPr>
            <w:tcW w:w="80" w:type="dxa"/>
            <w:vAlign w:val="bottom"/>
          </w:tcPr>
          <w:p>
            <w:pPr>
              <w:spacing w:after="0"/>
              <w:rPr>
                <w:sz w:val="24"/>
                <w:szCs w:val="24"/>
                <w:color w:val="auto"/>
              </w:rPr>
            </w:pPr>
          </w:p>
        </w:tc>
        <w:tc>
          <w:tcPr>
            <w:tcW w:w="2040" w:type="dxa"/>
            <w:vAlign w:val="bottom"/>
            <w:gridSpan w:val="11"/>
          </w:tcPr>
          <w:p>
            <w:pPr>
              <w:spacing w:after="0"/>
              <w:rPr>
                <w:sz w:val="20"/>
                <w:szCs w:val="20"/>
                <w:color w:val="auto"/>
              </w:rPr>
            </w:pPr>
            <w:r>
              <w:rPr>
                <w:rFonts w:ascii="Arial" w:cs="Arial" w:eastAsia="Arial" w:hAnsi="Arial"/>
                <w:sz w:val="20"/>
                <w:szCs w:val="20"/>
                <w:color w:val="FF0000"/>
                <w:strike w:val="1"/>
                <w:w w:val="89"/>
              </w:rPr>
              <w:t>Alternate Rate of Interest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49</w:t>
            </w:r>
          </w:p>
        </w:tc>
        <w:tc>
          <w:tcPr>
            <w:tcW w:w="920" w:type="dxa"/>
            <w:vAlign w:val="bottom"/>
            <w:gridSpan w:val="2"/>
          </w:tcPr>
          <w:p>
            <w:pPr>
              <w:spacing w:after="0"/>
              <w:rPr>
                <w:sz w:val="20"/>
                <w:szCs w:val="20"/>
                <w:color w:val="auto"/>
              </w:rPr>
            </w:pPr>
            <w:r>
              <w:rPr>
                <w:rFonts w:ascii="Arial" w:cs="Arial" w:eastAsia="Arial" w:hAnsi="Arial"/>
                <w:sz w:val="20"/>
                <w:szCs w:val="20"/>
                <w:color w:val="0000FF"/>
                <w:w w:val="87"/>
              </w:rPr>
              <w:t>[Reserved].</w:t>
            </w:r>
          </w:p>
        </w:tc>
        <w:tc>
          <w:tcPr>
            <w:tcW w:w="420" w:type="dxa"/>
            <w:vAlign w:val="bottom"/>
            <w:gridSpan w:val="4"/>
          </w:tcPr>
          <w:p>
            <w:pPr>
              <w:jc w:val="right"/>
              <w:ind w:right="20"/>
              <w:spacing w:after="0"/>
              <w:rPr>
                <w:sz w:val="20"/>
                <w:szCs w:val="20"/>
                <w:color w:val="auto"/>
              </w:rPr>
            </w:pPr>
            <w:r>
              <w:rPr>
                <w:rFonts w:ascii="Arial" w:cs="Arial" w:eastAsia="Arial" w:hAnsi="Arial"/>
                <w:sz w:val="20"/>
                <w:szCs w:val="20"/>
                <w:color w:val="0000FF"/>
              </w:rPr>
              <w:t>50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5"/>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2.15</w:t>
            </w:r>
          </w:p>
        </w:tc>
        <w:tc>
          <w:tcPr>
            <w:tcW w:w="8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0"/>
                <w:szCs w:val="20"/>
                <w:color w:val="auto"/>
                <w:w w:val="96"/>
              </w:rPr>
              <w:t>Increased Costs</w:t>
            </w:r>
          </w:p>
        </w:tc>
        <w:tc>
          <w:tcPr>
            <w:tcW w:w="360" w:type="dxa"/>
            <w:vAlign w:val="bottom"/>
            <w:gridSpan w:val="3"/>
          </w:tcPr>
          <w:p>
            <w:pPr>
              <w:jc w:val="right"/>
              <w:ind w:right="41"/>
              <w:spacing w:after="0"/>
              <w:rPr>
                <w:sz w:val="20"/>
                <w:szCs w:val="20"/>
                <w:color w:val="auto"/>
              </w:rPr>
            </w:pPr>
            <w:r>
              <w:rPr>
                <w:rFonts w:ascii="Arial" w:cs="Arial" w:eastAsia="Arial" w:hAnsi="Arial"/>
                <w:sz w:val="20"/>
                <w:szCs w:val="20"/>
                <w:color w:val="auto"/>
                <w:w w:val="89"/>
              </w:rPr>
              <w:t>50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2.16</w:t>
            </w:r>
          </w:p>
        </w:tc>
        <w:tc>
          <w:tcPr>
            <w:tcW w:w="80" w:type="dxa"/>
            <w:vAlign w:val="bottom"/>
          </w:tcPr>
          <w:p>
            <w:pPr>
              <w:spacing w:after="0"/>
              <w:rPr>
                <w:sz w:val="24"/>
                <w:szCs w:val="24"/>
                <w:color w:val="auto"/>
              </w:rPr>
            </w:pPr>
          </w:p>
        </w:tc>
        <w:tc>
          <w:tcPr>
            <w:tcW w:w="2060" w:type="dxa"/>
            <w:vAlign w:val="bottom"/>
            <w:gridSpan w:val="12"/>
          </w:tcPr>
          <w:p>
            <w:pPr>
              <w:spacing w:after="0"/>
              <w:rPr>
                <w:sz w:val="20"/>
                <w:szCs w:val="20"/>
                <w:color w:val="auto"/>
              </w:rPr>
            </w:pPr>
            <w:r>
              <w:rPr>
                <w:rFonts w:ascii="Arial" w:cs="Arial" w:eastAsia="Arial" w:hAnsi="Arial"/>
                <w:sz w:val="20"/>
                <w:szCs w:val="20"/>
                <w:color w:val="auto"/>
                <w:w w:val="90"/>
              </w:rPr>
              <w:t>Break Funding Payments</w:t>
            </w:r>
          </w:p>
        </w:tc>
        <w:tc>
          <w:tcPr>
            <w:tcW w:w="340" w:type="dxa"/>
            <w:vAlign w:val="bottom"/>
            <w:gridSpan w:val="8"/>
          </w:tcPr>
          <w:p>
            <w:pPr>
              <w:jc w:val="right"/>
              <w:spacing w:after="0"/>
              <w:rPr>
                <w:sz w:val="20"/>
                <w:szCs w:val="20"/>
                <w:color w:val="auto"/>
              </w:rPr>
            </w:pPr>
            <w:r>
              <w:rPr>
                <w:rFonts w:ascii="Arial" w:cs="Arial" w:eastAsia="Arial" w:hAnsi="Arial"/>
                <w:sz w:val="20"/>
                <w:szCs w:val="20"/>
                <w:color w:val="auto"/>
              </w:rPr>
              <w:t>51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2.17</w:t>
            </w:r>
          </w:p>
        </w:tc>
        <w:tc>
          <w:tcPr>
            <w:tcW w:w="80" w:type="dxa"/>
            <w:vAlign w:val="bottom"/>
          </w:tcPr>
          <w:p>
            <w:pPr>
              <w:spacing w:after="0"/>
              <w:rPr>
                <w:sz w:val="24"/>
                <w:szCs w:val="24"/>
                <w:color w:val="auto"/>
              </w:rPr>
            </w:pPr>
          </w:p>
        </w:tc>
        <w:tc>
          <w:tcPr>
            <w:tcW w:w="2060" w:type="dxa"/>
            <w:vAlign w:val="bottom"/>
            <w:gridSpan w:val="12"/>
          </w:tcPr>
          <w:p>
            <w:pPr>
              <w:spacing w:after="0"/>
              <w:rPr>
                <w:sz w:val="20"/>
                <w:szCs w:val="20"/>
                <w:color w:val="auto"/>
              </w:rPr>
            </w:pPr>
            <w:r>
              <w:rPr>
                <w:rFonts w:ascii="Arial" w:cs="Arial" w:eastAsia="Arial" w:hAnsi="Arial"/>
                <w:sz w:val="20"/>
                <w:szCs w:val="20"/>
                <w:color w:val="auto"/>
                <w:w w:val="93"/>
              </w:rPr>
              <w:t>Payments Free of Taxes</w:t>
            </w:r>
          </w:p>
        </w:tc>
        <w:tc>
          <w:tcPr>
            <w:tcW w:w="240" w:type="dxa"/>
            <w:vAlign w:val="bottom"/>
            <w:gridSpan w:val="5"/>
          </w:tcPr>
          <w:p>
            <w:pPr>
              <w:jc w:val="right"/>
              <w:spacing w:after="0"/>
              <w:rPr>
                <w:sz w:val="20"/>
                <w:szCs w:val="20"/>
                <w:color w:val="auto"/>
              </w:rPr>
            </w:pPr>
            <w:r>
              <w:rPr>
                <w:rFonts w:ascii="Arial" w:cs="Arial" w:eastAsia="Arial" w:hAnsi="Arial"/>
                <w:sz w:val="20"/>
                <w:szCs w:val="20"/>
                <w:color w:val="auto"/>
                <w:w w:val="98"/>
              </w:rPr>
              <w:t>51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2.18</w:t>
            </w:r>
          </w:p>
        </w:tc>
        <w:tc>
          <w:tcPr>
            <w:tcW w:w="80" w:type="dxa"/>
            <w:vAlign w:val="bottom"/>
          </w:tcPr>
          <w:p>
            <w:pPr>
              <w:spacing w:after="0"/>
              <w:rPr>
                <w:sz w:val="24"/>
                <w:szCs w:val="24"/>
                <w:color w:val="auto"/>
              </w:rPr>
            </w:pPr>
          </w:p>
        </w:tc>
        <w:tc>
          <w:tcPr>
            <w:tcW w:w="5260" w:type="dxa"/>
            <w:vAlign w:val="bottom"/>
            <w:gridSpan w:val="30"/>
          </w:tcPr>
          <w:p>
            <w:pPr>
              <w:spacing w:after="0"/>
              <w:rPr>
                <w:sz w:val="20"/>
                <w:szCs w:val="20"/>
                <w:color w:val="auto"/>
              </w:rPr>
            </w:pPr>
            <w:r>
              <w:rPr>
                <w:rFonts w:ascii="Arial" w:cs="Arial" w:eastAsia="Arial" w:hAnsi="Arial"/>
                <w:sz w:val="20"/>
                <w:szCs w:val="20"/>
                <w:color w:val="auto"/>
                <w:w w:val="90"/>
              </w:rPr>
              <w:t>Payments Generally; Pro Rata Treatment; Sharing of Set-offs  55</w:t>
            </w:r>
          </w:p>
        </w:tc>
      </w:tr>
      <w:tr>
        <w:trPr>
          <w:trHeight w:val="297"/>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2.19</w:t>
            </w:r>
          </w:p>
        </w:tc>
        <w:tc>
          <w:tcPr>
            <w:tcW w:w="80" w:type="dxa"/>
            <w:vAlign w:val="bottom"/>
          </w:tcPr>
          <w:p>
            <w:pPr>
              <w:spacing w:after="0"/>
              <w:rPr>
                <w:sz w:val="24"/>
                <w:szCs w:val="24"/>
                <w:color w:val="auto"/>
              </w:rPr>
            </w:pPr>
          </w:p>
        </w:tc>
        <w:tc>
          <w:tcPr>
            <w:tcW w:w="4020" w:type="dxa"/>
            <w:vAlign w:val="bottom"/>
            <w:gridSpan w:val="27"/>
          </w:tcPr>
          <w:p>
            <w:pPr>
              <w:spacing w:after="0"/>
              <w:rPr>
                <w:sz w:val="20"/>
                <w:szCs w:val="20"/>
                <w:color w:val="auto"/>
              </w:rPr>
            </w:pPr>
            <w:r>
              <w:rPr>
                <w:rFonts w:ascii="Arial" w:cs="Arial" w:eastAsia="Arial" w:hAnsi="Arial"/>
                <w:sz w:val="20"/>
                <w:szCs w:val="20"/>
                <w:color w:val="auto"/>
                <w:w w:val="95"/>
              </w:rPr>
              <w:t>Mitigation Obligations; Replacement of Lenders</w:t>
            </w:r>
          </w:p>
        </w:tc>
        <w:tc>
          <w:tcPr>
            <w:tcW w:w="400" w:type="dxa"/>
            <w:vAlign w:val="bottom"/>
            <w:gridSpan w:val="2"/>
          </w:tcPr>
          <w:p>
            <w:pPr>
              <w:ind w:left="20"/>
              <w:spacing w:after="0"/>
              <w:rPr>
                <w:sz w:val="20"/>
                <w:szCs w:val="20"/>
                <w:color w:val="auto"/>
              </w:rPr>
            </w:pPr>
            <w:r>
              <w:rPr>
                <w:rFonts w:ascii="Arial" w:cs="Arial" w:eastAsia="Arial" w:hAnsi="Arial"/>
                <w:sz w:val="20"/>
                <w:szCs w:val="20"/>
                <w:color w:val="auto"/>
              </w:rPr>
              <w:t>57</w:t>
            </w:r>
          </w:p>
        </w:tc>
        <w:tc>
          <w:tcPr>
            <w:tcW w:w="840" w:type="dxa"/>
            <w:vAlign w:val="bottom"/>
          </w:tcPr>
          <w:p>
            <w:pPr>
              <w:spacing w:after="0"/>
              <w:rPr>
                <w:sz w:val="24"/>
                <w:szCs w:val="24"/>
                <w:color w:val="auto"/>
              </w:rPr>
            </w:pPr>
          </w:p>
        </w:tc>
      </w:tr>
      <w:tr>
        <w:trPr>
          <w:trHeight w:val="31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2.20</w:t>
            </w:r>
          </w:p>
        </w:tc>
        <w:tc>
          <w:tcPr>
            <w:tcW w:w="80" w:type="dxa"/>
            <w:vAlign w:val="bottom"/>
          </w:tcPr>
          <w:p>
            <w:pPr>
              <w:spacing w:after="0"/>
              <w:rPr>
                <w:sz w:val="24"/>
                <w:szCs w:val="24"/>
                <w:color w:val="auto"/>
              </w:rPr>
            </w:pPr>
          </w:p>
        </w:tc>
        <w:tc>
          <w:tcPr>
            <w:tcW w:w="2060" w:type="dxa"/>
            <w:vAlign w:val="bottom"/>
            <w:gridSpan w:val="12"/>
          </w:tcPr>
          <w:p>
            <w:pPr>
              <w:spacing w:after="0"/>
              <w:rPr>
                <w:sz w:val="20"/>
                <w:szCs w:val="20"/>
                <w:color w:val="auto"/>
              </w:rPr>
            </w:pPr>
            <w:r>
              <w:rPr>
                <w:rFonts w:ascii="Arial" w:cs="Arial" w:eastAsia="Arial" w:hAnsi="Arial"/>
                <w:sz w:val="20"/>
                <w:szCs w:val="20"/>
                <w:color w:val="auto"/>
              </w:rPr>
              <w:t>Defaulting Lenders  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6"/>
        </w:trPr>
        <w:tc>
          <w:tcPr>
            <w:tcW w:w="66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2.21</w:t>
            </w:r>
          </w:p>
        </w:tc>
        <w:tc>
          <w:tcPr>
            <w:tcW w:w="80" w:type="dxa"/>
            <w:vAlign w:val="bottom"/>
          </w:tcPr>
          <w:p>
            <w:pPr>
              <w:spacing w:after="0"/>
              <w:rPr>
                <w:sz w:val="23"/>
                <w:szCs w:val="23"/>
                <w:color w:val="auto"/>
              </w:rPr>
            </w:pPr>
          </w:p>
        </w:tc>
        <w:tc>
          <w:tcPr>
            <w:tcW w:w="4020" w:type="dxa"/>
            <w:vAlign w:val="bottom"/>
            <w:gridSpan w:val="27"/>
          </w:tcPr>
          <w:p>
            <w:pPr>
              <w:spacing w:after="0"/>
              <w:rPr>
                <w:sz w:val="20"/>
                <w:szCs w:val="20"/>
                <w:color w:val="auto"/>
              </w:rPr>
            </w:pPr>
            <w:r>
              <w:rPr>
                <w:rFonts w:ascii="Arial" w:cs="Arial" w:eastAsia="Arial" w:hAnsi="Arial"/>
                <w:sz w:val="20"/>
                <w:szCs w:val="20"/>
                <w:color w:val="auto"/>
                <w:w w:val="97"/>
              </w:rPr>
              <w:t>Designation of Additional Revolving Borrowers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59</w:t>
            </w:r>
          </w:p>
        </w:tc>
        <w:tc>
          <w:tcPr>
            <w:tcW w:w="840" w:type="dxa"/>
            <w:vAlign w:val="bottom"/>
          </w:tcPr>
          <w:p>
            <w:pPr>
              <w:spacing w:after="0"/>
              <w:rPr>
                <w:sz w:val="23"/>
                <w:szCs w:val="23"/>
                <w:color w:val="auto"/>
              </w:rPr>
            </w:pPr>
          </w:p>
        </w:tc>
      </w:tr>
      <w:tr>
        <w:trPr>
          <w:trHeight w:val="321"/>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2.22</w:t>
            </w:r>
          </w:p>
        </w:tc>
        <w:tc>
          <w:tcPr>
            <w:tcW w:w="80" w:type="dxa"/>
            <w:vAlign w:val="bottom"/>
          </w:tcPr>
          <w:p>
            <w:pPr>
              <w:spacing w:after="0"/>
              <w:rPr>
                <w:sz w:val="24"/>
                <w:szCs w:val="24"/>
                <w:color w:val="auto"/>
              </w:rPr>
            </w:pPr>
          </w:p>
        </w:tc>
        <w:tc>
          <w:tcPr>
            <w:tcW w:w="2300" w:type="dxa"/>
            <w:vAlign w:val="bottom"/>
            <w:gridSpan w:val="17"/>
          </w:tcPr>
          <w:p>
            <w:pPr>
              <w:spacing w:after="0"/>
              <w:rPr>
                <w:sz w:val="20"/>
                <w:szCs w:val="20"/>
                <w:color w:val="auto"/>
              </w:rPr>
            </w:pPr>
            <w:r>
              <w:rPr>
                <w:rFonts w:ascii="Arial" w:cs="Arial" w:eastAsia="Arial" w:hAnsi="Arial"/>
                <w:sz w:val="20"/>
                <w:szCs w:val="20"/>
                <w:color w:val="auto"/>
                <w:w w:val="93"/>
              </w:rPr>
              <w:t>Extension of Maturity Dates</w:t>
            </w:r>
          </w:p>
        </w:tc>
        <w:tc>
          <w:tcPr>
            <w:tcW w:w="1020" w:type="dxa"/>
            <w:vAlign w:val="bottom"/>
            <w:gridSpan w:val="5"/>
          </w:tcPr>
          <w:p>
            <w:pPr>
              <w:jc w:val="right"/>
              <w:ind w:right="680"/>
              <w:spacing w:after="0"/>
              <w:rPr>
                <w:sz w:val="20"/>
                <w:szCs w:val="20"/>
                <w:color w:val="auto"/>
              </w:rPr>
            </w:pPr>
            <w:r>
              <w:rPr>
                <w:rFonts w:ascii="Arial" w:cs="Arial" w:eastAsia="Arial" w:hAnsi="Arial"/>
                <w:sz w:val="20"/>
                <w:szCs w:val="20"/>
                <w:color w:val="auto"/>
              </w:rPr>
              <w:t>61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20"/>
                <w:szCs w:val="20"/>
                <w:color w:val="auto"/>
                <w:w w:val="97"/>
              </w:rPr>
              <w:t>Section 2.23</w:t>
            </w:r>
          </w:p>
        </w:tc>
        <w:tc>
          <w:tcPr>
            <w:tcW w:w="80" w:type="dxa"/>
            <w:vAlign w:val="bottom"/>
          </w:tcPr>
          <w:p>
            <w:pPr>
              <w:spacing w:after="0"/>
              <w:rPr>
                <w:sz w:val="24"/>
                <w:szCs w:val="24"/>
                <w:color w:val="auto"/>
              </w:rPr>
            </w:pPr>
          </w:p>
        </w:tc>
        <w:tc>
          <w:tcPr>
            <w:tcW w:w="3320" w:type="dxa"/>
            <w:vAlign w:val="bottom"/>
            <w:gridSpan w:val="22"/>
          </w:tcPr>
          <w:p>
            <w:pPr>
              <w:spacing w:after="0"/>
              <w:rPr>
                <w:sz w:val="20"/>
                <w:szCs w:val="20"/>
                <w:color w:val="auto"/>
              </w:rPr>
            </w:pPr>
            <w:r>
              <w:rPr>
                <w:rFonts w:ascii="Arial" w:cs="Arial" w:eastAsia="Arial" w:hAnsi="Arial"/>
                <w:sz w:val="20"/>
                <w:szCs w:val="20"/>
                <w:color w:val="auto"/>
              </w:rPr>
              <w:t>Benchmark Replacement Setting  63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79" w:lineRule="exact"/>
        <w:rPr>
          <w:sz w:val="20"/>
          <w:szCs w:val="20"/>
          <w:color w:val="auto"/>
        </w:rPr>
      </w:pPr>
    </w:p>
    <w:p>
      <w:pPr>
        <w:jc w:val="right"/>
        <w:ind w:right="5480"/>
        <w:spacing w:after="0"/>
        <w:rPr>
          <w:sz w:val="20"/>
          <w:szCs w:val="20"/>
          <w:color w:val="auto"/>
        </w:rPr>
      </w:pPr>
      <w:r>
        <w:rPr>
          <w:rFonts w:ascii="Arial" w:cs="Arial" w:eastAsia="Arial" w:hAnsi="Arial"/>
          <w:sz w:val="20"/>
          <w:szCs w:val="20"/>
          <w:u w:val="single" w:color="auto"/>
          <w:color w:val="0000FF"/>
        </w:rPr>
        <w:t>i</w:t>
      </w:r>
    </w:p>
    <w:p>
      <w:pPr>
        <w:spacing w:after="0" w:line="27" w:lineRule="exact"/>
        <w:rPr>
          <w:sz w:val="20"/>
          <w:szCs w:val="20"/>
          <w:color w:val="auto"/>
        </w:rPr>
      </w:pPr>
    </w:p>
    <w:p>
      <w:pPr>
        <w:jc w:val="right"/>
        <w:ind w:right="5440"/>
        <w:spacing w:after="0"/>
        <w:rPr>
          <w:sz w:val="20"/>
          <w:szCs w:val="20"/>
          <w:color w:val="auto"/>
        </w:rPr>
      </w:pPr>
      <w:r>
        <w:rPr>
          <w:rFonts w:ascii="Arial" w:cs="Arial" w:eastAsia="Arial" w:hAnsi="Arial"/>
          <w:sz w:val="20"/>
          <w:szCs w:val="20"/>
          <w:color w:val="FF0000"/>
          <w:strike w:val="1"/>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-143510</wp:posOffset>
            </wp:positionV>
            <wp:extent cx="708914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089140" cy="162560"/>
                    </a:xfrm>
                    <a:prstGeom prst="rect">
                      <a:avLst/>
                    </a:prstGeom>
                    <a:noFill/>
                  </pic:spPr>
                </pic:pic>
              </a:graphicData>
            </a:graphic>
          </wp:anchor>
        </w:drawing>
      </w:r>
    </w:p>
    <w:p>
      <w:pPr>
        <w:sectPr>
          <w:pgSz w:w="11900" w:h="16838" w:orient="portrait"/>
          <w:cols w:equalWidth="0" w:num="1">
            <w:col w:w="11140"/>
          </w:cols>
          <w:pgMar w:left="320" w:top="104" w:right="439" w:bottom="1440" w:gutter="0" w:footer="0" w:header="0"/>
        </w:sectPr>
      </w:pPr>
    </w:p>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1534296381v1</w:t>
      </w:r>
      <w:r>
        <w:rPr>
          <w:rFonts w:ascii="Arial" w:cs="Arial" w:eastAsia="Arial" w:hAnsi="Arial"/>
          <w:sz w:val="13"/>
          <w:szCs w:val="13"/>
          <w:u w:val="single" w:color="auto"/>
          <w:color w:val="0000FF"/>
        </w:rPr>
        <w:t>1534296381v7</w:t>
      </w:r>
    </w:p>
    <w:p>
      <w:pPr>
        <w:sectPr>
          <w:pgSz w:w="11900" w:h="16838" w:orient="portrait"/>
          <w:cols w:equalWidth="0" w:num="1">
            <w:col w:w="11140"/>
          </w:cols>
          <w:pgMar w:left="320" w:top="104" w:right="439" w:bottom="1440" w:gutter="0" w:footer="0" w:header="0"/>
          <w:type w:val="continuous"/>
        </w:sectPr>
      </w:pPr>
    </w:p>
    <w:bookmarkStart w:id="125" w:name="page126"/>
    <w:bookmarkEnd w:id="125"/>
    <w:p>
      <w:pPr>
        <w:jc w:val="center"/>
        <w:ind w:right="-119"/>
        <w:spacing w:after="0"/>
        <w:rPr>
          <w:sz w:val="20"/>
          <w:szCs w:val="20"/>
          <w:color w:val="auto"/>
        </w:rPr>
      </w:pPr>
      <w:r>
        <w:rPr>
          <w:rFonts w:ascii="Arial" w:cs="Arial" w:eastAsia="Arial" w:hAnsi="Arial"/>
          <w:sz w:val="20"/>
          <w:szCs w:val="20"/>
          <w:b w:val="1"/>
          <w:bCs w:val="1"/>
          <w:color w:val="auto"/>
        </w:rPr>
        <w:t>TABLE OF CONTENTS</w:t>
      </w:r>
    </w:p>
    <w:p>
      <w:pPr>
        <w:jc w:val="center"/>
        <w:ind w:right="-11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gridSpan w:val="26"/>
          </w:tcPr>
          <w:p>
            <w:pPr>
              <w:spacing w:after="0"/>
              <w:rPr>
                <w:sz w:val="20"/>
                <w:szCs w:val="20"/>
                <w:color w:val="auto"/>
              </w:rPr>
            </w:pPr>
            <w:r>
              <w:rPr>
                <w:rFonts w:ascii="Arial" w:cs="Arial" w:eastAsia="Arial" w:hAnsi="Arial"/>
                <w:sz w:val="20"/>
                <w:szCs w:val="20"/>
                <w:color w:val="auto"/>
                <w:w w:val="93"/>
              </w:rPr>
              <w:t>Article III Representations and Warranties</w:t>
            </w:r>
          </w:p>
        </w:tc>
        <w:tc>
          <w:tcPr>
            <w:tcW w:w="260" w:type="dxa"/>
            <w:vAlign w:val="bottom"/>
          </w:tcPr>
          <w:p>
            <w:pPr>
              <w:jc w:val="right"/>
              <w:spacing w:after="0"/>
              <w:rPr>
                <w:sz w:val="20"/>
                <w:szCs w:val="20"/>
                <w:color w:val="auto"/>
              </w:rPr>
            </w:pPr>
            <w:r>
              <w:rPr>
                <w:rFonts w:ascii="Arial" w:cs="Arial" w:eastAsia="Arial" w:hAnsi="Arial"/>
                <w:sz w:val="20"/>
                <w:szCs w:val="20"/>
                <w:color w:val="FF0000"/>
                <w:strike w:val="1"/>
              </w:rPr>
              <w:t>70</w:t>
            </w:r>
          </w:p>
        </w:tc>
        <w:tc>
          <w:tcPr>
            <w:tcW w:w="220" w:type="dxa"/>
            <w:vAlign w:val="bottom"/>
            <w:gridSpan w:val="2"/>
          </w:tcPr>
          <w:p>
            <w:pPr>
              <w:jc w:val="right"/>
              <w:spacing w:after="0"/>
              <w:rPr>
                <w:sz w:val="20"/>
                <w:szCs w:val="20"/>
                <w:color w:val="auto"/>
              </w:rPr>
            </w:pPr>
            <w:r>
              <w:rPr>
                <w:rFonts w:ascii="Arial" w:cs="Arial" w:eastAsia="Arial" w:hAnsi="Arial"/>
                <w:sz w:val="20"/>
                <w:szCs w:val="20"/>
                <w:color w:val="0000FF"/>
                <w:w w:val="80"/>
              </w:rPr>
              <w:t>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3.01</w:t>
            </w:r>
          </w:p>
        </w:tc>
        <w:tc>
          <w:tcPr>
            <w:tcW w:w="1960" w:type="dxa"/>
            <w:vAlign w:val="bottom"/>
            <w:gridSpan w:val="26"/>
          </w:tcPr>
          <w:p>
            <w:pPr>
              <w:ind w:left="60"/>
              <w:spacing w:after="0"/>
              <w:rPr>
                <w:sz w:val="20"/>
                <w:szCs w:val="20"/>
                <w:color w:val="auto"/>
              </w:rPr>
            </w:pPr>
            <w:r>
              <w:rPr>
                <w:rFonts w:ascii="Arial" w:cs="Arial" w:eastAsia="Arial" w:hAnsi="Arial"/>
                <w:sz w:val="20"/>
                <w:szCs w:val="20"/>
                <w:color w:val="auto"/>
                <w:w w:val="98"/>
              </w:rPr>
              <w:t>Organization; Powers</w:t>
            </w:r>
          </w:p>
        </w:tc>
        <w:tc>
          <w:tcPr>
            <w:tcW w:w="2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70</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3.02</w:t>
            </w:r>
          </w:p>
        </w:tc>
        <w:tc>
          <w:tcPr>
            <w:tcW w:w="2380" w:type="dxa"/>
            <w:vAlign w:val="bottom"/>
            <w:gridSpan w:val="31"/>
          </w:tcPr>
          <w:p>
            <w:pPr>
              <w:ind w:left="60"/>
              <w:spacing w:after="0"/>
              <w:rPr>
                <w:sz w:val="20"/>
                <w:szCs w:val="20"/>
                <w:color w:val="auto"/>
              </w:rPr>
            </w:pPr>
            <w:r>
              <w:rPr>
                <w:rFonts w:ascii="Arial" w:cs="Arial" w:eastAsia="Arial" w:hAnsi="Arial"/>
                <w:sz w:val="20"/>
                <w:szCs w:val="20"/>
                <w:color w:val="auto"/>
                <w:w w:val="92"/>
              </w:rPr>
              <w:t>Authorization; Enforceability</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70</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5"/>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3.03</w:t>
            </w:r>
          </w:p>
        </w:tc>
        <w:tc>
          <w:tcPr>
            <w:tcW w:w="3220" w:type="dxa"/>
            <w:vAlign w:val="bottom"/>
            <w:gridSpan w:val="39"/>
          </w:tcPr>
          <w:p>
            <w:pPr>
              <w:ind w:left="60"/>
              <w:spacing w:after="0"/>
              <w:rPr>
                <w:sz w:val="20"/>
                <w:szCs w:val="20"/>
                <w:color w:val="auto"/>
              </w:rPr>
            </w:pPr>
            <w:r>
              <w:rPr>
                <w:rFonts w:ascii="Arial" w:cs="Arial" w:eastAsia="Arial" w:hAnsi="Arial"/>
                <w:sz w:val="20"/>
                <w:szCs w:val="20"/>
                <w:color w:val="auto"/>
                <w:w w:val="92"/>
              </w:rPr>
              <w:t>Governmental Approvals; No Conflicts</w:t>
            </w:r>
          </w:p>
        </w:tc>
        <w:tc>
          <w:tcPr>
            <w:tcW w:w="400" w:type="dxa"/>
            <w:vAlign w:val="bottom"/>
            <w:gridSpan w:val="6"/>
          </w:tcPr>
          <w:p>
            <w:pPr>
              <w:jc w:val="right"/>
              <w:spacing w:after="0"/>
              <w:rPr>
                <w:sz w:val="20"/>
                <w:szCs w:val="20"/>
                <w:color w:val="auto"/>
              </w:rPr>
            </w:pPr>
            <w:r>
              <w:rPr>
                <w:rFonts w:ascii="Arial" w:cs="Arial" w:eastAsia="Arial" w:hAnsi="Arial"/>
                <w:sz w:val="20"/>
                <w:szCs w:val="20"/>
                <w:color w:val="auto"/>
              </w:rPr>
              <w:t>71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2"/>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3.04</w:t>
            </w:r>
          </w:p>
        </w:tc>
        <w:tc>
          <w:tcPr>
            <w:tcW w:w="4260" w:type="dxa"/>
            <w:vAlign w:val="bottom"/>
            <w:gridSpan w:val="48"/>
          </w:tcPr>
          <w:p>
            <w:pPr>
              <w:ind w:left="60"/>
              <w:spacing w:after="0"/>
              <w:rPr>
                <w:sz w:val="20"/>
                <w:szCs w:val="20"/>
                <w:color w:val="auto"/>
              </w:rPr>
            </w:pPr>
            <w:r>
              <w:rPr>
                <w:rFonts w:ascii="Arial" w:cs="Arial" w:eastAsia="Arial" w:hAnsi="Arial"/>
                <w:sz w:val="20"/>
                <w:szCs w:val="20"/>
                <w:color w:val="auto"/>
                <w:w w:val="95"/>
              </w:rPr>
              <w:t>Financial Condition; No Material Adverse Change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72</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9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3.05</w:t>
            </w:r>
          </w:p>
        </w:tc>
        <w:tc>
          <w:tcPr>
            <w:tcW w:w="1000" w:type="dxa"/>
            <w:vAlign w:val="bottom"/>
            <w:gridSpan w:val="6"/>
          </w:tcPr>
          <w:p>
            <w:pPr>
              <w:ind w:left="60"/>
              <w:spacing w:after="0"/>
              <w:rPr>
                <w:sz w:val="20"/>
                <w:szCs w:val="20"/>
                <w:color w:val="auto"/>
              </w:rPr>
            </w:pPr>
            <w:r>
              <w:rPr>
                <w:rFonts w:ascii="Arial" w:cs="Arial" w:eastAsia="Arial" w:hAnsi="Arial"/>
                <w:sz w:val="20"/>
                <w:szCs w:val="20"/>
                <w:color w:val="auto"/>
              </w:rPr>
              <w:t>Properties</w:t>
            </w:r>
          </w:p>
        </w:tc>
        <w:tc>
          <w:tcPr>
            <w:tcW w:w="20" w:type="dxa"/>
            <w:vAlign w:val="bottom"/>
          </w:tcPr>
          <w:p>
            <w:pPr>
              <w:spacing w:after="0"/>
              <w:rPr>
                <w:sz w:val="24"/>
                <w:szCs w:val="24"/>
                <w:color w:val="auto"/>
              </w:rPr>
            </w:pPr>
          </w:p>
        </w:tc>
        <w:tc>
          <w:tcPr>
            <w:tcW w:w="240" w:type="dxa"/>
            <w:vAlign w:val="bottom"/>
            <w:gridSpan w:val="7"/>
          </w:tcPr>
          <w:p>
            <w:pPr>
              <w:jc w:val="right"/>
              <w:spacing w:after="0"/>
              <w:rPr>
                <w:sz w:val="20"/>
                <w:szCs w:val="20"/>
                <w:color w:val="auto"/>
              </w:rPr>
            </w:pPr>
            <w:r>
              <w:rPr>
                <w:rFonts w:ascii="Arial" w:cs="Arial" w:eastAsia="Arial" w:hAnsi="Arial"/>
                <w:sz w:val="20"/>
                <w:szCs w:val="20"/>
                <w:color w:val="FF0000"/>
                <w:strike w:val="1"/>
                <w:w w:val="98"/>
              </w:rPr>
              <w:t>71</w:t>
            </w:r>
          </w:p>
        </w:tc>
        <w:tc>
          <w:tcPr>
            <w:tcW w:w="2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0"/>
              </w:rPr>
              <w:t>72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3.06</w:t>
            </w:r>
          </w:p>
        </w:tc>
        <w:tc>
          <w:tcPr>
            <w:tcW w:w="3220" w:type="dxa"/>
            <w:vAlign w:val="bottom"/>
            <w:gridSpan w:val="39"/>
          </w:tcPr>
          <w:p>
            <w:pPr>
              <w:ind w:left="60"/>
              <w:spacing w:after="0"/>
              <w:rPr>
                <w:sz w:val="20"/>
                <w:szCs w:val="20"/>
                <w:color w:val="auto"/>
              </w:rPr>
            </w:pPr>
            <w:r>
              <w:rPr>
                <w:rFonts w:ascii="Arial" w:cs="Arial" w:eastAsia="Arial" w:hAnsi="Arial"/>
                <w:sz w:val="20"/>
                <w:szCs w:val="20"/>
                <w:color w:val="auto"/>
                <w:w w:val="96"/>
              </w:rPr>
              <w:t>Litigation and Environmental Matters</w:t>
            </w: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71</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2"/>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3.07</w:t>
            </w:r>
          </w:p>
        </w:tc>
        <w:tc>
          <w:tcPr>
            <w:tcW w:w="5500" w:type="dxa"/>
            <w:vAlign w:val="bottom"/>
            <w:gridSpan w:val="53"/>
          </w:tcPr>
          <w:p>
            <w:pPr>
              <w:ind w:left="60"/>
              <w:spacing w:after="0"/>
              <w:rPr>
                <w:sz w:val="20"/>
                <w:szCs w:val="20"/>
                <w:color w:val="auto"/>
              </w:rPr>
            </w:pPr>
            <w:r>
              <w:rPr>
                <w:rFonts w:ascii="Arial" w:cs="Arial" w:eastAsia="Arial" w:hAnsi="Arial"/>
                <w:sz w:val="20"/>
                <w:szCs w:val="20"/>
                <w:color w:val="auto"/>
              </w:rPr>
              <w:t>Compliance with Laws and Agreements  72</w:t>
            </w:r>
          </w:p>
        </w:tc>
      </w:tr>
      <w:tr>
        <w:trPr>
          <w:trHeight w:val="266"/>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3.08</w:t>
            </w:r>
          </w:p>
        </w:tc>
        <w:tc>
          <w:tcPr>
            <w:tcW w:w="2380" w:type="dxa"/>
            <w:vAlign w:val="bottom"/>
            <w:gridSpan w:val="31"/>
          </w:tcPr>
          <w:p>
            <w:pPr>
              <w:ind w:left="60"/>
              <w:spacing w:after="0"/>
              <w:rPr>
                <w:sz w:val="20"/>
                <w:szCs w:val="20"/>
                <w:color w:val="auto"/>
              </w:rPr>
            </w:pPr>
            <w:r>
              <w:rPr>
                <w:rFonts w:ascii="Arial" w:cs="Arial" w:eastAsia="Arial" w:hAnsi="Arial"/>
                <w:sz w:val="20"/>
                <w:szCs w:val="20"/>
                <w:color w:val="auto"/>
                <w:w w:val="91"/>
              </w:rPr>
              <w:t>Investment Company Status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rPr>
              <w:t>72</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3.09</w:t>
            </w:r>
          </w:p>
        </w:tc>
        <w:tc>
          <w:tcPr>
            <w:tcW w:w="700" w:type="dxa"/>
            <w:vAlign w:val="bottom"/>
            <w:gridSpan w:val="3"/>
          </w:tcPr>
          <w:p>
            <w:pPr>
              <w:ind w:left="60"/>
              <w:spacing w:after="0"/>
              <w:rPr>
                <w:sz w:val="20"/>
                <w:szCs w:val="20"/>
                <w:color w:val="auto"/>
              </w:rPr>
            </w:pPr>
            <w:r>
              <w:rPr>
                <w:rFonts w:ascii="Arial" w:cs="Arial" w:eastAsia="Arial" w:hAnsi="Arial"/>
                <w:sz w:val="20"/>
                <w:szCs w:val="20"/>
                <w:color w:val="auto"/>
              </w:rPr>
              <w:t>Taxes</w:t>
            </w:r>
          </w:p>
        </w:tc>
        <w:tc>
          <w:tcPr>
            <w:tcW w:w="2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72</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73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3.10</w:t>
            </w:r>
          </w:p>
        </w:tc>
        <w:tc>
          <w:tcPr>
            <w:tcW w:w="700" w:type="dxa"/>
            <w:vAlign w:val="bottom"/>
            <w:gridSpan w:val="3"/>
          </w:tcPr>
          <w:p>
            <w:pPr>
              <w:ind w:left="60"/>
              <w:spacing w:after="0"/>
              <w:rPr>
                <w:sz w:val="20"/>
                <w:szCs w:val="20"/>
                <w:color w:val="auto"/>
              </w:rPr>
            </w:pPr>
            <w:r>
              <w:rPr>
                <w:rFonts w:ascii="Arial" w:cs="Arial" w:eastAsia="Arial" w:hAnsi="Arial"/>
                <w:sz w:val="20"/>
                <w:szCs w:val="20"/>
                <w:color w:val="auto"/>
              </w:rPr>
              <w:t>ERISA</w:t>
            </w: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rPr>
              <w:t>72</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73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3.11</w:t>
            </w:r>
          </w:p>
        </w:tc>
        <w:tc>
          <w:tcPr>
            <w:tcW w:w="1000" w:type="dxa"/>
            <w:vAlign w:val="bottom"/>
            <w:gridSpan w:val="6"/>
          </w:tcPr>
          <w:p>
            <w:pPr>
              <w:ind w:left="60"/>
              <w:spacing w:after="0"/>
              <w:rPr>
                <w:sz w:val="20"/>
                <w:szCs w:val="20"/>
                <w:color w:val="auto"/>
              </w:rPr>
            </w:pPr>
            <w:r>
              <w:rPr>
                <w:rFonts w:ascii="Arial" w:cs="Arial" w:eastAsia="Arial" w:hAnsi="Arial"/>
                <w:sz w:val="20"/>
                <w:szCs w:val="20"/>
                <w:color w:val="auto"/>
                <w:w w:val="98"/>
              </w:rPr>
              <w:t>Disclosure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7"/>
          </w:tcPr>
          <w:p>
            <w:pPr>
              <w:jc w:val="right"/>
              <w:spacing w:after="0"/>
              <w:rPr>
                <w:sz w:val="20"/>
                <w:szCs w:val="20"/>
                <w:color w:val="auto"/>
              </w:rPr>
            </w:pPr>
            <w:r>
              <w:rPr>
                <w:rFonts w:ascii="Arial" w:cs="Arial" w:eastAsia="Arial" w:hAnsi="Arial"/>
                <w:sz w:val="20"/>
                <w:szCs w:val="20"/>
                <w:color w:val="FF0000"/>
                <w:strike w:val="1"/>
                <w:w w:val="80"/>
              </w:rPr>
              <w:t>72</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73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2"/>
        </w:trPr>
        <w:tc>
          <w:tcPr>
            <w:tcW w:w="5000" w:type="dxa"/>
            <w:vAlign w:val="bottom"/>
            <w:gridSpan w:val="40"/>
          </w:tcPr>
          <w:p>
            <w:pPr>
              <w:ind w:left="660"/>
              <w:spacing w:after="0"/>
              <w:rPr>
                <w:sz w:val="20"/>
                <w:szCs w:val="20"/>
                <w:color w:val="auto"/>
              </w:rPr>
            </w:pPr>
            <w:r>
              <w:rPr>
                <w:rFonts w:ascii="Arial" w:cs="Arial" w:eastAsia="Arial" w:hAnsi="Arial"/>
                <w:sz w:val="20"/>
                <w:szCs w:val="20"/>
                <w:color w:val="auto"/>
                <w:w w:val="95"/>
              </w:rPr>
              <w:t>Section 3.12  Sanctions Laws and Regulations</w:t>
            </w:r>
            <w:r>
              <w:rPr>
                <w:rFonts w:ascii="Arial" w:cs="Arial" w:eastAsia="Arial" w:hAnsi="Arial"/>
                <w:sz w:val="20"/>
                <w:szCs w:val="20"/>
                <w:u w:val="single" w:color="auto"/>
                <w:color w:val="0000FF"/>
                <w:w w:val="95"/>
              </w:rPr>
              <w:t>.</w:t>
            </w:r>
            <w:r>
              <w:rPr>
                <w:rFonts w:ascii="Arial" w:cs="Arial" w:eastAsia="Arial" w:hAnsi="Arial"/>
                <w:sz w:val="20"/>
                <w:szCs w:val="20"/>
                <w:color w:val="auto"/>
                <w:w w:val="95"/>
              </w:rPr>
              <w:t xml:space="preserve">  73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3.13</w:t>
            </w:r>
          </w:p>
        </w:tc>
        <w:tc>
          <w:tcPr>
            <w:tcW w:w="2880" w:type="dxa"/>
            <w:vAlign w:val="bottom"/>
            <w:gridSpan w:val="36"/>
          </w:tcPr>
          <w:p>
            <w:pPr>
              <w:ind w:left="60"/>
              <w:spacing w:after="0"/>
              <w:rPr>
                <w:sz w:val="20"/>
                <w:szCs w:val="20"/>
                <w:color w:val="auto"/>
              </w:rPr>
            </w:pPr>
            <w:r>
              <w:rPr>
                <w:rFonts w:ascii="Arial" w:cs="Arial" w:eastAsia="Arial" w:hAnsi="Arial"/>
                <w:sz w:val="20"/>
                <w:szCs w:val="20"/>
                <w:color w:val="auto"/>
                <w:w w:val="88"/>
              </w:rPr>
              <w:t>Federal Reserve Board Regulations</w:t>
            </w:r>
          </w:p>
        </w:tc>
        <w:tc>
          <w:tcPr>
            <w:tcW w:w="420" w:type="dxa"/>
            <w:vAlign w:val="bottom"/>
            <w:gridSpan w:val="4"/>
          </w:tcPr>
          <w:p>
            <w:pPr>
              <w:jc w:val="right"/>
              <w:spacing w:after="0"/>
              <w:rPr>
                <w:sz w:val="20"/>
                <w:szCs w:val="20"/>
                <w:color w:val="auto"/>
              </w:rPr>
            </w:pPr>
            <w:r>
              <w:rPr>
                <w:rFonts w:ascii="Arial" w:cs="Arial" w:eastAsia="Arial" w:hAnsi="Arial"/>
                <w:sz w:val="20"/>
                <w:szCs w:val="20"/>
                <w:color w:val="auto"/>
              </w:rPr>
              <w:t>73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3.14</w:t>
            </w:r>
          </w:p>
        </w:tc>
        <w:tc>
          <w:tcPr>
            <w:tcW w:w="1100" w:type="dxa"/>
            <w:vAlign w:val="bottom"/>
            <w:gridSpan w:val="9"/>
          </w:tcPr>
          <w:p>
            <w:pPr>
              <w:ind w:left="60"/>
              <w:spacing w:after="0"/>
              <w:rPr>
                <w:sz w:val="20"/>
                <w:szCs w:val="20"/>
                <w:color w:val="auto"/>
              </w:rPr>
            </w:pPr>
            <w:r>
              <w:rPr>
                <w:rFonts w:ascii="Arial" w:cs="Arial" w:eastAsia="Arial" w:hAnsi="Arial"/>
                <w:sz w:val="20"/>
                <w:szCs w:val="20"/>
                <w:color w:val="auto"/>
                <w:w w:val="93"/>
              </w:rPr>
              <w:t>Subsidiaries</w:t>
            </w:r>
          </w:p>
        </w:tc>
        <w:tc>
          <w:tcPr>
            <w:tcW w:w="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gridSpan w:val="7"/>
          </w:tcPr>
          <w:p>
            <w:pPr>
              <w:jc w:val="right"/>
              <w:ind w:right="20"/>
              <w:spacing w:after="0"/>
              <w:rPr>
                <w:sz w:val="20"/>
                <w:szCs w:val="20"/>
                <w:color w:val="auto"/>
              </w:rPr>
            </w:pPr>
            <w:r>
              <w:rPr>
                <w:rFonts w:ascii="Arial" w:cs="Arial" w:eastAsia="Arial" w:hAnsi="Arial"/>
                <w:sz w:val="20"/>
                <w:szCs w:val="20"/>
                <w:color w:val="FF0000"/>
                <w:strike w:val="1"/>
                <w:w w:val="80"/>
              </w:rPr>
              <w:t>73</w:t>
            </w:r>
          </w:p>
        </w:tc>
        <w:tc>
          <w:tcPr>
            <w:tcW w:w="260" w:type="dxa"/>
            <w:vAlign w:val="bottom"/>
            <w:gridSpan w:val="5"/>
          </w:tcPr>
          <w:p>
            <w:pPr>
              <w:jc w:val="right"/>
              <w:ind w:right="80"/>
              <w:spacing w:after="0"/>
              <w:rPr>
                <w:sz w:val="20"/>
                <w:szCs w:val="20"/>
                <w:color w:val="auto"/>
              </w:rPr>
            </w:pPr>
            <w:r>
              <w:rPr>
                <w:rFonts w:ascii="Arial" w:cs="Arial" w:eastAsia="Arial" w:hAnsi="Arial"/>
                <w:sz w:val="20"/>
                <w:szCs w:val="20"/>
                <w:color w:val="0000FF"/>
                <w:w w:val="71"/>
              </w:rPr>
              <w:t>74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7"/>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3.15</w:t>
            </w:r>
          </w:p>
        </w:tc>
        <w:tc>
          <w:tcPr>
            <w:tcW w:w="1000" w:type="dxa"/>
            <w:vAlign w:val="bottom"/>
            <w:gridSpan w:val="6"/>
          </w:tcPr>
          <w:p>
            <w:pPr>
              <w:ind w:left="60"/>
              <w:spacing w:after="0"/>
              <w:rPr>
                <w:sz w:val="20"/>
                <w:szCs w:val="20"/>
                <w:color w:val="auto"/>
              </w:rPr>
            </w:pPr>
            <w:r>
              <w:rPr>
                <w:rFonts w:ascii="Arial" w:cs="Arial" w:eastAsia="Arial" w:hAnsi="Arial"/>
                <w:sz w:val="20"/>
                <w:szCs w:val="20"/>
                <w:color w:val="auto"/>
              </w:rPr>
              <w:t>Solvency</w:t>
            </w: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73</w:t>
            </w:r>
          </w:p>
        </w:tc>
        <w:tc>
          <w:tcPr>
            <w:tcW w:w="220" w:type="dxa"/>
            <w:vAlign w:val="bottom"/>
            <w:gridSpan w:val="7"/>
          </w:tcPr>
          <w:p>
            <w:pPr>
              <w:jc w:val="right"/>
              <w:ind w:right="20"/>
              <w:spacing w:after="0"/>
              <w:rPr>
                <w:sz w:val="20"/>
                <w:szCs w:val="20"/>
                <w:color w:val="auto"/>
              </w:rPr>
            </w:pPr>
            <w:r>
              <w:rPr>
                <w:rFonts w:ascii="Arial" w:cs="Arial" w:eastAsia="Arial" w:hAnsi="Arial"/>
                <w:sz w:val="20"/>
                <w:szCs w:val="20"/>
                <w:color w:val="0000FF"/>
                <w:w w:val="80"/>
              </w:rPr>
              <w:t>74</w:t>
            </w: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780" w:type="dxa"/>
            <w:vAlign w:val="bottom"/>
          </w:tcPr>
          <w:p>
            <w:pPr>
              <w:spacing w:after="0"/>
              <w:rPr>
                <w:sz w:val="20"/>
                <w:szCs w:val="20"/>
                <w:color w:val="auto"/>
              </w:rPr>
            </w:pPr>
            <w:r>
              <w:rPr>
                <w:rFonts w:ascii="Arial" w:cs="Arial" w:eastAsia="Arial" w:hAnsi="Arial"/>
                <w:sz w:val="20"/>
                <w:szCs w:val="20"/>
                <w:color w:val="auto"/>
                <w:w w:val="97"/>
              </w:rPr>
              <w:t>Article IV Conditions</w:t>
            </w:r>
          </w:p>
        </w:tc>
        <w:tc>
          <w:tcPr>
            <w:tcW w:w="340" w:type="dxa"/>
            <w:vAlign w:val="bottom"/>
          </w:tcPr>
          <w:p>
            <w:pPr>
              <w:ind w:left="160"/>
              <w:spacing w:after="0"/>
              <w:rPr>
                <w:sz w:val="20"/>
                <w:szCs w:val="20"/>
                <w:color w:val="auto"/>
              </w:rPr>
            </w:pPr>
            <w:r>
              <w:rPr>
                <w:rFonts w:ascii="Arial" w:cs="Arial" w:eastAsia="Arial" w:hAnsi="Arial"/>
                <w:sz w:val="20"/>
                <w:szCs w:val="20"/>
                <w:color w:val="FF0000"/>
                <w:strike w:val="1"/>
                <w:w w:val="71"/>
              </w:rPr>
              <w:t>73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4.01</w:t>
            </w:r>
          </w:p>
        </w:tc>
        <w:tc>
          <w:tcPr>
            <w:tcW w:w="1100" w:type="dxa"/>
            <w:vAlign w:val="bottom"/>
            <w:gridSpan w:val="9"/>
          </w:tcPr>
          <w:p>
            <w:pPr>
              <w:ind w:left="60"/>
              <w:spacing w:after="0"/>
              <w:rPr>
                <w:sz w:val="20"/>
                <w:szCs w:val="20"/>
                <w:color w:val="auto"/>
              </w:rPr>
            </w:pPr>
            <w:r>
              <w:rPr>
                <w:rFonts w:ascii="Arial" w:cs="Arial" w:eastAsia="Arial" w:hAnsi="Arial"/>
                <w:sz w:val="20"/>
                <w:szCs w:val="20"/>
                <w:color w:val="auto"/>
                <w:w w:val="89"/>
              </w:rPr>
              <w:t>Closing Date</w:t>
            </w:r>
          </w:p>
        </w:tc>
        <w:tc>
          <w:tcPr>
            <w:tcW w:w="8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73</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4.02</w:t>
            </w:r>
          </w:p>
        </w:tc>
        <w:tc>
          <w:tcPr>
            <w:tcW w:w="1700" w:type="dxa"/>
            <w:vAlign w:val="bottom"/>
            <w:gridSpan w:val="25"/>
          </w:tcPr>
          <w:p>
            <w:pPr>
              <w:ind w:left="60"/>
              <w:spacing w:after="0"/>
              <w:rPr>
                <w:sz w:val="20"/>
                <w:szCs w:val="20"/>
                <w:color w:val="auto"/>
              </w:rPr>
            </w:pPr>
            <w:r>
              <w:rPr>
                <w:rFonts w:ascii="Arial" w:cs="Arial" w:eastAsia="Arial" w:hAnsi="Arial"/>
                <w:sz w:val="20"/>
                <w:szCs w:val="20"/>
                <w:color w:val="auto"/>
              </w:rPr>
              <w:t>Each Credit Event</w:t>
            </w:r>
          </w:p>
        </w:tc>
        <w:tc>
          <w:tcPr>
            <w:tcW w:w="260" w:type="dxa"/>
            <w:vAlign w:val="bottom"/>
          </w:tcPr>
          <w:p>
            <w:pPr>
              <w:jc w:val="right"/>
              <w:spacing w:after="0"/>
              <w:rPr>
                <w:sz w:val="20"/>
                <w:szCs w:val="20"/>
                <w:color w:val="auto"/>
              </w:rPr>
            </w:pPr>
            <w:r>
              <w:rPr>
                <w:rFonts w:ascii="Arial" w:cs="Arial" w:eastAsia="Arial" w:hAnsi="Arial"/>
                <w:sz w:val="20"/>
                <w:szCs w:val="20"/>
                <w:color w:val="auto"/>
                <w:w w:val="80"/>
              </w:rPr>
              <w:t>75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2780" w:type="dxa"/>
            <w:vAlign w:val="bottom"/>
            <w:gridSpan w:val="7"/>
          </w:tcPr>
          <w:p>
            <w:pPr>
              <w:spacing w:after="0"/>
              <w:rPr>
                <w:sz w:val="20"/>
                <w:szCs w:val="20"/>
                <w:color w:val="auto"/>
              </w:rPr>
            </w:pPr>
            <w:r>
              <w:rPr>
                <w:rFonts w:ascii="Arial" w:cs="Arial" w:eastAsia="Arial" w:hAnsi="Arial"/>
                <w:sz w:val="20"/>
                <w:szCs w:val="20"/>
                <w:color w:val="auto"/>
              </w:rPr>
              <w:t>Article V Affirmative Covenants</w:t>
            </w:r>
          </w:p>
        </w:tc>
        <w:tc>
          <w:tcPr>
            <w:tcW w:w="20" w:type="dxa"/>
            <w:vAlign w:val="bottom"/>
          </w:tcPr>
          <w:p>
            <w:pPr>
              <w:spacing w:after="0"/>
              <w:rPr>
                <w:sz w:val="23"/>
                <w:szCs w:val="23"/>
                <w:color w:val="auto"/>
              </w:rPr>
            </w:pP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75</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76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5.01</w:t>
            </w:r>
          </w:p>
        </w:tc>
        <w:tc>
          <w:tcPr>
            <w:tcW w:w="5100" w:type="dxa"/>
            <w:vAlign w:val="bottom"/>
            <w:gridSpan w:val="51"/>
          </w:tcPr>
          <w:p>
            <w:pPr>
              <w:ind w:left="60"/>
              <w:spacing w:after="0"/>
              <w:rPr>
                <w:sz w:val="20"/>
                <w:szCs w:val="20"/>
                <w:color w:val="auto"/>
              </w:rPr>
            </w:pPr>
            <w:r>
              <w:rPr>
                <w:rFonts w:ascii="Arial" w:cs="Arial" w:eastAsia="Arial" w:hAnsi="Arial"/>
                <w:sz w:val="20"/>
                <w:szCs w:val="20"/>
                <w:color w:val="auto"/>
                <w:w w:val="92"/>
              </w:rPr>
              <w:t>Financial Statements; Ratings Change and Other Information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76</w:t>
            </w:r>
          </w:p>
        </w:tc>
      </w:tr>
      <w:tr>
        <w:trPr>
          <w:trHeight w:val="277"/>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5.02</w:t>
            </w:r>
          </w:p>
        </w:tc>
        <w:tc>
          <w:tcPr>
            <w:tcW w:w="2380" w:type="dxa"/>
            <w:vAlign w:val="bottom"/>
            <w:gridSpan w:val="31"/>
          </w:tcPr>
          <w:p>
            <w:pPr>
              <w:ind w:left="60"/>
              <w:spacing w:after="0"/>
              <w:rPr>
                <w:sz w:val="20"/>
                <w:szCs w:val="20"/>
                <w:color w:val="auto"/>
              </w:rPr>
            </w:pPr>
            <w:r>
              <w:rPr>
                <w:rFonts w:ascii="Arial" w:cs="Arial" w:eastAsia="Arial" w:hAnsi="Arial"/>
                <w:sz w:val="20"/>
                <w:szCs w:val="20"/>
                <w:color w:val="auto"/>
                <w:w w:val="98"/>
              </w:rPr>
              <w:t>Notices of Material Events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76</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5"/>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5.03</w:t>
            </w:r>
          </w:p>
        </w:tc>
        <w:tc>
          <w:tcPr>
            <w:tcW w:w="3220" w:type="dxa"/>
            <w:vAlign w:val="bottom"/>
            <w:gridSpan w:val="39"/>
          </w:tcPr>
          <w:p>
            <w:pPr>
              <w:ind w:left="60"/>
              <w:spacing w:after="0"/>
              <w:rPr>
                <w:sz w:val="20"/>
                <w:szCs w:val="20"/>
                <w:color w:val="auto"/>
              </w:rPr>
            </w:pPr>
            <w:r>
              <w:rPr>
                <w:rFonts w:ascii="Arial" w:cs="Arial" w:eastAsia="Arial" w:hAnsi="Arial"/>
                <w:sz w:val="20"/>
                <w:szCs w:val="20"/>
                <w:color w:val="auto"/>
                <w:w w:val="99"/>
              </w:rPr>
              <w:t>Existence; Conduct of Business  77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5.04</w:t>
            </w:r>
          </w:p>
        </w:tc>
        <w:tc>
          <w:tcPr>
            <w:tcW w:w="1960" w:type="dxa"/>
            <w:vAlign w:val="bottom"/>
            <w:gridSpan w:val="26"/>
          </w:tcPr>
          <w:p>
            <w:pPr>
              <w:ind w:left="60"/>
              <w:spacing w:after="0"/>
              <w:rPr>
                <w:sz w:val="20"/>
                <w:szCs w:val="20"/>
                <w:color w:val="auto"/>
              </w:rPr>
            </w:pPr>
            <w:r>
              <w:rPr>
                <w:rFonts w:ascii="Arial" w:cs="Arial" w:eastAsia="Arial" w:hAnsi="Arial"/>
                <w:sz w:val="20"/>
                <w:szCs w:val="20"/>
                <w:color w:val="auto"/>
                <w:w w:val="90"/>
              </w:rPr>
              <w:t>Payment of Obligations</w:t>
            </w:r>
          </w:p>
        </w:tc>
        <w:tc>
          <w:tcPr>
            <w:tcW w:w="200" w:type="dxa"/>
            <w:vAlign w:val="bottom"/>
          </w:tcPr>
          <w:p>
            <w:pPr>
              <w:spacing w:after="0"/>
              <w:rPr>
                <w:sz w:val="23"/>
                <w:szCs w:val="23"/>
                <w:color w:val="auto"/>
              </w:rPr>
            </w:pPr>
          </w:p>
        </w:tc>
        <w:tc>
          <w:tcPr>
            <w:tcW w:w="180" w:type="dxa"/>
            <w:vAlign w:val="bottom"/>
            <w:gridSpan w:val="3"/>
          </w:tcPr>
          <w:p>
            <w:pPr>
              <w:jc w:val="right"/>
              <w:spacing w:after="0"/>
              <w:rPr>
                <w:sz w:val="20"/>
                <w:szCs w:val="20"/>
                <w:color w:val="auto"/>
              </w:rPr>
            </w:pPr>
            <w:r>
              <w:rPr>
                <w:rFonts w:ascii="Arial" w:cs="Arial" w:eastAsia="Arial" w:hAnsi="Arial"/>
                <w:sz w:val="20"/>
                <w:szCs w:val="20"/>
                <w:color w:val="FF0000"/>
                <w:strike w:val="1"/>
                <w:w w:val="71"/>
              </w:rPr>
              <w:t>77</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7"/>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5.05</w:t>
            </w:r>
          </w:p>
        </w:tc>
        <w:tc>
          <w:tcPr>
            <w:tcW w:w="3220" w:type="dxa"/>
            <w:vAlign w:val="bottom"/>
            <w:gridSpan w:val="39"/>
          </w:tcPr>
          <w:p>
            <w:pPr>
              <w:ind w:left="60"/>
              <w:spacing w:after="0"/>
              <w:rPr>
                <w:sz w:val="20"/>
                <w:szCs w:val="20"/>
                <w:color w:val="auto"/>
              </w:rPr>
            </w:pPr>
            <w:r>
              <w:rPr>
                <w:rFonts w:ascii="Arial" w:cs="Arial" w:eastAsia="Arial" w:hAnsi="Arial"/>
                <w:sz w:val="20"/>
                <w:szCs w:val="20"/>
                <w:color w:val="auto"/>
                <w:w w:val="94"/>
              </w:rPr>
              <w:t>Maintenance of Properties; Insurance</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5.06</w:t>
            </w:r>
          </w:p>
        </w:tc>
        <w:tc>
          <w:tcPr>
            <w:tcW w:w="3220" w:type="dxa"/>
            <w:vAlign w:val="bottom"/>
            <w:gridSpan w:val="39"/>
          </w:tcPr>
          <w:p>
            <w:pPr>
              <w:ind w:left="60"/>
              <w:spacing w:after="0"/>
              <w:rPr>
                <w:sz w:val="20"/>
                <w:szCs w:val="20"/>
                <w:color w:val="auto"/>
              </w:rPr>
            </w:pPr>
            <w:r>
              <w:rPr>
                <w:rFonts w:ascii="Arial" w:cs="Arial" w:eastAsia="Arial" w:hAnsi="Arial"/>
                <w:sz w:val="20"/>
                <w:szCs w:val="20"/>
                <w:color w:val="auto"/>
                <w:w w:val="92"/>
              </w:rPr>
              <w:t>Books and Records; Inspection Rights</w:t>
            </w:r>
          </w:p>
        </w:tc>
        <w:tc>
          <w:tcPr>
            <w:tcW w:w="8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5"/>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5.07</w:t>
            </w:r>
          </w:p>
        </w:tc>
        <w:tc>
          <w:tcPr>
            <w:tcW w:w="1960" w:type="dxa"/>
            <w:vAlign w:val="bottom"/>
            <w:gridSpan w:val="26"/>
          </w:tcPr>
          <w:p>
            <w:pPr>
              <w:ind w:left="60"/>
              <w:spacing w:after="0"/>
              <w:rPr>
                <w:sz w:val="20"/>
                <w:szCs w:val="20"/>
                <w:color w:val="auto"/>
              </w:rPr>
            </w:pPr>
            <w:r>
              <w:rPr>
                <w:rFonts w:ascii="Arial" w:cs="Arial" w:eastAsia="Arial" w:hAnsi="Arial"/>
                <w:sz w:val="20"/>
                <w:szCs w:val="20"/>
                <w:color w:val="auto"/>
                <w:w w:val="94"/>
              </w:rPr>
              <w:t>Compliance with Laws</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78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7280" w:type="dxa"/>
            <w:vAlign w:val="bottom"/>
            <w:gridSpan w:val="54"/>
          </w:tcPr>
          <w:p>
            <w:pPr>
              <w:ind w:left="660"/>
              <w:spacing w:after="0"/>
              <w:rPr>
                <w:sz w:val="20"/>
                <w:szCs w:val="20"/>
                <w:color w:val="auto"/>
              </w:rPr>
            </w:pPr>
            <w:r>
              <w:rPr>
                <w:rFonts w:ascii="Arial" w:cs="Arial" w:eastAsia="Arial" w:hAnsi="Arial"/>
                <w:sz w:val="20"/>
                <w:szCs w:val="20"/>
                <w:color w:val="auto"/>
              </w:rPr>
              <w:t>Section 5.08  Use of Proceeds and Letters of Credit</w:t>
            </w:r>
            <w:r>
              <w:rPr>
                <w:rFonts w:ascii="Arial" w:cs="Arial" w:eastAsia="Arial" w:hAnsi="Arial"/>
                <w:sz w:val="20"/>
                <w:szCs w:val="20"/>
                <w:u w:val="single" w:color="auto"/>
                <w:color w:val="0000FF"/>
              </w:rPr>
              <w:t>.</w:t>
            </w:r>
            <w:r>
              <w:rPr>
                <w:rFonts w:ascii="Arial" w:cs="Arial" w:eastAsia="Arial" w:hAnsi="Arial"/>
                <w:sz w:val="20"/>
                <w:szCs w:val="20"/>
                <w:color w:val="auto"/>
              </w:rPr>
              <w:t xml:space="preserve">  78</w:t>
            </w:r>
          </w:p>
        </w:tc>
      </w:tr>
      <w:tr>
        <w:trPr>
          <w:trHeight w:val="266"/>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5.09</w:t>
            </w:r>
          </w:p>
        </w:tc>
        <w:tc>
          <w:tcPr>
            <w:tcW w:w="2880" w:type="dxa"/>
            <w:vAlign w:val="bottom"/>
            <w:gridSpan w:val="36"/>
          </w:tcPr>
          <w:p>
            <w:pPr>
              <w:ind w:left="60"/>
              <w:spacing w:after="0"/>
              <w:rPr>
                <w:sz w:val="20"/>
                <w:szCs w:val="20"/>
                <w:color w:val="auto"/>
              </w:rPr>
            </w:pPr>
            <w:r>
              <w:rPr>
                <w:rFonts w:ascii="Arial" w:cs="Arial" w:eastAsia="Arial" w:hAnsi="Arial"/>
                <w:sz w:val="20"/>
                <w:szCs w:val="20"/>
                <w:color w:val="auto"/>
                <w:w w:val="95"/>
              </w:rPr>
              <w:t>Additional Subsidiary Guarantors</w:t>
            </w:r>
          </w:p>
        </w:tc>
        <w:tc>
          <w:tcPr>
            <w:tcW w:w="240" w:type="dxa"/>
            <w:vAlign w:val="bottom"/>
            <w:gridSpan w:val="2"/>
          </w:tcPr>
          <w:p>
            <w:pPr>
              <w:jc w:val="right"/>
              <w:spacing w:after="0"/>
              <w:rPr>
                <w:sz w:val="20"/>
                <w:szCs w:val="20"/>
                <w:color w:val="auto"/>
              </w:rPr>
            </w:pPr>
            <w:r>
              <w:rPr>
                <w:rFonts w:ascii="Arial" w:cs="Arial" w:eastAsia="Arial" w:hAnsi="Arial"/>
                <w:sz w:val="20"/>
                <w:szCs w:val="20"/>
                <w:color w:val="FF0000"/>
                <w:strike w:val="1"/>
                <w:w w:val="98"/>
              </w:rPr>
              <w:t>78</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0"/>
        </w:trPr>
        <w:tc>
          <w:tcPr>
            <w:tcW w:w="2480" w:type="dxa"/>
            <w:vAlign w:val="bottom"/>
            <w:gridSpan w:val="4"/>
          </w:tcPr>
          <w:p>
            <w:pPr>
              <w:spacing w:after="0"/>
              <w:rPr>
                <w:sz w:val="20"/>
                <w:szCs w:val="20"/>
                <w:color w:val="auto"/>
              </w:rPr>
            </w:pPr>
            <w:r>
              <w:rPr>
                <w:rFonts w:ascii="Arial" w:cs="Arial" w:eastAsia="Arial" w:hAnsi="Arial"/>
                <w:sz w:val="20"/>
                <w:szCs w:val="20"/>
                <w:color w:val="auto"/>
                <w:w w:val="92"/>
              </w:rPr>
              <w:t>Article VI Negative Covenants</w:t>
            </w:r>
          </w:p>
        </w:tc>
        <w:tc>
          <w:tcPr>
            <w:tcW w:w="380" w:type="dxa"/>
            <w:vAlign w:val="bottom"/>
            <w:gridSpan w:val="5"/>
          </w:tcPr>
          <w:p>
            <w:pPr>
              <w:jc w:val="right"/>
              <w:spacing w:after="0"/>
              <w:rPr>
                <w:sz w:val="20"/>
                <w:szCs w:val="20"/>
                <w:color w:val="auto"/>
              </w:rPr>
            </w:pPr>
            <w:r>
              <w:rPr>
                <w:rFonts w:ascii="Arial" w:cs="Arial" w:eastAsia="Arial" w:hAnsi="Arial"/>
                <w:sz w:val="20"/>
                <w:szCs w:val="20"/>
                <w:color w:val="FF0000"/>
                <w:strike w:val="1"/>
              </w:rPr>
              <w:t>78</w:t>
            </w:r>
          </w:p>
        </w:tc>
        <w:tc>
          <w:tcPr>
            <w:tcW w:w="2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0"/>
              </w:rPr>
              <w:t>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6.01</w:t>
            </w:r>
          </w:p>
        </w:tc>
        <w:tc>
          <w:tcPr>
            <w:tcW w:w="1700" w:type="dxa"/>
            <w:vAlign w:val="bottom"/>
            <w:gridSpan w:val="25"/>
          </w:tcPr>
          <w:p>
            <w:pPr>
              <w:ind w:left="60"/>
              <w:spacing w:after="0"/>
              <w:rPr>
                <w:sz w:val="20"/>
                <w:szCs w:val="20"/>
                <w:color w:val="auto"/>
              </w:rPr>
            </w:pPr>
            <w:r>
              <w:rPr>
                <w:rFonts w:ascii="Arial" w:cs="Arial" w:eastAsia="Arial" w:hAnsi="Arial"/>
                <w:sz w:val="20"/>
                <w:szCs w:val="20"/>
                <w:color w:val="auto"/>
                <w:w w:val="86"/>
              </w:rPr>
              <w:t>Changes in Business</w:t>
            </w:r>
          </w:p>
        </w:tc>
        <w:tc>
          <w:tcPr>
            <w:tcW w:w="460" w:type="dxa"/>
            <w:vAlign w:val="bottom"/>
            <w:gridSpan w:val="2"/>
          </w:tcPr>
          <w:p>
            <w:pPr>
              <w:jc w:val="right"/>
              <w:spacing w:after="0"/>
              <w:rPr>
                <w:sz w:val="20"/>
                <w:szCs w:val="20"/>
                <w:color w:val="auto"/>
              </w:rPr>
            </w:pPr>
            <w:r>
              <w:rPr>
                <w:rFonts w:ascii="Arial" w:cs="Arial" w:eastAsia="Arial" w:hAnsi="Arial"/>
                <w:sz w:val="20"/>
                <w:szCs w:val="20"/>
                <w:color w:val="FF0000"/>
                <w:strike w:val="1"/>
              </w:rPr>
              <w:t>78</w:t>
            </w: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79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5"/>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6.02</w:t>
            </w:r>
          </w:p>
        </w:tc>
        <w:tc>
          <w:tcPr>
            <w:tcW w:w="3220" w:type="dxa"/>
            <w:vAlign w:val="bottom"/>
            <w:gridSpan w:val="39"/>
          </w:tcPr>
          <w:p>
            <w:pPr>
              <w:ind w:left="60"/>
              <w:spacing w:after="0"/>
              <w:rPr>
                <w:sz w:val="20"/>
                <w:szCs w:val="20"/>
                <w:color w:val="auto"/>
              </w:rPr>
            </w:pPr>
            <w:r>
              <w:rPr>
                <w:rFonts w:ascii="Arial" w:cs="Arial" w:eastAsia="Arial" w:hAnsi="Arial"/>
                <w:sz w:val="20"/>
                <w:szCs w:val="20"/>
                <w:color w:val="auto"/>
                <w:w w:val="89"/>
              </w:rPr>
              <w:t>Consolidation, Merger, Asset Sales, etc</w:t>
            </w:r>
          </w:p>
        </w:tc>
        <w:tc>
          <w:tcPr>
            <w:tcW w:w="400" w:type="dxa"/>
            <w:vAlign w:val="bottom"/>
            <w:gridSpan w:val="6"/>
          </w:tcPr>
          <w:p>
            <w:pPr>
              <w:jc w:val="right"/>
              <w:spacing w:after="0"/>
              <w:rPr>
                <w:sz w:val="20"/>
                <w:szCs w:val="20"/>
                <w:color w:val="auto"/>
              </w:rPr>
            </w:pPr>
            <w:r>
              <w:rPr>
                <w:rFonts w:ascii="Arial" w:cs="Arial" w:eastAsia="Arial" w:hAnsi="Arial"/>
                <w:sz w:val="20"/>
                <w:szCs w:val="20"/>
                <w:color w:val="auto"/>
              </w:rPr>
              <w:t>79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6.03</w:t>
            </w:r>
          </w:p>
        </w:tc>
        <w:tc>
          <w:tcPr>
            <w:tcW w:w="700" w:type="dxa"/>
            <w:vAlign w:val="bottom"/>
            <w:gridSpan w:val="3"/>
          </w:tcPr>
          <w:p>
            <w:pPr>
              <w:ind w:left="60"/>
              <w:spacing w:after="0"/>
              <w:rPr>
                <w:sz w:val="20"/>
                <w:szCs w:val="20"/>
                <w:color w:val="auto"/>
              </w:rPr>
            </w:pPr>
            <w:r>
              <w:rPr>
                <w:rFonts w:ascii="Arial" w:cs="Arial" w:eastAsia="Arial" w:hAnsi="Arial"/>
                <w:sz w:val="20"/>
                <w:szCs w:val="20"/>
                <w:color w:val="auto"/>
              </w:rPr>
              <w:t>Liens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79</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80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321"/>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6.04</w:t>
            </w:r>
          </w:p>
        </w:tc>
        <w:tc>
          <w:tcPr>
            <w:tcW w:w="5500" w:type="dxa"/>
            <w:vAlign w:val="bottom"/>
            <w:gridSpan w:val="53"/>
          </w:tcPr>
          <w:p>
            <w:pPr>
              <w:ind w:left="60"/>
              <w:spacing w:after="0"/>
              <w:rPr>
                <w:sz w:val="20"/>
                <w:szCs w:val="20"/>
                <w:color w:val="auto"/>
              </w:rPr>
            </w:pPr>
            <w:r>
              <w:rPr>
                <w:rFonts w:ascii="Arial" w:cs="Arial" w:eastAsia="Arial" w:hAnsi="Arial"/>
                <w:sz w:val="20"/>
                <w:szCs w:val="20"/>
                <w:color w:val="auto"/>
              </w:rPr>
              <w:t>Indebtedness of Non-Loan Party Subsidiaries  81</w:t>
            </w:r>
          </w:p>
        </w:tc>
      </w:tr>
      <w:tr>
        <w:trPr>
          <w:trHeight w:val="266"/>
        </w:trPr>
        <w:tc>
          <w:tcPr>
            <w:tcW w:w="1780" w:type="dxa"/>
            <w:vAlign w:val="bottom"/>
          </w:tcPr>
          <w:p>
            <w:pPr>
              <w:ind w:left="660"/>
              <w:spacing w:after="0"/>
              <w:rPr>
                <w:sz w:val="20"/>
                <w:szCs w:val="20"/>
                <w:color w:val="auto"/>
              </w:rPr>
            </w:pPr>
            <w:r>
              <w:rPr>
                <w:rFonts w:ascii="Arial" w:cs="Arial" w:eastAsia="Arial" w:hAnsi="Arial"/>
                <w:sz w:val="20"/>
                <w:szCs w:val="20"/>
                <w:color w:val="auto"/>
                <w:w w:val="98"/>
              </w:rPr>
              <w:t>Section 6.05</w:t>
            </w:r>
          </w:p>
        </w:tc>
        <w:tc>
          <w:tcPr>
            <w:tcW w:w="1000" w:type="dxa"/>
            <w:vAlign w:val="bottom"/>
            <w:gridSpan w:val="6"/>
          </w:tcPr>
          <w:p>
            <w:pPr>
              <w:ind w:left="60"/>
              <w:spacing w:after="0"/>
              <w:rPr>
                <w:sz w:val="20"/>
                <w:szCs w:val="20"/>
                <w:color w:val="auto"/>
              </w:rPr>
            </w:pPr>
            <w:r>
              <w:rPr>
                <w:rFonts w:ascii="Arial" w:cs="Arial" w:eastAsia="Arial" w:hAnsi="Arial"/>
                <w:sz w:val="20"/>
                <w:szCs w:val="20"/>
                <w:color w:val="auto"/>
                <w:w w:val="89"/>
              </w:rPr>
              <w:t>[Reserved]</w:t>
            </w:r>
            <w:r>
              <w:rPr>
                <w:rFonts w:ascii="Arial" w:cs="Arial" w:eastAsia="Arial" w:hAnsi="Arial"/>
                <w:sz w:val="20"/>
                <w:szCs w:val="20"/>
                <w:u w:val="single" w:color="auto"/>
                <w:color w:val="0000FF"/>
                <w:w w:val="89"/>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00" w:type="dxa"/>
            <w:vAlign w:val="bottom"/>
            <w:gridSpan w:val="6"/>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83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200" w:lineRule="exact"/>
        <w:rPr>
          <w:sz w:val="20"/>
          <w:szCs w:val="20"/>
          <w:color w:val="auto"/>
        </w:rPr>
      </w:pPr>
    </w:p>
    <w:p>
      <w:pPr>
        <w:spacing w:after="0" w:line="364" w:lineRule="exact"/>
        <w:rPr>
          <w:sz w:val="20"/>
          <w:szCs w:val="20"/>
          <w:color w:val="auto"/>
        </w:rPr>
      </w:pPr>
    </w:p>
    <w:p>
      <w:pPr>
        <w:jc w:val="right"/>
        <w:ind w:right="5420"/>
        <w:spacing w:after="0"/>
        <w:rPr>
          <w:sz w:val="20"/>
          <w:szCs w:val="20"/>
          <w:color w:val="auto"/>
        </w:rPr>
      </w:pPr>
      <w:r>
        <w:rPr>
          <w:rFonts w:ascii="Arial" w:cs="Arial" w:eastAsia="Arial" w:hAnsi="Arial"/>
          <w:sz w:val="20"/>
          <w:szCs w:val="20"/>
          <w:color w:val="FF0000"/>
          <w:strike w:val="1"/>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-143510</wp:posOffset>
            </wp:positionV>
            <wp:extent cx="708914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74" w:lineRule="exact"/>
        <w:rPr>
          <w:sz w:val="20"/>
          <w:szCs w:val="20"/>
          <w:color w:val="auto"/>
        </w:rPr>
      </w:pPr>
    </w:p>
    <w:p>
      <w:pPr>
        <w:jc w:val="right"/>
        <w:ind w:right="5460"/>
        <w:spacing w:after="0"/>
        <w:rPr>
          <w:sz w:val="20"/>
          <w:szCs w:val="20"/>
          <w:color w:val="auto"/>
        </w:rPr>
      </w:pPr>
      <w:r>
        <w:rPr>
          <w:rFonts w:ascii="Arial" w:cs="Arial" w:eastAsia="Arial" w:hAnsi="Arial"/>
          <w:sz w:val="20"/>
          <w:szCs w:val="20"/>
          <w:u w:val="single" w:color="auto"/>
          <w:color w:val="0000FF"/>
        </w:rPr>
        <w:t>ii</w:t>
      </w:r>
    </w:p>
    <w:p>
      <w:pPr>
        <w:sectPr>
          <w:pgSz w:w="11900" w:h="16838" w:orient="portrait"/>
          <w:cols w:equalWidth="0" w:num="1">
            <w:col w:w="11140"/>
          </w:cols>
          <w:pgMar w:left="320" w:top="98" w:right="4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1534296381v1</w:t>
      </w:r>
      <w:r>
        <w:rPr>
          <w:rFonts w:ascii="Arial" w:cs="Arial" w:eastAsia="Arial" w:hAnsi="Arial"/>
          <w:sz w:val="13"/>
          <w:szCs w:val="13"/>
          <w:u w:val="single" w:color="auto"/>
          <w:color w:val="0000FF"/>
        </w:rPr>
        <w:t>1534296381v7</w:t>
      </w:r>
    </w:p>
    <w:p>
      <w:pPr>
        <w:sectPr>
          <w:pgSz w:w="11900" w:h="16838" w:orient="portrait"/>
          <w:cols w:equalWidth="0" w:num="1">
            <w:col w:w="11140"/>
          </w:cols>
          <w:pgMar w:left="320" w:top="98" w:right="439" w:bottom="1440" w:gutter="0" w:footer="0" w:header="0"/>
          <w:type w:val="continuous"/>
        </w:sectPr>
      </w:pPr>
    </w:p>
    <w:bookmarkStart w:id="126" w:name="page127"/>
    <w:bookmarkEnd w:id="126"/>
    <w:p>
      <w:pPr>
        <w:jc w:val="center"/>
        <w:ind w:right="-119"/>
        <w:spacing w:after="0"/>
        <w:rPr>
          <w:sz w:val="20"/>
          <w:szCs w:val="20"/>
          <w:color w:val="auto"/>
        </w:rPr>
      </w:pPr>
      <w:r>
        <w:rPr>
          <w:rFonts w:ascii="Arial" w:cs="Arial" w:eastAsia="Arial" w:hAnsi="Arial"/>
          <w:sz w:val="20"/>
          <w:szCs w:val="20"/>
          <w:b w:val="1"/>
          <w:bCs w:val="1"/>
          <w:color w:val="auto"/>
        </w:rPr>
        <w:t>TABLE OF CONTENTS</w:t>
      </w:r>
    </w:p>
    <w:p>
      <w:pPr>
        <w:jc w:val="center"/>
        <w:ind w:right="-11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90" w:type="dxa"/>
            <w:vAlign w:val="bottom"/>
          </w:tcPr>
          <w:p>
            <w:pPr>
              <w:ind w:left="660"/>
              <w:spacing w:after="0"/>
              <w:rPr>
                <w:sz w:val="20"/>
                <w:szCs w:val="20"/>
                <w:color w:val="auto"/>
              </w:rPr>
            </w:pPr>
            <w:r>
              <w:rPr>
                <w:rFonts w:ascii="Arial" w:cs="Arial" w:eastAsia="Arial" w:hAnsi="Arial"/>
                <w:sz w:val="20"/>
                <w:szCs w:val="20"/>
                <w:color w:val="auto"/>
              </w:rPr>
              <w:t>Section 6.06</w:t>
            </w:r>
          </w:p>
        </w:tc>
        <w:tc>
          <w:tcPr>
            <w:tcW w:w="1910" w:type="dxa"/>
            <w:vAlign w:val="bottom"/>
            <w:gridSpan w:val="28"/>
          </w:tcPr>
          <w:p>
            <w:pPr>
              <w:ind w:left="50"/>
              <w:spacing w:after="0"/>
              <w:rPr>
                <w:sz w:val="20"/>
                <w:szCs w:val="20"/>
                <w:color w:val="auto"/>
              </w:rPr>
            </w:pPr>
            <w:r>
              <w:rPr>
                <w:rFonts w:ascii="Arial" w:cs="Arial" w:eastAsia="Arial" w:hAnsi="Arial"/>
                <w:sz w:val="20"/>
                <w:szCs w:val="20"/>
                <w:color w:val="auto"/>
                <w:w w:val="98"/>
              </w:rPr>
              <w:t>Financial Covenants</w:t>
            </w:r>
            <w:r>
              <w:rPr>
                <w:rFonts w:ascii="Arial" w:cs="Arial" w:eastAsia="Arial" w:hAnsi="Arial"/>
                <w:sz w:val="20"/>
                <w:szCs w:val="20"/>
                <w:u w:val="single" w:color="auto"/>
                <w:color w:val="0000FF"/>
                <w:w w:val="98"/>
              </w:rPr>
              <w:t>.</w:t>
            </w:r>
          </w:p>
        </w:tc>
        <w:tc>
          <w:tcPr>
            <w:tcW w:w="200" w:type="dxa"/>
            <w:vAlign w:val="bottom"/>
            <w:gridSpan w:val="2"/>
          </w:tcPr>
          <w:p>
            <w:pPr>
              <w:jc w:val="center"/>
              <w:spacing w:after="0"/>
              <w:rPr>
                <w:sz w:val="20"/>
                <w:szCs w:val="20"/>
                <w:color w:val="auto"/>
              </w:rPr>
            </w:pPr>
            <w:r>
              <w:rPr>
                <w:rFonts w:ascii="Arial" w:cs="Arial" w:eastAsia="Arial" w:hAnsi="Arial"/>
                <w:sz w:val="20"/>
                <w:szCs w:val="20"/>
                <w:color w:val="FF0000"/>
                <w:strike w:val="1"/>
                <w:w w:val="80"/>
              </w:rPr>
              <w:t>82</w:t>
            </w:r>
          </w:p>
        </w:tc>
        <w:tc>
          <w:tcPr>
            <w:tcW w:w="220" w:type="dxa"/>
            <w:vAlign w:val="bottom"/>
            <w:gridSpan w:val="5"/>
          </w:tcPr>
          <w:p>
            <w:pPr>
              <w:jc w:val="right"/>
              <w:ind w:right="20"/>
              <w:spacing w:after="0"/>
              <w:rPr>
                <w:sz w:val="20"/>
                <w:szCs w:val="20"/>
                <w:color w:val="auto"/>
              </w:rPr>
            </w:pPr>
            <w:r>
              <w:rPr>
                <w:rFonts w:ascii="Arial" w:cs="Arial" w:eastAsia="Arial" w:hAnsi="Arial"/>
                <w:sz w:val="20"/>
                <w:szCs w:val="20"/>
                <w:color w:val="0000FF"/>
                <w:w w:val="80"/>
              </w:rPr>
              <w:t>83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7"/>
        </w:trPr>
        <w:tc>
          <w:tcPr>
            <w:tcW w:w="1790" w:type="dxa"/>
            <w:vAlign w:val="bottom"/>
          </w:tcPr>
          <w:p>
            <w:pPr>
              <w:ind w:left="660"/>
              <w:spacing w:after="0"/>
              <w:rPr>
                <w:sz w:val="20"/>
                <w:szCs w:val="20"/>
                <w:color w:val="auto"/>
              </w:rPr>
            </w:pPr>
            <w:r>
              <w:rPr>
                <w:rFonts w:ascii="Arial" w:cs="Arial" w:eastAsia="Arial" w:hAnsi="Arial"/>
                <w:sz w:val="20"/>
                <w:szCs w:val="20"/>
                <w:color w:val="auto"/>
              </w:rPr>
              <w:t>Section 6.07</w:t>
            </w:r>
          </w:p>
        </w:tc>
        <w:tc>
          <w:tcPr>
            <w:tcW w:w="1170" w:type="dxa"/>
            <w:vAlign w:val="bottom"/>
            <w:gridSpan w:val="12"/>
          </w:tcPr>
          <w:p>
            <w:pPr>
              <w:ind w:left="50"/>
              <w:spacing w:after="0"/>
              <w:rPr>
                <w:sz w:val="20"/>
                <w:szCs w:val="20"/>
                <w:color w:val="auto"/>
              </w:rPr>
            </w:pPr>
            <w:r>
              <w:rPr>
                <w:rFonts w:ascii="Arial" w:cs="Arial" w:eastAsia="Arial" w:hAnsi="Arial"/>
                <w:sz w:val="20"/>
                <w:szCs w:val="20"/>
                <w:color w:val="auto"/>
              </w:rPr>
              <w:t>[Reserved]</w:t>
            </w:r>
            <w:r>
              <w:rPr>
                <w:rFonts w:ascii="Arial" w:cs="Arial" w:eastAsia="Arial" w:hAnsi="Arial"/>
                <w:sz w:val="20"/>
                <w:szCs w:val="20"/>
                <w:u w:val="single" w:color="auto"/>
                <w:color w:val="0000FF"/>
              </w:rPr>
              <w:t>.</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20"/>
                <w:szCs w:val="20"/>
                <w:color w:val="0000FF"/>
                <w:w w:val="89"/>
              </w:rPr>
              <w:t>83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rPr>
              <w:t>Section 6.08</w:t>
            </w:r>
          </w:p>
        </w:tc>
        <w:tc>
          <w:tcPr>
            <w:tcW w:w="2370" w:type="dxa"/>
            <w:vAlign w:val="bottom"/>
            <w:gridSpan w:val="36"/>
          </w:tcPr>
          <w:p>
            <w:pPr>
              <w:ind w:left="50"/>
              <w:spacing w:after="0"/>
              <w:rPr>
                <w:sz w:val="20"/>
                <w:szCs w:val="20"/>
                <w:color w:val="auto"/>
              </w:rPr>
            </w:pPr>
            <w:r>
              <w:rPr>
                <w:rFonts w:ascii="Arial" w:cs="Arial" w:eastAsia="Arial" w:hAnsi="Arial"/>
                <w:sz w:val="20"/>
                <w:szCs w:val="20"/>
                <w:color w:val="auto"/>
              </w:rPr>
              <w:t>Transactions with Affiliate</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0"/>
              </w:rPr>
              <w:t>83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5"/>
        </w:trPr>
        <w:tc>
          <w:tcPr>
            <w:tcW w:w="5040" w:type="dxa"/>
            <w:vAlign w:val="bottom"/>
            <w:gridSpan w:val="49"/>
          </w:tcPr>
          <w:p>
            <w:pPr>
              <w:ind w:left="660"/>
              <w:spacing w:after="0"/>
              <w:rPr>
                <w:sz w:val="20"/>
                <w:szCs w:val="20"/>
                <w:color w:val="auto"/>
              </w:rPr>
            </w:pPr>
            <w:r>
              <w:rPr>
                <w:rFonts w:ascii="Arial" w:cs="Arial" w:eastAsia="Arial" w:hAnsi="Arial"/>
                <w:sz w:val="20"/>
                <w:szCs w:val="20"/>
                <w:color w:val="auto"/>
                <w:w w:val="96"/>
              </w:rPr>
              <w:t>Section 6.09  Sanctions Laws and Regulations</w:t>
            </w:r>
            <w:r>
              <w:rPr>
                <w:rFonts w:ascii="Arial" w:cs="Arial" w:eastAsia="Arial" w:hAnsi="Arial"/>
                <w:sz w:val="20"/>
                <w:szCs w:val="20"/>
                <w:u w:val="single" w:color="auto"/>
                <w:color w:val="0000FF"/>
                <w:w w:val="96"/>
              </w:rPr>
              <w:t>.</w:t>
            </w:r>
            <w:r>
              <w:rPr>
                <w:rFonts w:ascii="Arial" w:cs="Arial" w:eastAsia="Arial" w:hAnsi="Arial"/>
                <w:sz w:val="20"/>
                <w:szCs w:val="20"/>
                <w:color w:val="auto"/>
                <w:w w:val="96"/>
              </w:rPr>
              <w:t xml:space="preserve">  83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2"/>
        </w:trPr>
        <w:tc>
          <w:tcPr>
            <w:tcW w:w="2520" w:type="dxa"/>
            <w:vAlign w:val="bottom"/>
            <w:gridSpan w:val="6"/>
          </w:tcPr>
          <w:p>
            <w:pPr>
              <w:spacing w:after="0"/>
              <w:rPr>
                <w:sz w:val="20"/>
                <w:szCs w:val="20"/>
                <w:color w:val="auto"/>
              </w:rPr>
            </w:pPr>
            <w:r>
              <w:rPr>
                <w:rFonts w:ascii="Arial" w:cs="Arial" w:eastAsia="Arial" w:hAnsi="Arial"/>
                <w:sz w:val="20"/>
                <w:szCs w:val="20"/>
                <w:color w:val="auto"/>
              </w:rPr>
              <w:t>Article VII Events of Default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91"/>
        </w:trPr>
        <w:tc>
          <w:tcPr>
            <w:tcW w:w="3480" w:type="dxa"/>
            <w:vAlign w:val="bottom"/>
            <w:gridSpan w:val="24"/>
          </w:tcPr>
          <w:p>
            <w:pPr>
              <w:ind w:left="660"/>
              <w:spacing w:after="0"/>
              <w:rPr>
                <w:sz w:val="20"/>
                <w:szCs w:val="20"/>
                <w:color w:val="auto"/>
              </w:rPr>
            </w:pPr>
            <w:r>
              <w:rPr>
                <w:rFonts w:ascii="Arial" w:cs="Arial" w:eastAsia="Arial" w:hAnsi="Arial"/>
                <w:sz w:val="20"/>
                <w:szCs w:val="20"/>
                <w:color w:val="auto"/>
                <w:w w:val="99"/>
              </w:rPr>
              <w:t>Section 7.01  Events of Default</w:t>
            </w:r>
            <w:r>
              <w:rPr>
                <w:rFonts w:ascii="Arial" w:cs="Arial" w:eastAsia="Arial" w:hAnsi="Arial"/>
                <w:sz w:val="20"/>
                <w:szCs w:val="20"/>
                <w:u w:val="single" w:color="auto"/>
                <w:color w:val="0000FF"/>
                <w:w w:val="99"/>
              </w:rPr>
              <w:t>.</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gridSpan w:val="2"/>
          </w:tcPr>
          <w:p>
            <w:pPr>
              <w:jc w:val="center"/>
              <w:spacing w:after="0"/>
              <w:rPr>
                <w:sz w:val="20"/>
                <w:szCs w:val="20"/>
                <w:color w:val="auto"/>
              </w:rPr>
            </w:pPr>
            <w:r>
              <w:rPr>
                <w:rFonts w:ascii="Arial" w:cs="Arial" w:eastAsia="Arial" w:hAnsi="Arial"/>
                <w:sz w:val="20"/>
                <w:szCs w:val="20"/>
                <w:color w:val="0000FF"/>
                <w:w w:val="89"/>
              </w:rPr>
              <w:t>84</w:t>
            </w: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rPr>
              <w:t>Section 7.02</w:t>
            </w:r>
          </w:p>
        </w:tc>
        <w:tc>
          <w:tcPr>
            <w:tcW w:w="3250" w:type="dxa"/>
            <w:vAlign w:val="bottom"/>
            <w:gridSpan w:val="48"/>
          </w:tcPr>
          <w:p>
            <w:pPr>
              <w:ind w:left="50"/>
              <w:spacing w:after="0"/>
              <w:rPr>
                <w:sz w:val="20"/>
                <w:szCs w:val="20"/>
                <w:color w:val="auto"/>
              </w:rPr>
            </w:pPr>
            <w:r>
              <w:rPr>
                <w:rFonts w:ascii="Arial" w:cs="Arial" w:eastAsia="Arial" w:hAnsi="Arial"/>
                <w:sz w:val="20"/>
                <w:szCs w:val="20"/>
                <w:color w:val="auto"/>
                <w:w w:val="95"/>
              </w:rPr>
              <w:t>Distribution of Payments after Default</w:t>
            </w:r>
          </w:p>
        </w:tc>
        <w:tc>
          <w:tcPr>
            <w:tcW w:w="240" w:type="dxa"/>
            <w:vAlign w:val="bottom"/>
          </w:tcPr>
          <w:p>
            <w:pPr>
              <w:jc w:val="right"/>
              <w:spacing w:after="0"/>
              <w:rPr>
                <w:sz w:val="20"/>
                <w:szCs w:val="20"/>
                <w:color w:val="auto"/>
              </w:rPr>
            </w:pPr>
            <w:r>
              <w:rPr>
                <w:rFonts w:ascii="Arial" w:cs="Arial" w:eastAsia="Arial" w:hAnsi="Arial"/>
                <w:sz w:val="20"/>
                <w:szCs w:val="20"/>
                <w:color w:val="FF0000"/>
                <w:strike w:val="1"/>
                <w:w w:val="98"/>
              </w:rPr>
              <w:t>85</w:t>
            </w:r>
          </w:p>
        </w:tc>
        <w:tc>
          <w:tcPr>
            <w:tcW w:w="300" w:type="dxa"/>
            <w:vAlign w:val="bottom"/>
            <w:gridSpan w:val="3"/>
          </w:tcPr>
          <w:p>
            <w:pPr>
              <w:jc w:val="right"/>
              <w:ind w:right="100"/>
              <w:spacing w:after="0"/>
              <w:rPr>
                <w:sz w:val="20"/>
                <w:szCs w:val="20"/>
                <w:color w:val="auto"/>
              </w:rPr>
            </w:pPr>
            <w:r>
              <w:rPr>
                <w:rFonts w:ascii="Arial" w:cs="Arial" w:eastAsia="Arial" w:hAnsi="Arial"/>
                <w:sz w:val="20"/>
                <w:szCs w:val="20"/>
                <w:color w:val="0000FF"/>
                <w:w w:val="80"/>
              </w:rPr>
              <w:t>86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2"/>
        </w:trPr>
        <w:tc>
          <w:tcPr>
            <w:tcW w:w="3160" w:type="dxa"/>
            <w:vAlign w:val="bottom"/>
            <w:gridSpan w:val="17"/>
          </w:tcPr>
          <w:p>
            <w:pPr>
              <w:spacing w:after="0"/>
              <w:rPr>
                <w:sz w:val="20"/>
                <w:szCs w:val="20"/>
                <w:color w:val="auto"/>
              </w:rPr>
            </w:pPr>
            <w:r>
              <w:rPr>
                <w:rFonts w:ascii="Arial" w:cs="Arial" w:eastAsia="Arial" w:hAnsi="Arial"/>
                <w:sz w:val="20"/>
                <w:szCs w:val="20"/>
                <w:color w:val="auto"/>
                <w:w w:val="98"/>
              </w:rPr>
              <w:t>Article VIII The Administrative Agent</w:t>
            </w:r>
          </w:p>
        </w:tc>
        <w:tc>
          <w:tcPr>
            <w:tcW w:w="320" w:type="dxa"/>
            <w:vAlign w:val="bottom"/>
            <w:gridSpan w:val="7"/>
          </w:tcPr>
          <w:p>
            <w:pPr>
              <w:jc w:val="right"/>
              <w:ind w:right="20"/>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5040" w:type="dxa"/>
            <w:vAlign w:val="bottom"/>
            <w:gridSpan w:val="49"/>
          </w:tcPr>
          <w:p>
            <w:pPr>
              <w:ind w:left="660"/>
              <w:spacing w:after="0"/>
              <w:rPr>
                <w:sz w:val="20"/>
                <w:szCs w:val="20"/>
                <w:color w:val="auto"/>
              </w:rPr>
            </w:pPr>
            <w:r>
              <w:rPr>
                <w:rFonts w:ascii="Arial" w:cs="Arial" w:eastAsia="Arial" w:hAnsi="Arial"/>
                <w:sz w:val="20"/>
                <w:szCs w:val="20"/>
                <w:color w:val="auto"/>
              </w:rPr>
              <w:t>Section 8.01  The Administrative Agent</w:t>
            </w:r>
            <w:r>
              <w:rPr>
                <w:rFonts w:ascii="Arial" w:cs="Arial" w:eastAsia="Arial" w:hAnsi="Arial"/>
                <w:sz w:val="20"/>
                <w:szCs w:val="20"/>
                <w:u w:val="single" w:color="auto"/>
                <w:color w:val="0000FF"/>
              </w:rPr>
              <w:t>.</w:t>
            </w:r>
            <w:r>
              <w:rPr>
                <w:rFonts w:ascii="Arial" w:cs="Arial" w:eastAsia="Arial" w:hAnsi="Arial"/>
                <w:sz w:val="20"/>
                <w:szCs w:val="20"/>
                <w:color w:val="auto"/>
              </w:rPr>
              <w:t xml:space="preserve">  86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6"/>
        </w:trPr>
        <w:tc>
          <w:tcPr>
            <w:tcW w:w="1790" w:type="dxa"/>
            <w:vAlign w:val="bottom"/>
          </w:tcPr>
          <w:p>
            <w:pPr>
              <w:ind w:left="660"/>
              <w:spacing w:after="0"/>
              <w:rPr>
                <w:sz w:val="20"/>
                <w:szCs w:val="20"/>
                <w:color w:val="auto"/>
              </w:rPr>
            </w:pPr>
            <w:r>
              <w:rPr>
                <w:rFonts w:ascii="Arial" w:cs="Arial" w:eastAsia="Arial" w:hAnsi="Arial"/>
                <w:sz w:val="20"/>
                <w:szCs w:val="20"/>
                <w:color w:val="auto"/>
              </w:rPr>
              <w:t>Section 8.02</w:t>
            </w:r>
          </w:p>
        </w:tc>
        <w:tc>
          <w:tcPr>
            <w:tcW w:w="1910" w:type="dxa"/>
            <w:vAlign w:val="bottom"/>
            <w:gridSpan w:val="28"/>
          </w:tcPr>
          <w:p>
            <w:pPr>
              <w:ind w:left="50"/>
              <w:spacing w:after="0"/>
              <w:rPr>
                <w:sz w:val="20"/>
                <w:szCs w:val="20"/>
                <w:color w:val="auto"/>
              </w:rPr>
            </w:pPr>
            <w:r>
              <w:rPr>
                <w:rFonts w:ascii="Arial" w:cs="Arial" w:eastAsia="Arial" w:hAnsi="Arial"/>
                <w:sz w:val="20"/>
                <w:szCs w:val="20"/>
                <w:color w:val="auto"/>
                <w:w w:val="95"/>
              </w:rPr>
              <w:t>Erroneous Payments</w:t>
            </w:r>
            <w:r>
              <w:rPr>
                <w:rFonts w:ascii="Arial" w:cs="Arial" w:eastAsia="Arial" w:hAnsi="Arial"/>
                <w:sz w:val="20"/>
                <w:szCs w:val="20"/>
                <w:u w:val="single" w:color="auto"/>
                <w:color w:val="0000FF"/>
                <w:w w:val="95"/>
              </w:rPr>
              <w:t>.</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87</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88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7"/>
        </w:trPr>
        <w:tc>
          <w:tcPr>
            <w:tcW w:w="1790" w:type="dxa"/>
            <w:vAlign w:val="bottom"/>
          </w:tcPr>
          <w:p>
            <w:pPr>
              <w:spacing w:after="0"/>
              <w:rPr>
                <w:sz w:val="20"/>
                <w:szCs w:val="20"/>
                <w:color w:val="auto"/>
              </w:rPr>
            </w:pPr>
            <w:r>
              <w:rPr>
                <w:rFonts w:ascii="Arial" w:cs="Arial" w:eastAsia="Arial" w:hAnsi="Arial"/>
                <w:sz w:val="20"/>
                <w:szCs w:val="20"/>
                <w:color w:val="auto"/>
              </w:rPr>
              <w:t>Article IX Guaranty</w:t>
            </w:r>
          </w:p>
        </w:tc>
        <w:tc>
          <w:tcPr>
            <w:tcW w:w="210" w:type="dxa"/>
            <w:vAlign w:val="bottom"/>
          </w:tcPr>
          <w:p>
            <w:pPr>
              <w:ind w:left="10"/>
              <w:spacing w:after="0"/>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91</w:t>
            </w:r>
          </w:p>
        </w:tc>
        <w:tc>
          <w:tcPr>
            <w:tcW w:w="5460" w:type="dxa"/>
            <w:vAlign w:val="bottom"/>
            <w:gridSpan w:val="57"/>
          </w:tcPr>
          <w:p>
            <w:pPr>
              <w:spacing w:after="0"/>
              <w:rPr>
                <w:sz w:val="24"/>
                <w:szCs w:val="24"/>
                <w:color w:val="auto"/>
              </w:rPr>
            </w:pPr>
          </w:p>
        </w:tc>
      </w:tr>
      <w:tr>
        <w:trPr>
          <w:trHeight w:val="291"/>
        </w:trPr>
        <w:tc>
          <w:tcPr>
            <w:tcW w:w="1790" w:type="dxa"/>
            <w:vAlign w:val="bottom"/>
          </w:tcPr>
          <w:p>
            <w:pPr>
              <w:ind w:left="660"/>
              <w:spacing w:after="0"/>
              <w:rPr>
                <w:sz w:val="20"/>
                <w:szCs w:val="20"/>
                <w:color w:val="auto"/>
              </w:rPr>
            </w:pPr>
            <w:r>
              <w:rPr>
                <w:rFonts w:ascii="Arial" w:cs="Arial" w:eastAsia="Arial" w:hAnsi="Arial"/>
                <w:sz w:val="20"/>
                <w:szCs w:val="20"/>
                <w:color w:val="auto"/>
              </w:rPr>
              <w:t>Section 9.01</w:t>
            </w:r>
          </w:p>
        </w:tc>
        <w:tc>
          <w:tcPr>
            <w:tcW w:w="2150" w:type="dxa"/>
            <w:vAlign w:val="bottom"/>
            <w:gridSpan w:val="32"/>
          </w:tcPr>
          <w:p>
            <w:pPr>
              <w:ind w:left="50"/>
              <w:spacing w:after="0"/>
              <w:rPr>
                <w:sz w:val="20"/>
                <w:szCs w:val="20"/>
                <w:color w:val="auto"/>
              </w:rPr>
            </w:pPr>
            <w:r>
              <w:rPr>
                <w:rFonts w:ascii="Arial" w:cs="Arial" w:eastAsia="Arial" w:hAnsi="Arial"/>
                <w:sz w:val="20"/>
                <w:szCs w:val="20"/>
                <w:color w:val="auto"/>
                <w:w w:val="89"/>
              </w:rPr>
              <w:t>Guaranty by the Company</w:t>
            </w:r>
          </w:p>
        </w:tc>
        <w:tc>
          <w:tcPr>
            <w:tcW w:w="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90</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7"/>
        </w:trPr>
        <w:tc>
          <w:tcPr>
            <w:tcW w:w="1790" w:type="dxa"/>
            <w:vAlign w:val="bottom"/>
          </w:tcPr>
          <w:p>
            <w:pPr>
              <w:ind w:left="660"/>
              <w:spacing w:after="0"/>
              <w:rPr>
                <w:sz w:val="20"/>
                <w:szCs w:val="20"/>
                <w:color w:val="auto"/>
              </w:rPr>
            </w:pPr>
            <w:r>
              <w:rPr>
                <w:rFonts w:ascii="Arial" w:cs="Arial" w:eastAsia="Arial" w:hAnsi="Arial"/>
                <w:sz w:val="20"/>
                <w:szCs w:val="20"/>
                <w:color w:val="auto"/>
              </w:rPr>
              <w:t>Section 9.02</w:t>
            </w:r>
          </w:p>
        </w:tc>
        <w:tc>
          <w:tcPr>
            <w:tcW w:w="2150" w:type="dxa"/>
            <w:vAlign w:val="bottom"/>
            <w:gridSpan w:val="32"/>
          </w:tcPr>
          <w:p>
            <w:pPr>
              <w:ind w:left="50"/>
              <w:spacing w:after="0"/>
              <w:rPr>
                <w:sz w:val="20"/>
                <w:szCs w:val="20"/>
                <w:color w:val="auto"/>
              </w:rPr>
            </w:pPr>
            <w:r>
              <w:rPr>
                <w:rFonts w:ascii="Arial" w:cs="Arial" w:eastAsia="Arial" w:hAnsi="Arial"/>
                <w:sz w:val="20"/>
                <w:szCs w:val="20"/>
                <w:color w:val="auto"/>
                <w:w w:val="99"/>
              </w:rPr>
              <w:t>Guaranty Unconditional</w:t>
            </w: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91</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5"/>
        </w:trPr>
        <w:tc>
          <w:tcPr>
            <w:tcW w:w="1790" w:type="dxa"/>
            <w:vAlign w:val="bottom"/>
          </w:tcPr>
          <w:p>
            <w:pPr>
              <w:ind w:left="660"/>
              <w:spacing w:after="0"/>
              <w:rPr>
                <w:sz w:val="20"/>
                <w:szCs w:val="20"/>
                <w:color w:val="auto"/>
              </w:rPr>
            </w:pPr>
            <w:r>
              <w:rPr>
                <w:rFonts w:ascii="Arial" w:cs="Arial" w:eastAsia="Arial" w:hAnsi="Arial"/>
                <w:sz w:val="20"/>
                <w:szCs w:val="20"/>
                <w:color w:val="auto"/>
              </w:rPr>
              <w:t>Section 9.03</w:t>
            </w:r>
          </w:p>
        </w:tc>
        <w:tc>
          <w:tcPr>
            <w:tcW w:w="890" w:type="dxa"/>
            <w:vAlign w:val="bottom"/>
            <w:gridSpan w:val="7"/>
          </w:tcPr>
          <w:p>
            <w:pPr>
              <w:ind w:left="50"/>
              <w:spacing w:after="0"/>
              <w:rPr>
                <w:sz w:val="20"/>
                <w:szCs w:val="20"/>
                <w:color w:val="auto"/>
              </w:rPr>
            </w:pPr>
            <w:r>
              <w:rPr>
                <w:rFonts w:ascii="Arial" w:cs="Arial" w:eastAsia="Arial" w:hAnsi="Arial"/>
                <w:sz w:val="20"/>
                <w:szCs w:val="20"/>
                <w:color w:val="auto"/>
              </w:rPr>
              <w:t>Waivers</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w w:val="80"/>
              </w:rPr>
              <w:t>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6"/>
        </w:trPr>
        <w:tc>
          <w:tcPr>
            <w:tcW w:w="1790" w:type="dxa"/>
            <w:vAlign w:val="bottom"/>
          </w:tcPr>
          <w:p>
            <w:pPr>
              <w:ind w:left="660"/>
              <w:spacing w:after="0"/>
              <w:rPr>
                <w:sz w:val="20"/>
                <w:szCs w:val="20"/>
                <w:color w:val="auto"/>
              </w:rPr>
            </w:pPr>
            <w:r>
              <w:rPr>
                <w:rFonts w:ascii="Arial" w:cs="Arial" w:eastAsia="Arial" w:hAnsi="Arial"/>
                <w:sz w:val="20"/>
                <w:szCs w:val="20"/>
                <w:color w:val="auto"/>
              </w:rPr>
              <w:t>Section 9.04</w:t>
            </w:r>
          </w:p>
        </w:tc>
        <w:tc>
          <w:tcPr>
            <w:tcW w:w="4610" w:type="dxa"/>
            <w:vAlign w:val="bottom"/>
            <w:gridSpan w:val="53"/>
          </w:tcPr>
          <w:p>
            <w:pPr>
              <w:ind w:left="50"/>
              <w:spacing w:after="0"/>
              <w:rPr>
                <w:sz w:val="20"/>
                <w:szCs w:val="20"/>
                <w:color w:val="auto"/>
              </w:rPr>
            </w:pPr>
            <w:r>
              <w:rPr>
                <w:rFonts w:ascii="Arial" w:cs="Arial" w:eastAsia="Arial" w:hAnsi="Arial"/>
                <w:sz w:val="20"/>
                <w:szCs w:val="20"/>
                <w:color w:val="auto"/>
                <w:w w:val="94"/>
              </w:rPr>
              <w:t>Company Obligations to Remain in Effect; Restoration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92</w:t>
            </w:r>
          </w:p>
        </w:tc>
        <w:tc>
          <w:tcPr>
            <w:tcW w:w="280" w:type="dxa"/>
            <w:vAlign w:val="bottom"/>
            <w:gridSpan w:val="2"/>
          </w:tcPr>
          <w:p>
            <w:pPr>
              <w:jc w:val="right"/>
              <w:ind w:right="80"/>
              <w:spacing w:after="0"/>
              <w:rPr>
                <w:sz w:val="20"/>
                <w:szCs w:val="20"/>
                <w:color w:val="auto"/>
              </w:rPr>
            </w:pPr>
            <w:r>
              <w:rPr>
                <w:rFonts w:ascii="Arial" w:cs="Arial" w:eastAsia="Arial" w:hAnsi="Arial"/>
                <w:sz w:val="20"/>
                <w:szCs w:val="20"/>
                <w:color w:val="0000FF"/>
                <w:w w:val="80"/>
              </w:rPr>
              <w:t>93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7"/>
        </w:trPr>
        <w:tc>
          <w:tcPr>
            <w:tcW w:w="1790" w:type="dxa"/>
            <w:vAlign w:val="bottom"/>
          </w:tcPr>
          <w:p>
            <w:pPr>
              <w:ind w:left="660"/>
              <w:spacing w:after="0"/>
              <w:rPr>
                <w:sz w:val="20"/>
                <w:szCs w:val="20"/>
                <w:color w:val="auto"/>
              </w:rPr>
            </w:pPr>
            <w:r>
              <w:rPr>
                <w:rFonts w:ascii="Arial" w:cs="Arial" w:eastAsia="Arial" w:hAnsi="Arial"/>
                <w:sz w:val="20"/>
                <w:szCs w:val="20"/>
                <w:color w:val="auto"/>
              </w:rPr>
              <w:t>Section 9.05</w:t>
            </w:r>
          </w:p>
        </w:tc>
        <w:tc>
          <w:tcPr>
            <w:tcW w:w="2150" w:type="dxa"/>
            <w:vAlign w:val="bottom"/>
            <w:gridSpan w:val="32"/>
          </w:tcPr>
          <w:p>
            <w:pPr>
              <w:ind w:left="50"/>
              <w:spacing w:after="0"/>
              <w:rPr>
                <w:sz w:val="20"/>
                <w:szCs w:val="20"/>
                <w:color w:val="auto"/>
              </w:rPr>
            </w:pPr>
            <w:r>
              <w:rPr>
                <w:rFonts w:ascii="Arial" w:cs="Arial" w:eastAsia="Arial" w:hAnsi="Arial"/>
                <w:sz w:val="20"/>
                <w:szCs w:val="20"/>
                <w:color w:val="auto"/>
                <w:w w:val="89"/>
              </w:rPr>
              <w:t>Waiver of Acceptance, etc</w:t>
            </w:r>
          </w:p>
        </w:tc>
        <w:tc>
          <w:tcPr>
            <w:tcW w:w="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92</w:t>
            </w:r>
          </w:p>
        </w:tc>
        <w:tc>
          <w:tcPr>
            <w:tcW w:w="220" w:type="dxa"/>
            <w:vAlign w:val="bottom"/>
            <w:gridSpan w:val="5"/>
          </w:tcPr>
          <w:p>
            <w:pPr>
              <w:spacing w:after="0"/>
              <w:rPr>
                <w:sz w:val="20"/>
                <w:szCs w:val="20"/>
                <w:color w:val="auto"/>
              </w:rPr>
            </w:pPr>
            <w:r>
              <w:rPr>
                <w:rFonts w:ascii="Arial" w:cs="Arial" w:eastAsia="Arial" w:hAnsi="Arial"/>
                <w:sz w:val="20"/>
                <w:szCs w:val="20"/>
                <w:color w:val="0000FF"/>
                <w:w w:val="89"/>
              </w:rPr>
              <w:t>93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1790" w:type="dxa"/>
            <w:vAlign w:val="bottom"/>
          </w:tcPr>
          <w:p>
            <w:pPr>
              <w:ind w:left="660"/>
              <w:spacing w:after="0"/>
              <w:rPr>
                <w:sz w:val="20"/>
                <w:szCs w:val="20"/>
                <w:color w:val="auto"/>
              </w:rPr>
            </w:pPr>
            <w:r>
              <w:rPr>
                <w:rFonts w:ascii="Arial" w:cs="Arial" w:eastAsia="Arial" w:hAnsi="Arial"/>
                <w:sz w:val="20"/>
                <w:szCs w:val="20"/>
                <w:color w:val="auto"/>
              </w:rPr>
              <w:t>Section 9.06</w:t>
            </w:r>
          </w:p>
        </w:tc>
        <w:tc>
          <w:tcPr>
            <w:tcW w:w="1170" w:type="dxa"/>
            <w:vAlign w:val="bottom"/>
            <w:gridSpan w:val="12"/>
          </w:tcPr>
          <w:p>
            <w:pPr>
              <w:ind w:left="50"/>
              <w:spacing w:after="0"/>
              <w:rPr>
                <w:sz w:val="20"/>
                <w:szCs w:val="20"/>
                <w:color w:val="auto"/>
              </w:rPr>
            </w:pPr>
            <w:r>
              <w:rPr>
                <w:rFonts w:ascii="Arial" w:cs="Arial" w:eastAsia="Arial" w:hAnsi="Arial"/>
                <w:sz w:val="20"/>
                <w:szCs w:val="20"/>
                <w:color w:val="auto"/>
              </w:rPr>
              <w:t>Subrogation</w:t>
            </w:r>
          </w:p>
        </w:tc>
        <w:tc>
          <w:tcPr>
            <w:tcW w:w="40" w:type="dxa"/>
            <w:vAlign w:val="bottom"/>
          </w:tcPr>
          <w:p>
            <w:pPr>
              <w:spacing w:after="0"/>
              <w:rPr>
                <w:sz w:val="24"/>
                <w:szCs w:val="24"/>
                <w:color w:val="auto"/>
              </w:rPr>
            </w:pP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92</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rPr>
              <w:t>Section 9.07</w:t>
            </w:r>
          </w:p>
        </w:tc>
        <w:tc>
          <w:tcPr>
            <w:tcW w:w="1170" w:type="dxa"/>
            <w:vAlign w:val="bottom"/>
            <w:gridSpan w:val="12"/>
          </w:tcPr>
          <w:p>
            <w:pPr>
              <w:ind w:left="50"/>
              <w:spacing w:after="0"/>
              <w:rPr>
                <w:sz w:val="20"/>
                <w:szCs w:val="20"/>
                <w:color w:val="auto"/>
              </w:rPr>
            </w:pPr>
            <w:r>
              <w:rPr>
                <w:rFonts w:ascii="Arial" w:cs="Arial" w:eastAsia="Arial" w:hAnsi="Arial"/>
                <w:sz w:val="20"/>
                <w:szCs w:val="20"/>
                <w:color w:val="auto"/>
                <w:w w:val="92"/>
              </w:rPr>
              <w:t>Effect of Stay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Arial" w:cs="Arial" w:eastAsia="Arial" w:hAnsi="Arial"/>
                <w:sz w:val="20"/>
                <w:szCs w:val="20"/>
                <w:color w:val="FF0000"/>
                <w:strike w:val="1"/>
                <w:w w:val="89"/>
              </w:rPr>
              <w:t>92</w:t>
            </w:r>
          </w:p>
        </w:tc>
        <w:tc>
          <w:tcPr>
            <w:tcW w:w="280" w:type="dxa"/>
            <w:vAlign w:val="bottom"/>
            <w:gridSpan w:val="6"/>
          </w:tcPr>
          <w:p>
            <w:pPr>
              <w:spacing w:after="0"/>
              <w:rPr>
                <w:sz w:val="20"/>
                <w:szCs w:val="20"/>
                <w:color w:val="auto"/>
              </w:rPr>
            </w:pPr>
            <w:r>
              <w:rPr>
                <w:rFonts w:ascii="Arial" w:cs="Arial" w:eastAsia="Arial" w:hAnsi="Arial"/>
                <w:sz w:val="20"/>
                <w:szCs w:val="20"/>
                <w:color w:val="0000FF"/>
              </w:rPr>
              <w:t>93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1"/>
        </w:trPr>
        <w:tc>
          <w:tcPr>
            <w:tcW w:w="1790" w:type="dxa"/>
            <w:vAlign w:val="bottom"/>
          </w:tcPr>
          <w:p>
            <w:pPr>
              <w:ind w:left="660"/>
              <w:spacing w:after="0"/>
              <w:rPr>
                <w:sz w:val="20"/>
                <w:szCs w:val="20"/>
                <w:color w:val="auto"/>
              </w:rPr>
            </w:pPr>
            <w:r>
              <w:rPr>
                <w:rFonts w:ascii="Arial" w:cs="Arial" w:eastAsia="Arial" w:hAnsi="Arial"/>
                <w:sz w:val="20"/>
                <w:szCs w:val="20"/>
                <w:color w:val="auto"/>
              </w:rPr>
              <w:t>Section 9.08</w:t>
            </w:r>
          </w:p>
        </w:tc>
        <w:tc>
          <w:tcPr>
            <w:tcW w:w="890" w:type="dxa"/>
            <w:vAlign w:val="bottom"/>
            <w:gridSpan w:val="7"/>
          </w:tcPr>
          <w:p>
            <w:pPr>
              <w:ind w:left="50"/>
              <w:spacing w:after="0"/>
              <w:rPr>
                <w:sz w:val="20"/>
                <w:szCs w:val="20"/>
                <w:color w:val="auto"/>
              </w:rPr>
            </w:pPr>
            <w:r>
              <w:rPr>
                <w:rFonts w:ascii="Arial" w:cs="Arial" w:eastAsia="Arial" w:hAnsi="Arial"/>
                <w:sz w:val="20"/>
                <w:szCs w:val="20"/>
                <w:color w:val="auto"/>
              </w:rPr>
              <w:t>Keepwell</w:t>
            </w:r>
          </w:p>
        </w:tc>
        <w:tc>
          <w:tcPr>
            <w:tcW w:w="320" w:type="dxa"/>
            <w:vAlign w:val="bottom"/>
            <w:gridSpan w:val="6"/>
          </w:tcPr>
          <w:p>
            <w:pPr>
              <w:ind w:left="120"/>
              <w:spacing w:after="0"/>
              <w:rPr>
                <w:sz w:val="20"/>
                <w:szCs w:val="20"/>
                <w:color w:val="auto"/>
              </w:rPr>
            </w:pPr>
            <w:r>
              <w:rPr>
                <w:rFonts w:ascii="Arial" w:cs="Arial" w:eastAsia="Arial" w:hAnsi="Arial"/>
                <w:sz w:val="20"/>
                <w:szCs w:val="20"/>
                <w:color w:val="auto"/>
                <w:w w:val="80"/>
              </w:rPr>
              <w:t>93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6"/>
        </w:trPr>
        <w:tc>
          <w:tcPr>
            <w:tcW w:w="2140" w:type="dxa"/>
            <w:vAlign w:val="bottom"/>
            <w:gridSpan w:val="3"/>
          </w:tcPr>
          <w:p>
            <w:pPr>
              <w:spacing w:after="0"/>
              <w:rPr>
                <w:sz w:val="20"/>
                <w:szCs w:val="20"/>
                <w:color w:val="auto"/>
              </w:rPr>
            </w:pPr>
            <w:r>
              <w:rPr>
                <w:rFonts w:ascii="Arial" w:cs="Arial" w:eastAsia="Arial" w:hAnsi="Arial"/>
                <w:sz w:val="20"/>
                <w:szCs w:val="20"/>
                <w:color w:val="auto"/>
              </w:rPr>
              <w:t>Article X Miscellaneous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93</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94</w:t>
            </w:r>
          </w:p>
        </w:tc>
        <w:tc>
          <w:tcPr>
            <w:tcW w:w="5120" w:type="dxa"/>
            <w:vAlign w:val="bottom"/>
            <w:gridSpan w:val="54"/>
          </w:tcPr>
          <w:p>
            <w:pPr>
              <w:spacing w:after="0"/>
              <w:rPr>
                <w:sz w:val="23"/>
                <w:szCs w:val="23"/>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10.01</w:t>
            </w:r>
          </w:p>
        </w:tc>
        <w:tc>
          <w:tcPr>
            <w:tcW w:w="890" w:type="dxa"/>
            <w:vAlign w:val="bottom"/>
            <w:gridSpan w:val="7"/>
          </w:tcPr>
          <w:p>
            <w:pPr>
              <w:ind w:left="150"/>
              <w:spacing w:after="0"/>
              <w:rPr>
                <w:sz w:val="20"/>
                <w:szCs w:val="20"/>
                <w:color w:val="auto"/>
              </w:rPr>
            </w:pPr>
            <w:r>
              <w:rPr>
                <w:rFonts w:ascii="Arial" w:cs="Arial" w:eastAsia="Arial" w:hAnsi="Arial"/>
                <w:sz w:val="20"/>
                <w:szCs w:val="20"/>
                <w:color w:val="auto"/>
              </w:rPr>
              <w:t>Notices</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93</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1"/>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10.02</w:t>
            </w:r>
          </w:p>
        </w:tc>
        <w:tc>
          <w:tcPr>
            <w:tcW w:w="2150" w:type="dxa"/>
            <w:vAlign w:val="bottom"/>
            <w:gridSpan w:val="32"/>
          </w:tcPr>
          <w:p>
            <w:pPr>
              <w:ind w:left="150"/>
              <w:spacing w:after="0"/>
              <w:rPr>
                <w:sz w:val="20"/>
                <w:szCs w:val="20"/>
                <w:color w:val="auto"/>
              </w:rPr>
            </w:pPr>
            <w:r>
              <w:rPr>
                <w:rFonts w:ascii="Arial" w:cs="Arial" w:eastAsia="Arial" w:hAnsi="Arial"/>
                <w:sz w:val="20"/>
                <w:szCs w:val="20"/>
                <w:color w:val="auto"/>
                <w:w w:val="98"/>
              </w:rPr>
              <w:t>Waivers; Amendments</w:t>
            </w:r>
          </w:p>
        </w:tc>
        <w:tc>
          <w:tcPr>
            <w:tcW w:w="220" w:type="dxa"/>
            <w:vAlign w:val="bottom"/>
            <w:gridSpan w:val="4"/>
          </w:tcPr>
          <w:p>
            <w:pPr>
              <w:jc w:val="right"/>
              <w:spacing w:after="0"/>
              <w:rPr>
                <w:sz w:val="20"/>
                <w:szCs w:val="20"/>
                <w:color w:val="auto"/>
              </w:rPr>
            </w:pPr>
            <w:r>
              <w:rPr>
                <w:rFonts w:ascii="Arial" w:cs="Arial" w:eastAsia="Arial" w:hAnsi="Arial"/>
                <w:sz w:val="20"/>
                <w:szCs w:val="20"/>
                <w:color w:val="auto"/>
                <w:w w:val="80"/>
              </w:rPr>
              <w:t>95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66"/>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10.03</w:t>
            </w:r>
          </w:p>
        </w:tc>
        <w:tc>
          <w:tcPr>
            <w:tcW w:w="3250" w:type="dxa"/>
            <w:vAlign w:val="bottom"/>
            <w:gridSpan w:val="48"/>
          </w:tcPr>
          <w:p>
            <w:pPr>
              <w:ind w:left="150"/>
              <w:spacing w:after="0"/>
              <w:rPr>
                <w:sz w:val="20"/>
                <w:szCs w:val="20"/>
                <w:color w:val="auto"/>
              </w:rPr>
            </w:pPr>
            <w:r>
              <w:rPr>
                <w:rFonts w:ascii="Arial" w:cs="Arial" w:eastAsia="Arial" w:hAnsi="Arial"/>
                <w:sz w:val="20"/>
                <w:szCs w:val="20"/>
                <w:color w:val="auto"/>
                <w:w w:val="90"/>
              </w:rPr>
              <w:t>Expenses; Indemnity; Damage Waiver</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rPr>
              <w:t>95</w:t>
            </w:r>
          </w:p>
        </w:tc>
        <w:tc>
          <w:tcPr>
            <w:tcW w:w="1020" w:type="dxa"/>
            <w:vAlign w:val="bottom"/>
            <w:gridSpan w:val="3"/>
          </w:tcPr>
          <w:p>
            <w:pPr>
              <w:jc w:val="right"/>
              <w:ind w:right="820"/>
              <w:spacing w:after="0"/>
              <w:rPr>
                <w:sz w:val="20"/>
                <w:szCs w:val="20"/>
                <w:color w:val="auto"/>
              </w:rPr>
            </w:pPr>
            <w:r>
              <w:rPr>
                <w:rFonts w:ascii="Arial" w:cs="Arial" w:eastAsia="Arial" w:hAnsi="Arial"/>
                <w:sz w:val="20"/>
                <w:szCs w:val="20"/>
                <w:color w:val="0000FF"/>
                <w:w w:val="80"/>
              </w:rPr>
              <w:t>96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10.04</w:t>
            </w:r>
          </w:p>
        </w:tc>
        <w:tc>
          <w:tcPr>
            <w:tcW w:w="2150" w:type="dxa"/>
            <w:vAlign w:val="bottom"/>
            <w:gridSpan w:val="32"/>
          </w:tcPr>
          <w:p>
            <w:pPr>
              <w:ind w:left="150"/>
              <w:spacing w:after="0"/>
              <w:rPr>
                <w:sz w:val="20"/>
                <w:szCs w:val="20"/>
                <w:color w:val="auto"/>
              </w:rPr>
            </w:pPr>
            <w:r>
              <w:rPr>
                <w:rFonts w:ascii="Arial" w:cs="Arial" w:eastAsia="Arial" w:hAnsi="Arial"/>
                <w:sz w:val="20"/>
                <w:szCs w:val="20"/>
                <w:color w:val="auto"/>
                <w:w w:val="90"/>
              </w:rPr>
              <w:t>Successors and Assigns</w:t>
            </w:r>
          </w:p>
        </w:tc>
        <w:tc>
          <w:tcPr>
            <w:tcW w:w="6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97</w:t>
            </w:r>
          </w:p>
        </w:tc>
        <w:tc>
          <w:tcPr>
            <w:tcW w:w="240" w:type="dxa"/>
            <w:vAlign w:val="bottom"/>
            <w:gridSpan w:val="5"/>
          </w:tcPr>
          <w:p>
            <w:pPr>
              <w:jc w:val="right"/>
              <w:ind w:right="100"/>
              <w:spacing w:after="0"/>
              <w:rPr>
                <w:sz w:val="20"/>
                <w:szCs w:val="20"/>
                <w:color w:val="auto"/>
              </w:rPr>
            </w:pPr>
            <w:r>
              <w:rPr>
                <w:rFonts w:ascii="Arial" w:cs="Arial" w:eastAsia="Arial" w:hAnsi="Arial"/>
                <w:sz w:val="15"/>
                <w:szCs w:val="15"/>
                <w:color w:val="0000FF"/>
                <w:w w:val="71"/>
              </w:rPr>
              <w:t>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7"/>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10.05</w:t>
            </w:r>
          </w:p>
        </w:tc>
        <w:tc>
          <w:tcPr>
            <w:tcW w:w="890" w:type="dxa"/>
            <w:vAlign w:val="bottom"/>
            <w:gridSpan w:val="7"/>
          </w:tcPr>
          <w:p>
            <w:pPr>
              <w:ind w:left="150"/>
              <w:spacing w:after="0"/>
              <w:rPr>
                <w:sz w:val="20"/>
                <w:szCs w:val="20"/>
                <w:color w:val="auto"/>
              </w:rPr>
            </w:pPr>
            <w:r>
              <w:rPr>
                <w:rFonts w:ascii="Arial" w:cs="Arial" w:eastAsia="Arial" w:hAnsi="Arial"/>
                <w:sz w:val="20"/>
                <w:szCs w:val="20"/>
                <w:color w:val="auto"/>
              </w:rPr>
              <w:t>Survival</w:t>
            </w:r>
          </w:p>
        </w:tc>
        <w:tc>
          <w:tcPr>
            <w:tcW w:w="40" w:type="dxa"/>
            <w:vAlign w:val="bottom"/>
          </w:tcPr>
          <w:p>
            <w:pPr>
              <w:spacing w:after="0"/>
              <w:rPr>
                <w:sz w:val="24"/>
                <w:szCs w:val="24"/>
                <w:color w:val="auto"/>
              </w:rPr>
            </w:pPr>
          </w:p>
        </w:tc>
        <w:tc>
          <w:tcPr>
            <w:tcW w:w="380" w:type="dxa"/>
            <w:vAlign w:val="bottom"/>
            <w:gridSpan w:val="6"/>
          </w:tcPr>
          <w:p>
            <w:pPr>
              <w:ind w:left="100"/>
              <w:spacing w:after="0"/>
              <w:rPr>
                <w:sz w:val="20"/>
                <w:szCs w:val="20"/>
                <w:color w:val="auto"/>
              </w:rPr>
            </w:pPr>
            <w:r>
              <w:rPr>
                <w:rFonts w:ascii="Arial" w:cs="Arial" w:eastAsia="Arial" w:hAnsi="Arial"/>
                <w:sz w:val="20"/>
                <w:szCs w:val="20"/>
                <w:color w:val="FF0000"/>
                <w:strike w:val="1"/>
                <w:w w:val="77"/>
              </w:rPr>
              <w:t>100</w:t>
            </w:r>
          </w:p>
        </w:tc>
        <w:tc>
          <w:tcPr>
            <w:tcW w:w="32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color w:val="0000FF"/>
                <w:w w:val="83"/>
              </w:rPr>
              <w:t>101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10.06</w:t>
            </w:r>
          </w:p>
        </w:tc>
        <w:tc>
          <w:tcPr>
            <w:tcW w:w="5090" w:type="dxa"/>
            <w:vAlign w:val="bottom"/>
            <w:gridSpan w:val="56"/>
          </w:tcPr>
          <w:p>
            <w:pPr>
              <w:ind w:left="150"/>
              <w:spacing w:after="0"/>
              <w:rPr>
                <w:sz w:val="20"/>
                <w:szCs w:val="20"/>
                <w:color w:val="auto"/>
              </w:rPr>
            </w:pPr>
            <w:r>
              <w:rPr>
                <w:rFonts w:ascii="Arial" w:cs="Arial" w:eastAsia="Arial" w:hAnsi="Arial"/>
                <w:sz w:val="20"/>
                <w:szCs w:val="20"/>
                <w:color w:val="auto"/>
                <w:w w:val="90"/>
              </w:rPr>
              <w:t>Counterparts; Integration; Effectiveness; Electronic Execution</w:t>
            </w:r>
          </w:p>
        </w:tc>
        <w:tc>
          <w:tcPr>
            <w:tcW w:w="480" w:type="dxa"/>
            <w:vAlign w:val="bottom"/>
            <w:gridSpan w:val="2"/>
          </w:tcPr>
          <w:p>
            <w:pPr>
              <w:jc w:val="right"/>
              <w:spacing w:after="0"/>
              <w:rPr>
                <w:sz w:val="20"/>
                <w:szCs w:val="20"/>
                <w:color w:val="auto"/>
              </w:rPr>
            </w:pPr>
            <w:r>
              <w:rPr>
                <w:rFonts w:ascii="Arial" w:cs="Arial" w:eastAsia="Arial" w:hAnsi="Arial"/>
                <w:sz w:val="20"/>
                <w:szCs w:val="20"/>
                <w:color w:val="FF0000"/>
                <w:strike w:val="1"/>
              </w:rPr>
              <w:t>100</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101</w:t>
            </w: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10.07</w:t>
            </w:r>
          </w:p>
        </w:tc>
        <w:tc>
          <w:tcPr>
            <w:tcW w:w="1170" w:type="dxa"/>
            <w:vAlign w:val="bottom"/>
            <w:gridSpan w:val="12"/>
          </w:tcPr>
          <w:p>
            <w:pPr>
              <w:ind w:left="150"/>
              <w:spacing w:after="0"/>
              <w:rPr>
                <w:sz w:val="20"/>
                <w:szCs w:val="20"/>
                <w:color w:val="auto"/>
              </w:rPr>
            </w:pPr>
            <w:r>
              <w:rPr>
                <w:rFonts w:ascii="Arial" w:cs="Arial" w:eastAsia="Arial" w:hAnsi="Arial"/>
                <w:sz w:val="20"/>
                <w:szCs w:val="20"/>
                <w:color w:val="auto"/>
                <w:w w:val="96"/>
              </w:rPr>
              <w:t>Severability</w:t>
            </w:r>
          </w:p>
        </w:tc>
        <w:tc>
          <w:tcPr>
            <w:tcW w:w="40" w:type="dxa"/>
            <w:vAlign w:val="bottom"/>
          </w:tcPr>
          <w:p>
            <w:pPr>
              <w:spacing w:after="0"/>
              <w:rPr>
                <w:sz w:val="24"/>
                <w:szCs w:val="24"/>
                <w:color w:val="auto"/>
              </w:rPr>
            </w:pPr>
          </w:p>
        </w:tc>
        <w:tc>
          <w:tcPr>
            <w:tcW w:w="400" w:type="dxa"/>
            <w:vAlign w:val="bottom"/>
            <w:gridSpan w:val="8"/>
          </w:tcPr>
          <w:p>
            <w:pPr>
              <w:jc w:val="center"/>
              <w:ind w:left="1"/>
              <w:spacing w:after="0"/>
              <w:rPr>
                <w:sz w:val="20"/>
                <w:szCs w:val="20"/>
                <w:color w:val="auto"/>
              </w:rPr>
            </w:pPr>
            <w:r>
              <w:rPr>
                <w:rFonts w:ascii="Arial" w:cs="Arial" w:eastAsia="Arial" w:hAnsi="Arial"/>
                <w:sz w:val="20"/>
                <w:szCs w:val="20"/>
                <w:color w:val="FF0000"/>
                <w:strike w:val="1"/>
                <w:w w:val="89"/>
              </w:rPr>
              <w:t>101</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77"/>
              </w:rPr>
              <w:t>102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7"/>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10.08</w:t>
            </w:r>
          </w:p>
        </w:tc>
        <w:tc>
          <w:tcPr>
            <w:tcW w:w="1370" w:type="dxa"/>
            <w:vAlign w:val="bottom"/>
            <w:gridSpan w:val="16"/>
          </w:tcPr>
          <w:p>
            <w:pPr>
              <w:ind w:left="150"/>
              <w:spacing w:after="0"/>
              <w:rPr>
                <w:sz w:val="20"/>
                <w:szCs w:val="20"/>
                <w:color w:val="auto"/>
              </w:rPr>
            </w:pPr>
            <w:r>
              <w:rPr>
                <w:rFonts w:ascii="Arial" w:cs="Arial" w:eastAsia="Arial" w:hAnsi="Arial"/>
                <w:sz w:val="20"/>
                <w:szCs w:val="20"/>
                <w:color w:val="auto"/>
                <w:w w:val="94"/>
              </w:rPr>
              <w:t>Right of Setoff</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7"/>
          </w:tcPr>
          <w:p>
            <w:pPr>
              <w:jc w:val="right"/>
              <w:spacing w:after="0"/>
              <w:rPr>
                <w:sz w:val="20"/>
                <w:szCs w:val="20"/>
                <w:color w:val="auto"/>
              </w:rPr>
            </w:pPr>
            <w:r>
              <w:rPr>
                <w:rFonts w:ascii="Arial" w:cs="Arial" w:eastAsia="Arial" w:hAnsi="Arial"/>
                <w:sz w:val="20"/>
                <w:szCs w:val="20"/>
                <w:color w:val="FF0000"/>
                <w:strike w:val="1"/>
              </w:rPr>
              <w:t>101</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10.09</w:t>
            </w:r>
          </w:p>
        </w:tc>
        <w:tc>
          <w:tcPr>
            <w:tcW w:w="5090" w:type="dxa"/>
            <w:vAlign w:val="bottom"/>
            <w:gridSpan w:val="56"/>
          </w:tcPr>
          <w:p>
            <w:pPr>
              <w:ind w:left="150"/>
              <w:spacing w:after="0"/>
              <w:rPr>
                <w:sz w:val="20"/>
                <w:szCs w:val="20"/>
                <w:color w:val="auto"/>
              </w:rPr>
            </w:pPr>
            <w:r>
              <w:rPr>
                <w:rFonts w:ascii="Arial" w:cs="Arial" w:eastAsia="Arial" w:hAnsi="Arial"/>
                <w:sz w:val="20"/>
                <w:szCs w:val="20"/>
                <w:color w:val="auto"/>
                <w:w w:val="93"/>
              </w:rPr>
              <w:t>Governing Law; Jurisdiction; Consent to Service of Process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101</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102</w:t>
            </w:r>
          </w:p>
        </w:tc>
        <w:tc>
          <w:tcPr>
            <w:tcW w:w="180" w:type="dxa"/>
            <w:vAlign w:val="bottom"/>
          </w:tcPr>
          <w:p>
            <w:pPr>
              <w:spacing w:after="0"/>
              <w:rPr>
                <w:sz w:val="24"/>
                <w:szCs w:val="24"/>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10.10</w:t>
            </w:r>
          </w:p>
        </w:tc>
        <w:tc>
          <w:tcPr>
            <w:tcW w:w="2570" w:type="dxa"/>
            <w:vAlign w:val="bottom"/>
            <w:gridSpan w:val="40"/>
          </w:tcPr>
          <w:p>
            <w:pPr>
              <w:ind w:left="150"/>
              <w:spacing w:after="0"/>
              <w:rPr>
                <w:sz w:val="20"/>
                <w:szCs w:val="20"/>
                <w:color w:val="auto"/>
              </w:rPr>
            </w:pPr>
            <w:r>
              <w:rPr>
                <w:rFonts w:ascii="Arial" w:cs="Arial" w:eastAsia="Arial" w:hAnsi="Arial"/>
                <w:sz w:val="20"/>
                <w:szCs w:val="20"/>
                <w:color w:val="auto"/>
              </w:rPr>
              <w:t>WAIVER OF JURY TRIAL</w:t>
            </w:r>
          </w:p>
        </w:tc>
        <w:tc>
          <w:tcPr>
            <w:tcW w:w="300" w:type="dxa"/>
            <w:vAlign w:val="bottom"/>
            <w:gridSpan w:val="6"/>
          </w:tcPr>
          <w:p>
            <w:pPr>
              <w:spacing w:after="0"/>
              <w:rPr>
                <w:sz w:val="20"/>
                <w:szCs w:val="20"/>
                <w:color w:val="auto"/>
              </w:rPr>
            </w:pPr>
            <w:r>
              <w:rPr>
                <w:rFonts w:ascii="Arial" w:cs="Arial" w:eastAsia="Arial" w:hAnsi="Arial"/>
                <w:sz w:val="20"/>
                <w:szCs w:val="20"/>
                <w:color w:val="FF0000"/>
                <w:strike w:val="1"/>
                <w:w w:val="83"/>
              </w:rPr>
              <w:t>102</w:t>
            </w:r>
          </w:p>
        </w:tc>
        <w:tc>
          <w:tcPr>
            <w:tcW w:w="380" w:type="dxa"/>
            <w:vAlign w:val="bottom"/>
            <w:gridSpan w:val="2"/>
          </w:tcPr>
          <w:p>
            <w:pPr>
              <w:jc w:val="right"/>
              <w:ind w:right="80"/>
              <w:spacing w:after="0"/>
              <w:rPr>
                <w:sz w:val="20"/>
                <w:szCs w:val="20"/>
                <w:color w:val="auto"/>
              </w:rPr>
            </w:pPr>
            <w:r>
              <w:rPr>
                <w:rFonts w:ascii="Arial" w:cs="Arial" w:eastAsia="Arial" w:hAnsi="Arial"/>
                <w:sz w:val="20"/>
                <w:szCs w:val="20"/>
                <w:color w:val="0000FF"/>
                <w:w w:val="83"/>
              </w:rPr>
              <w:t>103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7"/>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10.11</w:t>
            </w:r>
          </w:p>
        </w:tc>
        <w:tc>
          <w:tcPr>
            <w:tcW w:w="890" w:type="dxa"/>
            <w:vAlign w:val="bottom"/>
            <w:gridSpan w:val="7"/>
          </w:tcPr>
          <w:p>
            <w:pPr>
              <w:ind w:left="150"/>
              <w:spacing w:after="0"/>
              <w:rPr>
                <w:sz w:val="20"/>
                <w:szCs w:val="20"/>
                <w:color w:val="auto"/>
              </w:rPr>
            </w:pPr>
            <w:r>
              <w:rPr>
                <w:rFonts w:ascii="Arial" w:cs="Arial" w:eastAsia="Arial" w:hAnsi="Arial"/>
                <w:sz w:val="20"/>
                <w:szCs w:val="20"/>
                <w:color w:val="auto"/>
                <w:w w:val="85"/>
              </w:rPr>
              <w:t>Headings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8"/>
          </w:tcPr>
          <w:p>
            <w:pPr>
              <w:jc w:val="right"/>
              <w:spacing w:after="0"/>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103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10.12</w:t>
            </w:r>
          </w:p>
        </w:tc>
        <w:tc>
          <w:tcPr>
            <w:tcW w:w="1370" w:type="dxa"/>
            <w:vAlign w:val="bottom"/>
            <w:gridSpan w:val="16"/>
          </w:tcPr>
          <w:p>
            <w:pPr>
              <w:ind w:left="150"/>
              <w:spacing w:after="0"/>
              <w:rPr>
                <w:sz w:val="20"/>
                <w:szCs w:val="20"/>
                <w:color w:val="auto"/>
              </w:rPr>
            </w:pPr>
            <w:r>
              <w:rPr>
                <w:rFonts w:ascii="Arial" w:cs="Arial" w:eastAsia="Arial" w:hAnsi="Arial"/>
                <w:sz w:val="20"/>
                <w:szCs w:val="20"/>
                <w:color w:val="auto"/>
                <w:w w:val="95"/>
              </w:rPr>
              <w:t>Confidentiality</w:t>
            </w:r>
          </w:p>
        </w:tc>
        <w:tc>
          <w:tcPr>
            <w:tcW w:w="180" w:type="dxa"/>
            <w:vAlign w:val="bottom"/>
            <w:gridSpan w:val="3"/>
          </w:tcPr>
          <w:p>
            <w:pPr>
              <w:spacing w:after="0"/>
              <w:rPr>
                <w:sz w:val="24"/>
                <w:szCs w:val="24"/>
                <w:color w:val="auto"/>
              </w:rPr>
            </w:pPr>
          </w:p>
        </w:tc>
        <w:tc>
          <w:tcPr>
            <w:tcW w:w="300" w:type="dxa"/>
            <w:vAlign w:val="bottom"/>
            <w:gridSpan w:val="7"/>
          </w:tcPr>
          <w:p>
            <w:pPr>
              <w:spacing w:after="0"/>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6"/>
          </w:tcPr>
          <w:p>
            <w:pPr>
              <w:jc w:val="center"/>
              <w:spacing w:after="0"/>
              <w:rPr>
                <w:sz w:val="20"/>
                <w:szCs w:val="20"/>
                <w:color w:val="auto"/>
              </w:rPr>
            </w:pPr>
            <w:r>
              <w:rPr>
                <w:rFonts w:ascii="Arial" w:cs="Arial" w:eastAsia="Arial" w:hAnsi="Arial"/>
                <w:sz w:val="20"/>
                <w:szCs w:val="20"/>
                <w:color w:val="0000FF"/>
                <w:w w:val="89"/>
              </w:rPr>
              <w:t>103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5"/>
        </w:trPr>
        <w:tc>
          <w:tcPr>
            <w:tcW w:w="6880" w:type="dxa"/>
            <w:vAlign w:val="bottom"/>
            <w:gridSpan w:val="57"/>
          </w:tcPr>
          <w:p>
            <w:pPr>
              <w:ind w:left="660"/>
              <w:spacing w:after="0"/>
              <w:rPr>
                <w:sz w:val="20"/>
                <w:szCs w:val="20"/>
                <w:color w:val="auto"/>
              </w:rPr>
            </w:pPr>
            <w:r>
              <w:rPr>
                <w:rFonts w:ascii="Arial" w:cs="Arial" w:eastAsia="Arial" w:hAnsi="Arial"/>
                <w:sz w:val="20"/>
                <w:szCs w:val="20"/>
                <w:color w:val="auto"/>
              </w:rPr>
              <w:t>Section 10.13  Material Non-Public Information</w:t>
            </w:r>
            <w:r>
              <w:rPr>
                <w:rFonts w:ascii="Arial" w:cs="Arial" w:eastAsia="Arial" w:hAnsi="Arial"/>
                <w:sz w:val="20"/>
                <w:szCs w:val="20"/>
                <w:u w:val="single" w:color="auto"/>
                <w:color w:val="0000FF"/>
              </w:rPr>
              <w:t>.</w:t>
            </w:r>
            <w:r>
              <w:rPr>
                <w:rFonts w:ascii="Arial" w:cs="Arial" w:eastAsia="Arial" w:hAnsi="Arial"/>
                <w:sz w:val="20"/>
                <w:szCs w:val="20"/>
                <w:color w:val="auto"/>
              </w:rPr>
              <w:t xml:space="preserve">  103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3"/>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10.14</w:t>
            </w:r>
          </w:p>
        </w:tc>
        <w:tc>
          <w:tcPr>
            <w:tcW w:w="2150" w:type="dxa"/>
            <w:vAlign w:val="bottom"/>
            <w:gridSpan w:val="32"/>
          </w:tcPr>
          <w:p>
            <w:pPr>
              <w:ind w:left="150"/>
              <w:spacing w:after="0"/>
              <w:rPr>
                <w:sz w:val="20"/>
                <w:szCs w:val="20"/>
                <w:color w:val="auto"/>
              </w:rPr>
            </w:pPr>
            <w:r>
              <w:rPr>
                <w:rFonts w:ascii="Arial" w:cs="Arial" w:eastAsia="Arial" w:hAnsi="Arial"/>
                <w:sz w:val="20"/>
                <w:szCs w:val="20"/>
                <w:color w:val="auto"/>
                <w:w w:val="96"/>
              </w:rPr>
              <w:t>Interest Rate Limitation</w:t>
            </w:r>
          </w:p>
        </w:tc>
        <w:tc>
          <w:tcPr>
            <w:tcW w:w="60" w:type="dxa"/>
            <w:vAlign w:val="bottom"/>
          </w:tcPr>
          <w:p>
            <w:pPr>
              <w:spacing w:after="0"/>
              <w:rPr>
                <w:sz w:val="21"/>
                <w:szCs w:val="21"/>
                <w:color w:val="auto"/>
              </w:rPr>
            </w:pPr>
          </w:p>
        </w:tc>
        <w:tc>
          <w:tcPr>
            <w:tcW w:w="3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103</w:t>
            </w:r>
          </w:p>
        </w:tc>
        <w:tc>
          <w:tcPr>
            <w:tcW w:w="340" w:type="dxa"/>
            <w:vAlign w:val="bottom"/>
            <w:gridSpan w:val="8"/>
          </w:tcPr>
          <w:p>
            <w:pPr>
              <w:spacing w:after="0"/>
              <w:rPr>
                <w:sz w:val="20"/>
                <w:szCs w:val="20"/>
                <w:color w:val="auto"/>
              </w:rPr>
            </w:pPr>
            <w:r>
              <w:rPr>
                <w:rFonts w:ascii="Arial" w:cs="Arial" w:eastAsia="Arial" w:hAnsi="Arial"/>
                <w:sz w:val="20"/>
                <w:szCs w:val="20"/>
                <w:color w:val="0000FF"/>
                <w:w w:val="95"/>
              </w:rPr>
              <w:t>104</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90"/>
        </w:trPr>
        <w:tc>
          <w:tcPr>
            <w:tcW w:w="1790" w:type="dxa"/>
            <w:vAlign w:val="bottom"/>
          </w:tcPr>
          <w:p>
            <w:pPr>
              <w:ind w:left="660"/>
              <w:spacing w:after="0"/>
              <w:rPr>
                <w:sz w:val="20"/>
                <w:szCs w:val="20"/>
                <w:color w:val="auto"/>
              </w:rPr>
            </w:pPr>
            <w:r>
              <w:rPr>
                <w:rFonts w:ascii="Arial" w:cs="Arial" w:eastAsia="Arial" w:hAnsi="Arial"/>
                <w:sz w:val="20"/>
                <w:szCs w:val="20"/>
                <w:color w:val="auto"/>
                <w:w w:val="91"/>
              </w:rPr>
              <w:t>Section 10.15</w:t>
            </w:r>
          </w:p>
        </w:tc>
        <w:tc>
          <w:tcPr>
            <w:tcW w:w="1910" w:type="dxa"/>
            <w:vAlign w:val="bottom"/>
            <w:gridSpan w:val="28"/>
          </w:tcPr>
          <w:p>
            <w:pPr>
              <w:ind w:left="150"/>
              <w:spacing w:after="0"/>
              <w:rPr>
                <w:sz w:val="20"/>
                <w:szCs w:val="20"/>
                <w:color w:val="auto"/>
              </w:rPr>
            </w:pPr>
            <w:r>
              <w:rPr>
                <w:rFonts w:ascii="Arial" w:cs="Arial" w:eastAsia="Arial" w:hAnsi="Arial"/>
                <w:sz w:val="20"/>
                <w:szCs w:val="20"/>
                <w:color w:val="auto"/>
                <w:w w:val="99"/>
              </w:rPr>
              <w:t>Judgment Currency</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103</w:t>
            </w:r>
          </w:p>
        </w:tc>
        <w:tc>
          <w:tcPr>
            <w:tcW w:w="320" w:type="dxa"/>
            <w:vAlign w:val="bottom"/>
            <w:gridSpan w:val="5"/>
          </w:tcPr>
          <w:p>
            <w:pPr>
              <w:jc w:val="right"/>
              <w:spacing w:after="0"/>
              <w:rPr>
                <w:sz w:val="20"/>
                <w:szCs w:val="20"/>
                <w:color w:val="auto"/>
              </w:rPr>
            </w:pPr>
            <w:r>
              <w:rPr>
                <w:rFonts w:ascii="Arial" w:cs="Arial" w:eastAsia="Arial" w:hAnsi="Arial"/>
                <w:sz w:val="20"/>
                <w:szCs w:val="20"/>
                <w:color w:val="0000FF"/>
                <w:w w:val="77"/>
              </w:rPr>
              <w:t>104</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4280" w:type="dxa"/>
            <w:vAlign w:val="bottom"/>
            <w:tcBorders>
              <w:right w:val="single" w:sz="8" w:color="0000FF"/>
            </w:tcBorders>
            <w:gridSpan w:val="38"/>
          </w:tcPr>
          <w:p>
            <w:pPr>
              <w:spacing w:after="0" w:line="20" w:lineRule="exact"/>
              <w:rPr>
                <w:sz w:val="1"/>
                <w:szCs w:val="1"/>
                <w:color w:val="auto"/>
              </w:rPr>
            </w:pPr>
          </w:p>
        </w:tc>
        <w:tc>
          <w:tcPr>
            <w:tcW w:w="3380" w:type="dxa"/>
            <w:vAlign w:val="bottom"/>
            <w:gridSpan w:val="23"/>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left="5460"/>
        <w:spacing w:after="0"/>
        <w:rPr>
          <w:sz w:val="20"/>
          <w:szCs w:val="20"/>
          <w:color w:val="auto"/>
        </w:rPr>
      </w:pPr>
      <w:r>
        <w:rPr>
          <w:rFonts w:ascii="Arial" w:cs="Arial" w:eastAsia="Arial" w:hAnsi="Arial"/>
          <w:sz w:val="20"/>
          <w:szCs w:val="20"/>
          <w:color w:val="FF0000"/>
          <w:strike w:val="1"/>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-143510</wp:posOffset>
            </wp:positionV>
            <wp:extent cx="708914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089140" cy="162560"/>
                    </a:xfrm>
                    <a:prstGeom prst="rect">
                      <a:avLst/>
                    </a:prstGeom>
                    <a:noFill/>
                  </pic:spPr>
                </pic:pic>
              </a:graphicData>
            </a:graphic>
          </wp:anchor>
        </w:drawing>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0000FF"/>
        </w:rPr>
        <w:t>iii</w:t>
      </w:r>
    </w:p>
    <w:p>
      <w:pPr>
        <w:sectPr>
          <w:pgSz w:w="11900" w:h="16838" w:orient="portrait"/>
          <w:cols w:equalWidth="0" w:num="1">
            <w:col w:w="11140"/>
          </w:cols>
          <w:pgMar w:left="320" w:top="98" w:right="4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1534296381v1</w:t>
      </w:r>
      <w:r>
        <w:rPr>
          <w:rFonts w:ascii="Arial" w:cs="Arial" w:eastAsia="Arial" w:hAnsi="Arial"/>
          <w:sz w:val="13"/>
          <w:szCs w:val="13"/>
          <w:u w:val="single" w:color="auto"/>
          <w:color w:val="0000FF"/>
        </w:rPr>
        <w:t>1534296381v7</w:t>
      </w:r>
    </w:p>
    <w:p>
      <w:pPr>
        <w:sectPr>
          <w:pgSz w:w="11900" w:h="16838" w:orient="portrait"/>
          <w:cols w:equalWidth="0" w:num="1">
            <w:col w:w="11140"/>
          </w:cols>
          <w:pgMar w:left="320" w:top="98" w:right="439" w:bottom="1440" w:gutter="0" w:footer="0" w:header="0"/>
          <w:type w:val="continuous"/>
        </w:sectPr>
      </w:pPr>
    </w:p>
    <w:bookmarkStart w:id="127" w:name="page128"/>
    <w:bookmarkEnd w:id="127"/>
    <w:p>
      <w:pPr>
        <w:jc w:val="center"/>
        <w:ind w:right="-99"/>
        <w:spacing w:after="0"/>
        <w:rPr>
          <w:sz w:val="20"/>
          <w:szCs w:val="20"/>
          <w:color w:val="auto"/>
        </w:rPr>
      </w:pPr>
      <w:r>
        <w:rPr>
          <w:rFonts w:ascii="Arial" w:cs="Arial" w:eastAsia="Arial" w:hAnsi="Arial"/>
          <w:sz w:val="20"/>
          <w:szCs w:val="20"/>
          <w:b w:val="1"/>
          <w:bCs w:val="1"/>
          <w:color w:val="auto"/>
        </w:rPr>
        <w:t>TABLE OF CONTENTS</w:t>
      </w:r>
    </w:p>
    <w:p>
      <w:pPr>
        <w:jc w:val="center"/>
        <w:ind w:right="-9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640" w:type="dxa"/>
        <w:tblCellMar>
          <w:top w:w="0" w:type="dxa"/>
          <w:left w:w="0" w:type="dxa"/>
          <w:bottom w:w="0" w:type="dxa"/>
          <w:right w:w="0" w:type="dxa"/>
        </w:tblCellMar>
      </w:tblPr>
      <w:tr>
        <w:trPr>
          <w:trHeight w:val="250"/>
        </w:trPr>
        <w:tc>
          <w:tcPr>
            <w:tcW w:w="1180" w:type="dxa"/>
            <w:vAlign w:val="bottom"/>
          </w:tcPr>
          <w:p>
            <w:pPr>
              <w:spacing w:after="0"/>
              <w:rPr>
                <w:sz w:val="20"/>
                <w:szCs w:val="20"/>
                <w:color w:val="auto"/>
              </w:rPr>
            </w:pPr>
            <w:r>
              <w:rPr>
                <w:rFonts w:ascii="Arial" w:cs="Arial" w:eastAsia="Arial" w:hAnsi="Arial"/>
                <w:sz w:val="20"/>
                <w:szCs w:val="20"/>
                <w:color w:val="auto"/>
                <w:w w:val="94"/>
              </w:rPr>
              <w:t>Section 10.16</w:t>
            </w:r>
          </w:p>
        </w:tc>
        <w:tc>
          <w:tcPr>
            <w:tcW w:w="3360" w:type="dxa"/>
            <w:vAlign w:val="bottom"/>
          </w:tcPr>
          <w:p>
            <w:pPr>
              <w:ind w:left="100"/>
              <w:spacing w:after="0"/>
              <w:rPr>
                <w:sz w:val="20"/>
                <w:szCs w:val="20"/>
                <w:color w:val="auto"/>
              </w:rPr>
            </w:pPr>
            <w:r>
              <w:rPr>
                <w:rFonts w:ascii="Arial" w:cs="Arial" w:eastAsia="Arial" w:hAnsi="Arial"/>
                <w:sz w:val="20"/>
                <w:szCs w:val="20"/>
                <w:color w:val="auto"/>
              </w:rPr>
              <w:t>USA PATRIOT Act  104</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97"/>
        </w:trPr>
        <w:tc>
          <w:tcPr>
            <w:tcW w:w="1180" w:type="dxa"/>
            <w:vAlign w:val="bottom"/>
          </w:tcPr>
          <w:p>
            <w:pPr>
              <w:spacing w:after="0"/>
              <w:rPr>
                <w:sz w:val="20"/>
                <w:szCs w:val="20"/>
                <w:color w:val="auto"/>
              </w:rPr>
            </w:pPr>
            <w:r>
              <w:rPr>
                <w:rFonts w:ascii="Arial" w:cs="Arial" w:eastAsia="Arial" w:hAnsi="Arial"/>
                <w:sz w:val="20"/>
                <w:szCs w:val="20"/>
                <w:color w:val="auto"/>
                <w:w w:val="94"/>
              </w:rPr>
              <w:t>Section 10.17</w:t>
            </w:r>
          </w:p>
        </w:tc>
        <w:tc>
          <w:tcPr>
            <w:tcW w:w="3360" w:type="dxa"/>
            <w:vAlign w:val="bottom"/>
          </w:tcPr>
          <w:p>
            <w:pPr>
              <w:ind w:left="100"/>
              <w:spacing w:after="0"/>
              <w:rPr>
                <w:sz w:val="20"/>
                <w:szCs w:val="20"/>
                <w:color w:val="auto"/>
              </w:rPr>
            </w:pPr>
            <w:r>
              <w:rPr>
                <w:rFonts w:ascii="Arial" w:cs="Arial" w:eastAsia="Arial" w:hAnsi="Arial"/>
                <w:sz w:val="20"/>
                <w:szCs w:val="20"/>
                <w:color w:val="auto"/>
                <w:w w:val="93"/>
              </w:rPr>
              <w:t>No Advisory or Fiduciary Responsibility</w:t>
            </w:r>
          </w:p>
        </w:tc>
        <w:tc>
          <w:tcPr>
            <w:tcW w:w="580" w:type="dxa"/>
            <w:vAlign w:val="bottom"/>
            <w:gridSpan w:val="2"/>
          </w:tcPr>
          <w:p>
            <w:pPr>
              <w:jc w:val="right"/>
              <w:ind w:right="1"/>
              <w:spacing w:after="0"/>
              <w:rPr>
                <w:sz w:val="20"/>
                <w:szCs w:val="20"/>
                <w:color w:val="auto"/>
              </w:rPr>
            </w:pPr>
            <w:r>
              <w:rPr>
                <w:rFonts w:ascii="Arial" w:cs="Arial" w:eastAsia="Arial" w:hAnsi="Arial"/>
                <w:sz w:val="20"/>
                <w:szCs w:val="20"/>
                <w:color w:val="auto"/>
              </w:rPr>
              <w:t>104</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0"/>
                <w:szCs w:val="20"/>
                <w:color w:val="auto"/>
                <w:w w:val="94"/>
              </w:rPr>
              <w:t>Section 10.18</w:t>
            </w:r>
          </w:p>
        </w:tc>
        <w:tc>
          <w:tcPr>
            <w:tcW w:w="3360" w:type="dxa"/>
            <w:vAlign w:val="bottom"/>
          </w:tcPr>
          <w:p>
            <w:pPr>
              <w:ind w:left="100"/>
              <w:spacing w:after="0"/>
              <w:rPr>
                <w:sz w:val="20"/>
                <w:szCs w:val="20"/>
                <w:color w:val="auto"/>
              </w:rPr>
            </w:pPr>
            <w:r>
              <w:rPr>
                <w:rFonts w:ascii="Arial" w:cs="Arial" w:eastAsia="Arial" w:hAnsi="Arial"/>
                <w:sz w:val="20"/>
                <w:szCs w:val="20"/>
                <w:color w:val="auto"/>
                <w:w w:val="98"/>
              </w:rPr>
              <w:t>Several Liability of Certain Borrowers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104</w:t>
            </w:r>
          </w:p>
        </w:tc>
        <w:tc>
          <w:tcPr>
            <w:tcW w:w="760" w:type="dxa"/>
            <w:vAlign w:val="bottom"/>
            <w:gridSpan w:val="2"/>
          </w:tcPr>
          <w:p>
            <w:pPr>
              <w:jc w:val="right"/>
              <w:ind w:right="480"/>
              <w:spacing w:after="0"/>
              <w:rPr>
                <w:sz w:val="20"/>
                <w:szCs w:val="20"/>
                <w:color w:val="auto"/>
              </w:rPr>
            </w:pPr>
            <w:r>
              <w:rPr>
                <w:rFonts w:ascii="Arial" w:cs="Arial" w:eastAsia="Arial" w:hAnsi="Arial"/>
                <w:sz w:val="20"/>
                <w:szCs w:val="20"/>
                <w:color w:val="0000FF"/>
                <w:w w:val="77"/>
              </w:rPr>
              <w:t>105</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0"/>
        </w:trPr>
        <w:tc>
          <w:tcPr>
            <w:tcW w:w="11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20"/>
                <w:szCs w:val="20"/>
                <w:color w:val="auto"/>
                <w:w w:val="94"/>
              </w:rPr>
              <w:t>Section 10.19</w:t>
            </w:r>
          </w:p>
        </w:tc>
        <w:tc>
          <w:tcPr>
            <w:tcW w:w="6220" w:type="dxa"/>
            <w:vAlign w:val="bottom"/>
            <w:gridSpan w:val="9"/>
          </w:tcPr>
          <w:p>
            <w:pPr>
              <w:ind w:left="100"/>
              <w:spacing w:after="0"/>
              <w:rPr>
                <w:sz w:val="20"/>
                <w:szCs w:val="20"/>
                <w:color w:val="auto"/>
              </w:rPr>
            </w:pPr>
            <w:r>
              <w:rPr>
                <w:rFonts w:ascii="Arial" w:cs="Arial" w:eastAsia="Arial" w:hAnsi="Arial"/>
                <w:sz w:val="20"/>
                <w:szCs w:val="20"/>
                <w:color w:val="auto"/>
                <w:w w:val="94"/>
              </w:rPr>
              <w:t>Acknowledgment and Consent to Bail-In of Affected Financial Institutions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104</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105</w:t>
            </w:r>
          </w:p>
        </w:tc>
      </w:tr>
      <w:tr>
        <w:trPr>
          <w:trHeight w:val="277"/>
        </w:trPr>
        <w:tc>
          <w:tcPr>
            <w:tcW w:w="1180" w:type="dxa"/>
            <w:vAlign w:val="bottom"/>
          </w:tcPr>
          <w:p>
            <w:pPr>
              <w:spacing w:after="0"/>
              <w:rPr>
                <w:sz w:val="20"/>
                <w:szCs w:val="20"/>
                <w:color w:val="auto"/>
              </w:rPr>
            </w:pPr>
            <w:r>
              <w:rPr>
                <w:rFonts w:ascii="Arial" w:cs="Arial" w:eastAsia="Arial" w:hAnsi="Arial"/>
                <w:sz w:val="20"/>
                <w:szCs w:val="20"/>
                <w:color w:val="auto"/>
                <w:w w:val="94"/>
              </w:rPr>
              <w:t>Section 10.20</w:t>
            </w:r>
          </w:p>
        </w:tc>
        <w:tc>
          <w:tcPr>
            <w:tcW w:w="4420" w:type="dxa"/>
            <w:vAlign w:val="bottom"/>
            <w:gridSpan w:val="4"/>
          </w:tcPr>
          <w:p>
            <w:pPr>
              <w:ind w:left="100"/>
              <w:spacing w:after="0"/>
              <w:rPr>
                <w:sz w:val="20"/>
                <w:szCs w:val="20"/>
                <w:color w:val="auto"/>
              </w:rPr>
            </w:pPr>
            <w:r>
              <w:rPr>
                <w:rFonts w:ascii="Arial" w:cs="Arial" w:eastAsia="Arial" w:hAnsi="Arial"/>
                <w:sz w:val="20"/>
                <w:szCs w:val="20"/>
                <w:color w:val="auto"/>
                <w:w w:val="94"/>
              </w:rPr>
              <w:t>Acknowledgement Regarding Any Supported QFCs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105</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20"/>
                <w:szCs w:val="20"/>
                <w:color w:val="auto"/>
                <w:w w:val="94"/>
              </w:rPr>
              <w:t>Section 10.21</w:t>
            </w:r>
          </w:p>
        </w:tc>
        <w:tc>
          <w:tcPr>
            <w:tcW w:w="5660" w:type="dxa"/>
            <w:vAlign w:val="bottom"/>
            <w:gridSpan w:val="7"/>
          </w:tcPr>
          <w:p>
            <w:pPr>
              <w:ind w:left="100"/>
              <w:spacing w:after="0"/>
              <w:rPr>
                <w:sz w:val="20"/>
                <w:szCs w:val="20"/>
                <w:color w:val="auto"/>
              </w:rPr>
            </w:pPr>
            <w:r>
              <w:rPr>
                <w:rFonts w:ascii="Arial" w:cs="Arial" w:eastAsia="Arial" w:hAnsi="Arial"/>
                <w:sz w:val="20"/>
                <w:szCs w:val="20"/>
                <w:color w:val="auto"/>
                <w:w w:val="93"/>
              </w:rPr>
              <w:t>Electronic Execution of Assignments and Certain Other Documents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106</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107</w:t>
            </w:r>
          </w:p>
        </w:tc>
        <w:tc>
          <w:tcPr>
            <w:tcW w:w="56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364" w:lineRule="exact"/>
        <w:rPr>
          <w:sz w:val="20"/>
          <w:szCs w:val="20"/>
          <w:color w:val="auto"/>
        </w:rPr>
      </w:pPr>
    </w:p>
    <w:p>
      <w:pPr>
        <w:ind w:left="5440"/>
        <w:spacing w:after="0"/>
        <w:rPr>
          <w:sz w:val="20"/>
          <w:szCs w:val="20"/>
          <w:color w:val="auto"/>
        </w:rPr>
      </w:pPr>
      <w:r>
        <w:rPr>
          <w:rFonts w:ascii="Arial" w:cs="Arial" w:eastAsia="Arial" w:hAnsi="Arial"/>
          <w:sz w:val="20"/>
          <w:szCs w:val="20"/>
          <w:color w:val="FF0000"/>
          <w:strike w:val="1"/>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-143510</wp:posOffset>
            </wp:positionV>
            <wp:extent cx="708914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0000FF"/>
        </w:rPr>
        <w:t>iv</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20"/>
          </w:cols>
          <w:pgMar w:left="340" w:top="98" w:right="439" w:bottom="1440" w:gutter="0" w:footer="0" w:header="0"/>
        </w:sectPr>
      </w:pPr>
    </w:p>
    <w:bookmarkStart w:id="128" w:name="page129"/>
    <w:bookmarkEnd w:id="128"/>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1920" w:type="dxa"/>
            <w:vAlign w:val="bottom"/>
          </w:tcPr>
          <w:p>
            <w:pPr>
              <w:spacing w:after="0"/>
              <w:rPr>
                <w:sz w:val="20"/>
                <w:szCs w:val="20"/>
                <w:color w:val="auto"/>
              </w:rPr>
            </w:pPr>
            <w:r>
              <w:rPr>
                <w:rFonts w:ascii="Arial" w:cs="Arial" w:eastAsia="Arial" w:hAnsi="Arial"/>
                <w:sz w:val="20"/>
                <w:szCs w:val="20"/>
                <w:color w:val="auto"/>
              </w:rPr>
              <w:t>SCHEDULES:</w:t>
            </w: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Schedule 1.01(a)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Lenders and Commitments</w:t>
            </w: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Schedule 1.01(b)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Subsidiary Guarantors</w:t>
            </w: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Schedule 1.01(c)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Existing Hedge Agreements</w:t>
            </w: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Schedule 1.01(d)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Existing Letters of Credit</w:t>
            </w:r>
          </w:p>
        </w:tc>
      </w:tr>
      <w:tr>
        <w:trPr>
          <w:trHeight w:val="256"/>
        </w:trPr>
        <w:tc>
          <w:tcPr>
            <w:tcW w:w="1920" w:type="dxa"/>
            <w:vAlign w:val="bottom"/>
          </w:tcPr>
          <w:p>
            <w:pPr>
              <w:spacing w:after="0"/>
              <w:rPr>
                <w:sz w:val="20"/>
                <w:szCs w:val="20"/>
                <w:color w:val="auto"/>
              </w:rPr>
            </w:pPr>
            <w:r>
              <w:rPr>
                <w:rFonts w:ascii="Arial" w:cs="Arial" w:eastAsia="Arial" w:hAnsi="Arial"/>
                <w:sz w:val="20"/>
                <w:szCs w:val="20"/>
                <w:color w:val="auto"/>
              </w:rPr>
              <w:t>Schedule 3.14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Subsidiaries</w:t>
            </w: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Schedule 6.03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Existing Liens</w:t>
            </w: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Schedule 6.04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Existing Indebtedness</w:t>
            </w:r>
          </w:p>
        </w:tc>
      </w:tr>
      <w:tr>
        <w:trPr>
          <w:trHeight w:val="486"/>
        </w:trPr>
        <w:tc>
          <w:tcPr>
            <w:tcW w:w="1920" w:type="dxa"/>
            <w:vAlign w:val="bottom"/>
          </w:tcPr>
          <w:p>
            <w:pPr>
              <w:spacing w:after="0"/>
              <w:rPr>
                <w:sz w:val="20"/>
                <w:szCs w:val="20"/>
                <w:color w:val="auto"/>
              </w:rPr>
            </w:pPr>
            <w:r>
              <w:rPr>
                <w:rFonts w:ascii="Arial" w:cs="Arial" w:eastAsia="Arial" w:hAnsi="Arial"/>
                <w:sz w:val="20"/>
                <w:szCs w:val="20"/>
                <w:color w:val="auto"/>
              </w:rPr>
              <w:t>EXHIBITS:</w:t>
            </w: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Exhibit A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Form of Assignment and Assumption</w:t>
            </w:r>
          </w:p>
        </w:tc>
      </w:tr>
      <w:tr>
        <w:trPr>
          <w:trHeight w:val="257"/>
        </w:trPr>
        <w:tc>
          <w:tcPr>
            <w:tcW w:w="1920" w:type="dxa"/>
            <w:vAlign w:val="bottom"/>
          </w:tcPr>
          <w:p>
            <w:pPr>
              <w:spacing w:after="0"/>
              <w:rPr>
                <w:sz w:val="20"/>
                <w:szCs w:val="20"/>
                <w:color w:val="auto"/>
              </w:rPr>
            </w:pPr>
            <w:r>
              <w:rPr>
                <w:rFonts w:ascii="Arial" w:cs="Arial" w:eastAsia="Arial" w:hAnsi="Arial"/>
                <w:sz w:val="20"/>
                <w:szCs w:val="20"/>
                <w:color w:val="auto"/>
              </w:rPr>
              <w:t>Exhibit B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Form of Compliance Certificate</w:t>
            </w:r>
          </w:p>
        </w:tc>
      </w:tr>
      <w:tr>
        <w:trPr>
          <w:trHeight w:val="212"/>
        </w:trPr>
        <w:tc>
          <w:tcPr>
            <w:tcW w:w="1920" w:type="dxa"/>
            <w:vAlign w:val="bottom"/>
          </w:tcPr>
          <w:p>
            <w:pPr>
              <w:spacing w:after="0" w:line="212" w:lineRule="exact"/>
              <w:rPr>
                <w:sz w:val="20"/>
                <w:szCs w:val="20"/>
                <w:color w:val="auto"/>
              </w:rPr>
            </w:pPr>
            <w:r>
              <w:rPr>
                <w:rFonts w:ascii="Arial" w:cs="Arial" w:eastAsia="Arial" w:hAnsi="Arial"/>
                <w:sz w:val="20"/>
                <w:szCs w:val="20"/>
                <w:color w:val="auto"/>
              </w:rPr>
              <w:t>Exhibit C-1 –</w:t>
            </w:r>
          </w:p>
        </w:tc>
        <w:tc>
          <w:tcPr>
            <w:tcW w:w="8700" w:type="dxa"/>
            <w:vAlign w:val="bottom"/>
            <w:gridSpan w:val="9"/>
          </w:tcPr>
          <w:p>
            <w:pPr>
              <w:ind w:left="440"/>
              <w:spacing w:after="0" w:line="212" w:lineRule="exact"/>
              <w:rPr>
                <w:sz w:val="20"/>
                <w:szCs w:val="20"/>
                <w:color w:val="auto"/>
              </w:rPr>
            </w:pPr>
            <w:r>
              <w:rPr>
                <w:rFonts w:ascii="Arial" w:cs="Arial" w:eastAsia="Arial" w:hAnsi="Arial"/>
                <w:sz w:val="20"/>
                <w:szCs w:val="20"/>
                <w:color w:val="auto"/>
                <w:w w:val="95"/>
              </w:rPr>
              <w:t>U.S. Tax Certificate (For Non-U.S. Lenders that are not Partnerships for U.S. Federal Income Tax</w:t>
            </w:r>
          </w:p>
        </w:tc>
      </w:tr>
      <w:tr>
        <w:trPr>
          <w:trHeight w:val="220"/>
        </w:trPr>
        <w:tc>
          <w:tcPr>
            <w:tcW w:w="1920" w:type="dxa"/>
            <w:vAlign w:val="bottom"/>
          </w:tcPr>
          <w:p>
            <w:pPr>
              <w:spacing w:after="0"/>
              <w:rPr>
                <w:sz w:val="19"/>
                <w:szCs w:val="19"/>
                <w:color w:val="auto"/>
              </w:rPr>
            </w:pPr>
          </w:p>
        </w:tc>
        <w:tc>
          <w:tcPr>
            <w:tcW w:w="4580" w:type="dxa"/>
            <w:vAlign w:val="bottom"/>
            <w:gridSpan w:val="3"/>
          </w:tcPr>
          <w:p>
            <w:pPr>
              <w:ind w:left="440"/>
              <w:spacing w:after="0" w:line="220" w:lineRule="exact"/>
              <w:rPr>
                <w:sz w:val="20"/>
                <w:szCs w:val="20"/>
                <w:color w:val="auto"/>
              </w:rPr>
            </w:pPr>
            <w:r>
              <w:rPr>
                <w:rFonts w:ascii="Arial" w:cs="Arial" w:eastAsia="Arial" w:hAnsi="Arial"/>
                <w:sz w:val="20"/>
                <w:szCs w:val="20"/>
                <w:color w:val="auto"/>
              </w:rPr>
              <w:t>Purposes)</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06"/>
        </w:trPr>
        <w:tc>
          <w:tcPr>
            <w:tcW w:w="1920" w:type="dxa"/>
            <w:vAlign w:val="bottom"/>
          </w:tcPr>
          <w:p>
            <w:pPr>
              <w:spacing w:after="0" w:line="206" w:lineRule="exact"/>
              <w:rPr>
                <w:sz w:val="20"/>
                <w:szCs w:val="20"/>
                <w:color w:val="auto"/>
              </w:rPr>
            </w:pPr>
            <w:r>
              <w:rPr>
                <w:rFonts w:ascii="Arial" w:cs="Arial" w:eastAsia="Arial" w:hAnsi="Arial"/>
                <w:sz w:val="20"/>
                <w:szCs w:val="20"/>
                <w:color w:val="auto"/>
              </w:rPr>
              <w:t>Exhibit C-2 –</w:t>
            </w:r>
          </w:p>
        </w:tc>
        <w:tc>
          <w:tcPr>
            <w:tcW w:w="8700" w:type="dxa"/>
            <w:vAlign w:val="bottom"/>
            <w:gridSpan w:val="9"/>
          </w:tcPr>
          <w:p>
            <w:pPr>
              <w:ind w:left="440"/>
              <w:spacing w:after="0" w:line="206" w:lineRule="exact"/>
              <w:rPr>
                <w:sz w:val="20"/>
                <w:szCs w:val="20"/>
                <w:color w:val="auto"/>
              </w:rPr>
            </w:pPr>
            <w:r>
              <w:rPr>
                <w:rFonts w:ascii="Arial" w:cs="Arial" w:eastAsia="Arial" w:hAnsi="Arial"/>
                <w:sz w:val="20"/>
                <w:szCs w:val="20"/>
                <w:color w:val="auto"/>
                <w:w w:val="95"/>
              </w:rPr>
              <w:t>U.S. Tax Certificate (For Non-U.S. Participants that are Partnerships for U.S. Federal Income Tax</w:t>
            </w:r>
          </w:p>
        </w:tc>
      </w:tr>
      <w:tr>
        <w:trPr>
          <w:trHeight w:val="220"/>
        </w:trPr>
        <w:tc>
          <w:tcPr>
            <w:tcW w:w="1920" w:type="dxa"/>
            <w:vAlign w:val="bottom"/>
          </w:tcPr>
          <w:p>
            <w:pPr>
              <w:spacing w:after="0"/>
              <w:rPr>
                <w:sz w:val="19"/>
                <w:szCs w:val="19"/>
                <w:color w:val="auto"/>
              </w:rPr>
            </w:pPr>
          </w:p>
        </w:tc>
        <w:tc>
          <w:tcPr>
            <w:tcW w:w="4600" w:type="dxa"/>
            <w:vAlign w:val="bottom"/>
            <w:gridSpan w:val="4"/>
          </w:tcPr>
          <w:p>
            <w:pPr>
              <w:ind w:left="440"/>
              <w:spacing w:after="0" w:line="220" w:lineRule="exact"/>
              <w:rPr>
                <w:sz w:val="20"/>
                <w:szCs w:val="20"/>
                <w:color w:val="auto"/>
              </w:rPr>
            </w:pPr>
            <w:r>
              <w:rPr>
                <w:rFonts w:ascii="Arial" w:cs="Arial" w:eastAsia="Arial" w:hAnsi="Arial"/>
                <w:sz w:val="20"/>
                <w:szCs w:val="20"/>
                <w:color w:val="auto"/>
              </w:rPr>
              <w:t>Purposes)</w:t>
            </w:r>
          </w:p>
        </w:tc>
        <w:tc>
          <w:tcPr>
            <w:tcW w:w="240" w:type="dxa"/>
            <w:vAlign w:val="bottom"/>
            <w:tcBorders>
              <w:top w:val="single" w:sz="8" w:color="auto"/>
            </w:tcBorders>
          </w:tcPr>
          <w:p>
            <w:pPr>
              <w:spacing w:after="0"/>
              <w:rPr>
                <w:sz w:val="19"/>
                <w:szCs w:val="19"/>
                <w:color w:val="auto"/>
              </w:rPr>
            </w:pPr>
          </w:p>
        </w:tc>
        <w:tc>
          <w:tcPr>
            <w:tcW w:w="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06"/>
        </w:trPr>
        <w:tc>
          <w:tcPr>
            <w:tcW w:w="1920" w:type="dxa"/>
            <w:vAlign w:val="bottom"/>
          </w:tcPr>
          <w:p>
            <w:pPr>
              <w:spacing w:after="0" w:line="206" w:lineRule="exact"/>
              <w:rPr>
                <w:sz w:val="20"/>
                <w:szCs w:val="20"/>
                <w:color w:val="auto"/>
              </w:rPr>
            </w:pPr>
            <w:r>
              <w:rPr>
                <w:rFonts w:ascii="Arial" w:cs="Arial" w:eastAsia="Arial" w:hAnsi="Arial"/>
                <w:sz w:val="20"/>
                <w:szCs w:val="20"/>
                <w:color w:val="auto"/>
              </w:rPr>
              <w:t>Exhibit C-3 –</w:t>
            </w:r>
          </w:p>
        </w:tc>
        <w:tc>
          <w:tcPr>
            <w:tcW w:w="8700" w:type="dxa"/>
            <w:vAlign w:val="bottom"/>
            <w:gridSpan w:val="9"/>
          </w:tcPr>
          <w:p>
            <w:pPr>
              <w:ind w:left="440"/>
              <w:spacing w:after="0" w:line="206" w:lineRule="exact"/>
              <w:rPr>
                <w:sz w:val="20"/>
                <w:szCs w:val="20"/>
                <w:color w:val="auto"/>
              </w:rPr>
            </w:pPr>
            <w:r>
              <w:rPr>
                <w:rFonts w:ascii="Arial" w:cs="Arial" w:eastAsia="Arial" w:hAnsi="Arial"/>
                <w:sz w:val="20"/>
                <w:szCs w:val="20"/>
                <w:color w:val="auto"/>
                <w:w w:val="92"/>
              </w:rPr>
              <w:t>U.S. Tax Certificate (For Non-U.S. Participants that are not Partnerships for U.S. Federal Income Tax</w:t>
            </w:r>
          </w:p>
        </w:tc>
      </w:tr>
      <w:tr>
        <w:trPr>
          <w:trHeight w:val="220"/>
        </w:trPr>
        <w:tc>
          <w:tcPr>
            <w:tcW w:w="1920" w:type="dxa"/>
            <w:vAlign w:val="bottom"/>
          </w:tcPr>
          <w:p>
            <w:pPr>
              <w:spacing w:after="0"/>
              <w:rPr>
                <w:sz w:val="19"/>
                <w:szCs w:val="19"/>
                <w:color w:val="auto"/>
              </w:rPr>
            </w:pPr>
          </w:p>
        </w:tc>
        <w:tc>
          <w:tcPr>
            <w:tcW w:w="4880" w:type="dxa"/>
            <w:vAlign w:val="bottom"/>
            <w:gridSpan w:val="7"/>
          </w:tcPr>
          <w:p>
            <w:pPr>
              <w:ind w:left="440"/>
              <w:spacing w:after="0" w:line="220" w:lineRule="exact"/>
              <w:rPr>
                <w:sz w:val="20"/>
                <w:szCs w:val="20"/>
                <w:color w:val="auto"/>
              </w:rPr>
            </w:pPr>
            <w:r>
              <w:rPr>
                <w:rFonts w:ascii="Arial" w:cs="Arial" w:eastAsia="Arial" w:hAnsi="Arial"/>
                <w:sz w:val="20"/>
                <w:szCs w:val="20"/>
                <w:color w:val="auto"/>
              </w:rPr>
              <w:t>Purposes)</w:t>
            </w:r>
          </w:p>
        </w:tc>
        <w:tc>
          <w:tcPr>
            <w:tcW w:w="260" w:type="dxa"/>
            <w:vAlign w:val="bottom"/>
            <w:tcBorders>
              <w:top w:val="single" w:sz="8" w:color="auto"/>
            </w:tcBorders>
          </w:tcPr>
          <w:p>
            <w:pPr>
              <w:spacing w:after="0"/>
              <w:rPr>
                <w:sz w:val="19"/>
                <w:szCs w:val="19"/>
                <w:color w:val="auto"/>
              </w:rPr>
            </w:pPr>
          </w:p>
        </w:tc>
        <w:tc>
          <w:tcPr>
            <w:tcW w:w="3560" w:type="dxa"/>
            <w:vAlign w:val="bottom"/>
          </w:tcPr>
          <w:p>
            <w:pPr>
              <w:spacing w:after="0"/>
              <w:rPr>
                <w:sz w:val="19"/>
                <w:szCs w:val="19"/>
                <w:color w:val="auto"/>
              </w:rPr>
            </w:pPr>
          </w:p>
        </w:tc>
      </w:tr>
      <w:tr>
        <w:trPr>
          <w:trHeight w:val="206"/>
        </w:trPr>
        <w:tc>
          <w:tcPr>
            <w:tcW w:w="1920" w:type="dxa"/>
            <w:vAlign w:val="bottom"/>
          </w:tcPr>
          <w:p>
            <w:pPr>
              <w:spacing w:after="0" w:line="206" w:lineRule="exact"/>
              <w:rPr>
                <w:sz w:val="20"/>
                <w:szCs w:val="20"/>
                <w:color w:val="auto"/>
              </w:rPr>
            </w:pPr>
            <w:r>
              <w:rPr>
                <w:rFonts w:ascii="Arial" w:cs="Arial" w:eastAsia="Arial" w:hAnsi="Arial"/>
                <w:sz w:val="20"/>
                <w:szCs w:val="20"/>
                <w:color w:val="auto"/>
              </w:rPr>
              <w:t>Exhibit C-4 –</w:t>
            </w:r>
          </w:p>
        </w:tc>
        <w:tc>
          <w:tcPr>
            <w:tcW w:w="8700" w:type="dxa"/>
            <w:vAlign w:val="bottom"/>
            <w:gridSpan w:val="9"/>
          </w:tcPr>
          <w:p>
            <w:pPr>
              <w:ind w:left="440"/>
              <w:spacing w:after="0" w:line="206" w:lineRule="exact"/>
              <w:rPr>
                <w:sz w:val="20"/>
                <w:szCs w:val="20"/>
                <w:color w:val="auto"/>
              </w:rPr>
            </w:pPr>
            <w:r>
              <w:rPr>
                <w:rFonts w:ascii="Arial" w:cs="Arial" w:eastAsia="Arial" w:hAnsi="Arial"/>
                <w:sz w:val="20"/>
                <w:szCs w:val="20"/>
                <w:color w:val="auto"/>
                <w:w w:val="88"/>
              </w:rPr>
              <w:t>U.S. Tax Certificate (For Non-U.S. Lenders that are Partnerships for U.S. Federal Income Tax Purposes)</w:t>
            </w:r>
          </w:p>
        </w:tc>
      </w:tr>
      <w:tr>
        <w:trPr>
          <w:trHeight w:val="281"/>
        </w:trPr>
        <w:tc>
          <w:tcPr>
            <w:tcW w:w="1920" w:type="dxa"/>
            <w:vAlign w:val="bottom"/>
          </w:tcPr>
          <w:p>
            <w:pPr>
              <w:spacing w:after="0"/>
              <w:rPr>
                <w:sz w:val="20"/>
                <w:szCs w:val="20"/>
                <w:color w:val="auto"/>
              </w:rPr>
            </w:pPr>
            <w:r>
              <w:rPr>
                <w:rFonts w:ascii="Arial" w:cs="Arial" w:eastAsia="Arial" w:hAnsi="Arial"/>
                <w:sz w:val="20"/>
                <w:szCs w:val="20"/>
                <w:color w:val="auto"/>
              </w:rPr>
              <w:t>Exhibit D-1 –</w:t>
            </w:r>
          </w:p>
        </w:tc>
        <w:tc>
          <w:tcPr>
            <w:tcW w:w="4300" w:type="dxa"/>
            <w:vAlign w:val="bottom"/>
          </w:tcPr>
          <w:p>
            <w:pPr>
              <w:ind w:left="440"/>
              <w:spacing w:after="0"/>
              <w:rPr>
                <w:sz w:val="20"/>
                <w:szCs w:val="20"/>
                <w:color w:val="auto"/>
              </w:rPr>
            </w:pPr>
            <w:r>
              <w:rPr>
                <w:rFonts w:ascii="Arial" w:cs="Arial" w:eastAsia="Arial" w:hAnsi="Arial"/>
                <w:sz w:val="20"/>
                <w:szCs w:val="20"/>
                <w:color w:val="auto"/>
              </w:rPr>
              <w:t>Form of Revolving Loan Note</w:t>
            </w:r>
          </w:p>
        </w:tc>
        <w:tc>
          <w:tcPr>
            <w:tcW w:w="240" w:type="dxa"/>
            <w:vAlign w:val="bottom"/>
            <w:tcBorders>
              <w:top w:val="single" w:sz="8" w:color="auto"/>
            </w:tcBorders>
          </w:tcPr>
          <w:p>
            <w:pPr>
              <w:spacing w:after="0"/>
              <w:rPr>
                <w:sz w:val="24"/>
                <w:szCs w:val="24"/>
                <w:color w:val="auto"/>
              </w:rPr>
            </w:pPr>
          </w:p>
        </w:tc>
        <w:tc>
          <w:tcPr>
            <w:tcW w:w="4160" w:type="dxa"/>
            <w:vAlign w:val="bottom"/>
            <w:gridSpan w:val="7"/>
          </w:tcPr>
          <w:p>
            <w:pPr>
              <w:spacing w:after="0"/>
              <w:rPr>
                <w:sz w:val="24"/>
                <w:szCs w:val="24"/>
                <w:color w:val="auto"/>
              </w:rPr>
            </w:pPr>
          </w:p>
        </w:tc>
      </w:tr>
      <w:tr>
        <w:trPr>
          <w:trHeight w:val="256"/>
        </w:trPr>
        <w:tc>
          <w:tcPr>
            <w:tcW w:w="1920" w:type="dxa"/>
            <w:vAlign w:val="bottom"/>
          </w:tcPr>
          <w:p>
            <w:pPr>
              <w:spacing w:after="0"/>
              <w:rPr>
                <w:sz w:val="20"/>
                <w:szCs w:val="20"/>
                <w:color w:val="auto"/>
              </w:rPr>
            </w:pPr>
            <w:r>
              <w:rPr>
                <w:rFonts w:ascii="Arial" w:cs="Arial" w:eastAsia="Arial" w:hAnsi="Arial"/>
                <w:sz w:val="20"/>
                <w:szCs w:val="20"/>
                <w:color w:val="auto"/>
              </w:rPr>
              <w:t>Exhibit D-2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Form of Term Loan Note</w:t>
            </w:r>
          </w:p>
        </w:tc>
      </w:tr>
      <w:tr>
        <w:trPr>
          <w:trHeight w:val="256"/>
        </w:trPr>
        <w:tc>
          <w:tcPr>
            <w:tcW w:w="1920" w:type="dxa"/>
            <w:vAlign w:val="bottom"/>
          </w:tcPr>
          <w:p>
            <w:pPr>
              <w:spacing w:after="0"/>
              <w:rPr>
                <w:sz w:val="20"/>
                <w:szCs w:val="20"/>
                <w:color w:val="auto"/>
              </w:rPr>
            </w:pPr>
            <w:r>
              <w:rPr>
                <w:rFonts w:ascii="Arial" w:cs="Arial" w:eastAsia="Arial" w:hAnsi="Arial"/>
                <w:sz w:val="20"/>
                <w:szCs w:val="20"/>
                <w:color w:val="auto"/>
              </w:rPr>
              <w:t>Exhibit D-3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Form of Swingline Loan Note</w:t>
            </w:r>
          </w:p>
        </w:tc>
      </w:tr>
      <w:tr>
        <w:trPr>
          <w:trHeight w:val="256"/>
        </w:trPr>
        <w:tc>
          <w:tcPr>
            <w:tcW w:w="1920" w:type="dxa"/>
            <w:vAlign w:val="bottom"/>
          </w:tcPr>
          <w:p>
            <w:pPr>
              <w:spacing w:after="0"/>
              <w:rPr>
                <w:sz w:val="20"/>
                <w:szCs w:val="20"/>
                <w:color w:val="auto"/>
              </w:rPr>
            </w:pPr>
            <w:r>
              <w:rPr>
                <w:rFonts w:ascii="Arial" w:cs="Arial" w:eastAsia="Arial" w:hAnsi="Arial"/>
                <w:sz w:val="20"/>
                <w:szCs w:val="20"/>
                <w:color w:val="auto"/>
              </w:rPr>
              <w:t>Exhibit E –</w:t>
            </w:r>
          </w:p>
        </w:tc>
        <w:tc>
          <w:tcPr>
            <w:tcW w:w="8700" w:type="dxa"/>
            <w:vAlign w:val="bottom"/>
            <w:gridSpan w:val="9"/>
          </w:tcPr>
          <w:p>
            <w:pPr>
              <w:ind w:left="440"/>
              <w:spacing w:after="0"/>
              <w:rPr>
                <w:sz w:val="20"/>
                <w:szCs w:val="20"/>
                <w:color w:val="auto"/>
              </w:rPr>
            </w:pPr>
            <w:r>
              <w:rPr>
                <w:rFonts w:ascii="Arial" w:cs="Arial" w:eastAsia="Arial" w:hAnsi="Arial"/>
                <w:sz w:val="20"/>
                <w:szCs w:val="20"/>
                <w:color w:val="auto"/>
              </w:rPr>
              <w:t>Form of Borrowing Request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0680"/>
          </w:cols>
          <w:pgMar w:left="340" w:top="1440" w:right="879" w:bottom="1440" w:gutter="0" w:footer="0" w:header="0"/>
        </w:sectPr>
      </w:pPr>
    </w:p>
    <w:bookmarkStart w:id="129" w:name="page130"/>
    <w:bookmarkEnd w:id="129"/>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REVOLVING CREDIT AND TERM LOAN AGREEMENT is entered into as of April 1, 2020 among THE COOPER</w:t>
      </w:r>
    </w:p>
    <w:p>
      <w:pPr>
        <w:ind w:right="40"/>
        <w:spacing w:after="0" w:line="226" w:lineRule="auto"/>
        <w:rPr>
          <w:sz w:val="20"/>
          <w:szCs w:val="20"/>
          <w:color w:val="auto"/>
        </w:rPr>
      </w:pPr>
      <w:r>
        <w:rPr>
          <w:rFonts w:ascii="Arial" w:cs="Arial" w:eastAsia="Arial" w:hAnsi="Arial"/>
          <w:sz w:val="18"/>
          <w:szCs w:val="18"/>
          <w:color w:val="auto"/>
        </w:rPr>
        <w:t>COMPANIES,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COOPERVISION INTERNATIONAL LIMITED, a private limited company registered in England and Wales with company registration number 12210296 (“</w:t>
      </w:r>
      <w:r>
        <w:rPr>
          <w:rFonts w:ascii="Arial" w:cs="Arial" w:eastAsia="Arial" w:hAnsi="Arial"/>
          <w:sz w:val="18"/>
          <w:szCs w:val="18"/>
          <w:b w:val="1"/>
          <w:bCs w:val="1"/>
          <w:i w:val="1"/>
          <w:iCs w:val="1"/>
          <w:color w:val="auto"/>
        </w:rPr>
        <w:t>Cooper UK</w:t>
      </w:r>
      <w:r>
        <w:rPr>
          <w:rFonts w:ascii="Arial" w:cs="Arial" w:eastAsia="Arial" w:hAnsi="Arial"/>
          <w:sz w:val="18"/>
          <w:szCs w:val="18"/>
          <w:color w:val="auto"/>
        </w:rPr>
        <w:t>”), COOPERSURGICAL HOLDINGS</w:t>
      </w:r>
    </w:p>
    <w:p>
      <w:pPr>
        <w:spacing w:after="0" w:line="236" w:lineRule="auto"/>
        <w:rPr>
          <w:sz w:val="20"/>
          <w:szCs w:val="20"/>
          <w:color w:val="auto"/>
        </w:rPr>
      </w:pPr>
      <w:r>
        <w:rPr>
          <w:rFonts w:ascii="Arial" w:cs="Arial" w:eastAsia="Arial" w:hAnsi="Arial"/>
          <w:sz w:val="18"/>
          <w:szCs w:val="18"/>
          <w:color w:val="auto"/>
        </w:rPr>
        <w:t>LIMITED, a private limited company registered in England and Wales with company registration number 09877160 (“</w:t>
      </w:r>
      <w:r>
        <w:rPr>
          <w:rFonts w:ascii="Arial" w:cs="Arial" w:eastAsia="Arial" w:hAnsi="Arial"/>
          <w:sz w:val="18"/>
          <w:szCs w:val="18"/>
          <w:b w:val="1"/>
          <w:bCs w:val="1"/>
          <w:i w:val="1"/>
          <w:iCs w:val="1"/>
          <w:color w:val="auto"/>
        </w:rPr>
        <w:t>CooperSurgical UK</w:t>
      </w:r>
      <w:r>
        <w:rPr>
          <w:rFonts w:ascii="Arial" w:cs="Arial" w:eastAsia="Arial" w:hAnsi="Arial"/>
          <w:sz w:val="18"/>
          <w:szCs w:val="18"/>
          <w:color w:val="auto"/>
        </w:rPr>
        <w:t>”),</w:t>
      </w:r>
    </w:p>
    <w:p>
      <w:pPr>
        <w:spacing w:after="0" w:line="1" w:lineRule="exact"/>
        <w:rPr>
          <w:sz w:val="20"/>
          <w:szCs w:val="20"/>
          <w:color w:val="auto"/>
        </w:rPr>
      </w:pPr>
    </w:p>
    <w:p>
      <w:pPr>
        <w:ind w:right="240"/>
        <w:spacing w:after="0" w:line="215" w:lineRule="auto"/>
        <w:rPr>
          <w:sz w:val="20"/>
          <w:szCs w:val="20"/>
          <w:color w:val="auto"/>
        </w:rPr>
      </w:pPr>
      <w:r>
        <w:rPr>
          <w:rFonts w:ascii="Arial" w:cs="Arial" w:eastAsia="Arial" w:hAnsi="Arial"/>
          <w:sz w:val="19"/>
          <w:szCs w:val="19"/>
          <w:color w:val="auto"/>
        </w:rPr>
        <w:t>the Lenders from time to time party hereto, each of PNC BANK, NATIONAL ASSOCIATION, and TD BANK, N.A., as a Syndication Agent, each of BANK OF THE WEST, CITIZENS BANK, N.A., MIZUHO BANK, LTD., THE BANK OF NOVA SCOTIA, U.S. BANK</w:t>
      </w:r>
    </w:p>
    <w:p>
      <w:pPr>
        <w:ind w:right="480"/>
        <w:spacing w:after="0" w:line="227" w:lineRule="auto"/>
        <w:rPr>
          <w:sz w:val="20"/>
          <w:szCs w:val="20"/>
          <w:color w:val="auto"/>
        </w:rPr>
      </w:pPr>
      <w:r>
        <w:rPr>
          <w:rFonts w:ascii="Arial" w:cs="Arial" w:eastAsia="Arial" w:hAnsi="Arial"/>
          <w:sz w:val="20"/>
          <w:szCs w:val="20"/>
          <w:color w:val="auto"/>
        </w:rPr>
        <w:t>NATIONAL ASSOCIATION and WELLS FARGO BANK, NATIONAL ASSOCIATION, as a Documentation Agent, and KEYBANK NATIONAL ASSOCIATION, as Administrative Agent (each, as defined below).</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18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I</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DEFINITIONS</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89" w:lineRule="exact"/>
        <w:rPr>
          <w:sz w:val="20"/>
          <w:szCs w:val="20"/>
          <w:color w:val="auto"/>
        </w:rPr>
      </w:pPr>
    </w:p>
    <w:p>
      <w:pPr>
        <w:ind w:right="2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55"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means any transaction or series of related transactions for the purpose of or resulting, directly or indirectly, in (i) the acquisition of all or substantially all of the assets of any Person, or any business line or unit or division of any Person, or (ii) the acquisition</w:t>
      </w:r>
    </w:p>
    <w:p>
      <w:pPr>
        <w:ind w:right="1040"/>
        <w:spacing w:after="0" w:line="220" w:lineRule="auto"/>
        <w:rPr>
          <w:sz w:val="20"/>
          <w:szCs w:val="20"/>
          <w:color w:val="auto"/>
        </w:rPr>
      </w:pPr>
      <w:r>
        <w:rPr>
          <w:rFonts w:ascii="Arial" w:cs="Arial" w:eastAsia="Arial" w:hAnsi="Arial"/>
          <w:sz w:val="20"/>
          <w:szCs w:val="20"/>
          <w:color w:val="auto"/>
        </w:rPr>
        <w:t>or ownership of in excess of 50% of the Equity Interests of any Person, in each case whether by purchase, merger, consolidation, amalgamation or any other combination with such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Commitment Lender</w:t>
      </w:r>
      <w:r>
        <w:rPr>
          <w:rFonts w:ascii="Arial" w:cs="Arial" w:eastAsia="Arial" w:hAnsi="Arial"/>
          <w:sz w:val="20"/>
          <w:szCs w:val="20"/>
          <w:color w:val="auto"/>
        </w:rPr>
        <w:t>” has the meaning assigned to such term in Section 2.22(d).</w:t>
      </w:r>
    </w:p>
    <w:p>
      <w:pPr>
        <w:spacing w:after="0" w:line="175" w:lineRule="exact"/>
        <w:rPr>
          <w:sz w:val="20"/>
          <w:szCs w:val="20"/>
          <w:color w:val="auto"/>
        </w:rPr>
      </w:pPr>
    </w:p>
    <w:p>
      <w:pPr>
        <w:ind w:right="540"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Credit Extension Amendment</w:t>
      </w:r>
      <w:r>
        <w:rPr>
          <w:rFonts w:ascii="Arial" w:cs="Arial" w:eastAsia="Arial" w:hAnsi="Arial"/>
          <w:sz w:val="16"/>
          <w:szCs w:val="16"/>
          <w:color w:val="auto"/>
        </w:rPr>
        <w:t>” means an amendment to this Agreement providing for any Incremental Revolving Commitments and/or Incremental Term Loans which shall be consistent with the applicable provisions of this Agreement relating to</w:t>
      </w:r>
    </w:p>
    <w:p>
      <w:pPr>
        <w:spacing w:after="0" w:line="1" w:lineRule="exact"/>
        <w:rPr>
          <w:sz w:val="20"/>
          <w:szCs w:val="20"/>
          <w:color w:val="auto"/>
        </w:rPr>
      </w:pPr>
    </w:p>
    <w:p>
      <w:pPr>
        <w:ind w:right="160"/>
        <w:spacing w:after="0" w:line="220" w:lineRule="auto"/>
        <w:rPr>
          <w:sz w:val="20"/>
          <w:szCs w:val="20"/>
          <w:color w:val="auto"/>
        </w:rPr>
      </w:pPr>
      <w:r>
        <w:rPr>
          <w:rFonts w:ascii="Arial" w:cs="Arial" w:eastAsia="Arial" w:hAnsi="Arial"/>
          <w:sz w:val="20"/>
          <w:szCs w:val="20"/>
          <w:color w:val="auto"/>
        </w:rPr>
        <w:t>Incremental Revolving Commitments and/or Incremental Term Loans and otherwise satisfactory to the Administrative Agent, the Company and the Revolving Borrowers or the Term Loan Borrower, as applicable.</w:t>
      </w:r>
    </w:p>
    <w:p>
      <w:pPr>
        <w:spacing w:after="0" w:line="170" w:lineRule="exact"/>
        <w:rPr>
          <w:sz w:val="20"/>
          <w:szCs w:val="20"/>
          <w:color w:val="auto"/>
        </w:rPr>
      </w:pPr>
    </w:p>
    <w:p>
      <w:pPr>
        <w:ind w:right="6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Revolving Borrower</w:t>
      </w:r>
      <w:r>
        <w:rPr>
          <w:rFonts w:ascii="Arial" w:cs="Arial" w:eastAsia="Arial" w:hAnsi="Arial"/>
          <w:sz w:val="20"/>
          <w:szCs w:val="20"/>
          <w:color w:val="auto"/>
        </w:rPr>
        <w:t>” means any Revolving Borrower that becomes a Borrower hereunder after the Closing Date pursuant to Section 2.21 hereof.</w:t>
      </w:r>
    </w:p>
    <w:p>
      <w:pPr>
        <w:spacing w:after="0" w:line="155" w:lineRule="exact"/>
        <w:rPr>
          <w:sz w:val="20"/>
          <w:szCs w:val="20"/>
          <w:color w:val="auto"/>
        </w:rPr>
      </w:pPr>
    </w:p>
    <w:p>
      <w:pPr>
        <w:ind w:right="20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Revolving Borrower Joinder Agreement</w:t>
      </w:r>
      <w:r>
        <w:rPr>
          <w:rFonts w:ascii="Arial" w:cs="Arial" w:eastAsia="Arial" w:hAnsi="Arial"/>
          <w:sz w:val="20"/>
          <w:szCs w:val="20"/>
          <w:color w:val="auto"/>
        </w:rPr>
        <w:t>” means a joinder to this Agreement executed pursuant to Section 2.21 hereof in a form reasonably acceptable to the Administrative Agent and executed by the Administrative Agent, the Company and the Additional Revolving Borrower(s) becoming a party to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Foreign Currency Rate</w:t>
      </w:r>
      <w:r>
        <w:rPr>
          <w:rFonts w:ascii="Arial" w:cs="Arial" w:eastAsia="Arial" w:hAnsi="Arial"/>
          <w:sz w:val="20"/>
          <w:szCs w:val="20"/>
          <w:color w:val="auto"/>
        </w:rPr>
        <w:t>” means:</w:t>
      </w:r>
    </w:p>
    <w:p>
      <w:pPr>
        <w:spacing w:after="0" w:line="189"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with respect to any Foreign Currency Loan denominated in Canadian Dollars, the CDOR Rate;</w:t>
      </w:r>
    </w:p>
    <w:p>
      <w:pPr>
        <w:spacing w:after="0" w:line="188" w:lineRule="exact"/>
        <w:rPr>
          <w:rFonts w:ascii="Arial" w:cs="Arial" w:eastAsia="Arial" w:hAnsi="Arial"/>
          <w:sz w:val="20"/>
          <w:szCs w:val="20"/>
          <w:color w:val="auto"/>
        </w:rPr>
      </w:pPr>
    </w:p>
    <w:p>
      <w:pPr>
        <w:jc w:val="both"/>
        <w:ind w:right="240" w:firstLine="656"/>
        <w:spacing w:after="0" w:line="246" w:lineRule="auto"/>
        <w:tabs>
          <w:tab w:leader="none" w:pos="10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with respect to any Foreign Currency Loan denominated in any RFR Currency, a fluctuating rate per annum (computed (x) in the case of Foreign Currency Loans denominated in Swiss Francs, on the basis of a year of 360 days and actual days elapsed and (y) in the case of Foreign Currency Loans denominated in Sterling or Yen, on the basis of a year of 365 days and actual days elapsed) equal to the Daily Simple RFR for such RFR Currency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RFR Adjustment, such interest rate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automatically from time to time effective as of the effective date of each change in the applicable Daily Simple RFR;</w:t>
      </w:r>
    </w:p>
    <w:p>
      <w:pPr>
        <w:spacing w:after="0" w:line="189" w:lineRule="exact"/>
        <w:rPr>
          <w:sz w:val="20"/>
          <w:szCs w:val="20"/>
          <w:color w:val="auto"/>
        </w:rPr>
      </w:pPr>
    </w:p>
    <w:p>
      <w:pPr>
        <w:ind w:right="360" w:firstLine="656"/>
        <w:spacing w:after="0" w:line="229" w:lineRule="auto"/>
        <w:tabs>
          <w:tab w:leader="none" w:pos="106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with respect to any Foreign Currency Loan denominated in Euros, a rate per annum (computed on the basis of a year of 360 days and actual days elapsed) equal to EURIBOR for the applicable Interest Period; and</w:t>
      </w:r>
    </w:p>
    <w:p>
      <w:pPr>
        <w:spacing w:after="0" w:line="168" w:lineRule="exact"/>
        <w:rPr>
          <w:rFonts w:ascii="Arial" w:cs="Arial" w:eastAsia="Arial" w:hAnsi="Arial"/>
          <w:sz w:val="20"/>
          <w:szCs w:val="20"/>
          <w:color w:val="auto"/>
        </w:rPr>
      </w:pPr>
    </w:p>
    <w:p>
      <w:pPr>
        <w:ind w:firstLine="656"/>
        <w:spacing w:after="0" w:line="233" w:lineRule="auto"/>
        <w:tabs>
          <w:tab w:leader="none" w:pos="10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with respect to each Interest Period for any other Foreign Currency Loan, (i) the rate per annum equal to the offered rate appearing on the applicable electronic page of Reuters (or on the appropriate page of any successor to or substitute for such service, or, if such rate is not available, on the appropriate page of any generally recognized financial information service, as selected by the Administrative Agent from time to time) that displays an average ICE Benchmark Administration Limited (or any successor thereto) Interest Settlement Rate at approximately 11:00 A.M. (London time) two Business Days prior to the commencement of such Interest Period for deposits in the applicable Designated Foreign Currency with a maturity comparable to such Interest Period, divided by (ii) a percentage equal to 100% minus the then stated maximum rate of all reserve requirements (including, without limitation,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rate referred to in clause (i) above is not available at any such time for any reason, then the rate referred to in clause (i) shall instead be the interest rate per annum, as determined by the Administrative Agent, to be the average of the rates per annum at which deposits in an amount equal to the amount of such Foreign Currency Loan in the applicable Designated Foreign Currency are offered to major banks in the London interbank market at approximately 11:00 A.M. (London time), two Business Days prior to the commencement of such Interest Period, for contracts that would be entered into at the commencement of such Interest Period for the same duration as such Interest Period;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further</w:t>
      </w:r>
      <w:r>
        <w:rPr>
          <w:rFonts w:ascii="Arial" w:cs="Arial" w:eastAsia="Arial" w:hAnsi="Arial"/>
          <w:sz w:val="20"/>
          <w:szCs w:val="20"/>
          <w:color w:val="auto"/>
        </w:rPr>
        <w:t>, that in no event will the Adjusted Foreign Currency Rate be less than 0%.</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Adjusted LIBO Rate</w:t>
      </w:r>
      <w:r>
        <w:rPr>
          <w:rFonts w:ascii="Arial" w:cs="Arial" w:eastAsia="Arial" w:hAnsi="Arial"/>
          <w:sz w:val="18"/>
          <w:szCs w:val="18"/>
          <w:color w:val="FF0000"/>
          <w:strike w:val="1"/>
        </w:rPr>
        <w:t>” means with respect to each Interest Period for a Eurodollar Loan, (i) the offered rate for Dollar deposits for a term coextensive with the designated Interest Period that the ICE Benchmark Administration (or any successor administrator of LIBOR rates)</w:t>
      </w:r>
    </w:p>
    <w:p>
      <w:pPr>
        <w:spacing w:after="0" w:line="226" w:lineRule="auto"/>
        <w:rPr>
          <w:sz w:val="20"/>
          <w:szCs w:val="20"/>
          <w:color w:val="auto"/>
        </w:rPr>
      </w:pPr>
      <w:r>
        <w:rPr>
          <w:rFonts w:ascii="Arial" w:cs="Arial" w:eastAsia="Arial" w:hAnsi="Arial"/>
          <w:sz w:val="18"/>
          <w:szCs w:val="18"/>
          <w:color w:val="FF0000"/>
          <w:strike w:val="1"/>
        </w:rPr>
        <w:t>fixes as its LIBOR rate as of 11:00 a.m. London time on the day that is two (2) Business Days prior to the beginning of such Interest Period, divided by (ii) a percentage equal to 100% minus the then stated maximum rate of all reserve requirements (including, without limitation, any</w:t>
      </w:r>
    </w:p>
    <w:p>
      <w:pPr>
        <w:spacing w:after="0" w:line="236" w:lineRule="auto"/>
        <w:rPr>
          <w:sz w:val="20"/>
          <w:szCs w:val="20"/>
          <w:color w:val="auto"/>
        </w:rPr>
      </w:pPr>
      <w:r>
        <w:rPr>
          <w:rFonts w:ascii="Arial" w:cs="Arial" w:eastAsia="Arial" w:hAnsi="Arial"/>
          <w:sz w:val="18"/>
          <w:szCs w:val="18"/>
          <w:color w:val="FF0000"/>
          <w:strike w:val="1"/>
        </w:rPr>
        <w:t>marginal, emergency, supplemental, special or other reserves and without benefit of credits for proration, exceptions or offsets that may be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FF0000"/>
          <w:strike w:val="1"/>
        </w:rPr>
        <w:t xml:space="preserve">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however</w:t>
      </w:r>
      <w:r>
        <w:rPr>
          <w:rFonts w:ascii="Arial" w:cs="Arial" w:eastAsia="Arial" w:hAnsi="Arial"/>
          <w:sz w:val="18"/>
          <w:szCs w:val="18"/>
          <w:color w:val="FF0000"/>
          <w:strike w:val="1"/>
        </w:rPr>
        <w:t>, that in no event will the Adjusted LIBO 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be less than 0%.</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Adjusted Term SOFR</w:t>
      </w:r>
      <w:r>
        <w:rPr>
          <w:rFonts w:ascii="Arial" w:cs="Arial" w:eastAsia="Arial" w:hAnsi="Arial"/>
          <w:sz w:val="18"/>
          <w:szCs w:val="18"/>
          <w:u w:val="single" w:color="auto"/>
          <w:color w:val="0000FF"/>
        </w:rPr>
        <w:t xml:space="preserve">” means for any Interest Period with respect to a Term SOFR Loan, a rate per annum equal to the sum of (a) Term SOFR for such Interest Period and (b) the SOFR Index Adjustment;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however</w:t>
      </w:r>
      <w:r>
        <w:rPr>
          <w:rFonts w:ascii="Arial" w:cs="Arial" w:eastAsia="Arial" w:hAnsi="Arial"/>
          <w:sz w:val="18"/>
          <w:szCs w:val="18"/>
          <w:u w:val="single" w:color="auto"/>
          <w:color w:val="0000FF"/>
        </w:rPr>
        <w:t>, that if Adjusted Term SOFR as determined</w:t>
      </w:r>
    </w:p>
    <w:p>
      <w:pPr>
        <w:spacing w:after="0"/>
        <w:rPr>
          <w:sz w:val="20"/>
          <w:szCs w:val="20"/>
          <w:color w:val="auto"/>
        </w:rPr>
      </w:pPr>
      <w:r>
        <w:rPr>
          <w:rFonts w:ascii="Arial" w:cs="Arial" w:eastAsia="Arial" w:hAnsi="Arial"/>
          <w:sz w:val="20"/>
          <w:szCs w:val="20"/>
          <w:u w:val="single" w:color="auto"/>
          <w:color w:val="0000FF"/>
        </w:rPr>
        <w:t>above would be less than 0%, Adjusted Term SOFR shall be deemed to be 0%.</w:t>
      </w:r>
    </w:p>
    <w:p>
      <w:pPr>
        <w:spacing w:after="0" w:line="173" w:lineRule="exact"/>
        <w:rPr>
          <w:sz w:val="20"/>
          <w:szCs w:val="20"/>
          <w:color w:val="auto"/>
        </w:rPr>
      </w:pPr>
    </w:p>
    <w:p>
      <w:pPr>
        <w:ind w:right="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means KeyBank National Association, in its capacity as administrative agent for the Lenders hereunder, and any successor thereto appointed pursuant to Article VIII.</w:t>
      </w:r>
    </w:p>
    <w:p>
      <w:pPr>
        <w:spacing w:after="0" w:line="169" w:lineRule="exact"/>
        <w:rPr>
          <w:sz w:val="20"/>
          <w:szCs w:val="20"/>
          <w:color w:val="auto"/>
        </w:rPr>
      </w:pPr>
    </w:p>
    <w:p>
      <w:pPr>
        <w:ind w:right="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 Fee Letter</w:t>
      </w:r>
      <w:r>
        <w:rPr>
          <w:rFonts w:ascii="Arial" w:cs="Arial" w:eastAsia="Arial" w:hAnsi="Arial"/>
          <w:sz w:val="20"/>
          <w:szCs w:val="20"/>
          <w:color w:val="auto"/>
        </w:rPr>
        <w:t>” means the Fee Letter, dated as of March 3, 2020, among the Company, the Administrative Agent and KeyBanc Capital Markets Inc.</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Currency</w:t>
      </w:r>
      <w:r>
        <w:rPr>
          <w:rFonts w:ascii="Arial" w:cs="Arial" w:eastAsia="Arial" w:hAnsi="Arial"/>
          <w:sz w:val="20"/>
          <w:szCs w:val="20"/>
          <w:color w:val="auto"/>
        </w:rPr>
        <w:t xml:space="preserve">” means each of Euros, Sterling, Swiss Francs </w:t>
      </w:r>
      <w:r>
        <w:rPr>
          <w:rFonts w:ascii="Arial" w:cs="Arial" w:eastAsia="Arial" w:hAnsi="Arial"/>
          <w:sz w:val="20"/>
          <w:szCs w:val="20"/>
          <w:color w:val="FF0000"/>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Yen </w:t>
      </w:r>
      <w:r>
        <w:rPr>
          <w:rFonts w:ascii="Arial" w:cs="Arial" w:eastAsia="Arial" w:hAnsi="Arial"/>
          <w:sz w:val="20"/>
          <w:szCs w:val="20"/>
          <w:color w:val="0000FF"/>
        </w:rPr>
        <w:t>and Canadian Dollars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-66040</wp:posOffset>
            </wp:positionV>
            <wp:extent cx="212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-14605</wp:posOffset>
            </wp:positionV>
            <wp:extent cx="11201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89" w:lineRule="exact"/>
        <w:rPr>
          <w:sz w:val="20"/>
          <w:szCs w:val="20"/>
          <w:color w:val="auto"/>
        </w:rPr>
      </w:pPr>
    </w:p>
    <w:p>
      <w:pPr>
        <w:ind w:right="1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Party</w:t>
      </w:r>
      <w:r>
        <w:rPr>
          <w:rFonts w:ascii="Arial" w:cs="Arial" w:eastAsia="Arial" w:hAnsi="Arial"/>
          <w:sz w:val="20"/>
          <w:szCs w:val="20"/>
          <w:color w:val="auto"/>
        </w:rPr>
        <w:t>” has the meaning assigned to such term in Section 10.01(d).</w:t>
      </w:r>
    </w:p>
    <w:p>
      <w:pPr>
        <w:spacing w:after="0" w:line="189" w:lineRule="exact"/>
        <w:rPr>
          <w:sz w:val="20"/>
          <w:szCs w:val="20"/>
          <w:color w:val="auto"/>
        </w:rPr>
      </w:pPr>
    </w:p>
    <w:p>
      <w:pPr>
        <w:ind w:right="2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means this Revolving Credit and Term Loan Agreement, as amended, restated, supplemented or otherwise modified from time to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Alternate Base Rate</w:t>
      </w:r>
      <w:r>
        <w:rPr>
          <w:rFonts w:ascii="Arial" w:cs="Arial" w:eastAsia="Arial" w:hAnsi="Arial"/>
          <w:sz w:val="16"/>
          <w:szCs w:val="16"/>
          <w:color w:val="auto"/>
        </w:rPr>
        <w:t>” means, for any day, a rate per annum equal to the greatest of (a) the Prime Rate in effect on such day, (b) the</w:t>
      </w:r>
    </w:p>
    <w:p>
      <w:pPr>
        <w:spacing w:after="0" w:line="3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Federal Funds Effective Rate in effect on such day plus ½ of 1% and (c) </w:t>
      </w:r>
      <w:r>
        <w:rPr>
          <w:rFonts w:ascii="Arial" w:cs="Arial" w:eastAsia="Arial" w:hAnsi="Arial"/>
          <w:sz w:val="18"/>
          <w:szCs w:val="18"/>
          <w:color w:val="FF0000"/>
          <w:strike w:val="1"/>
        </w:rPr>
        <w:t>the</w:t>
      </w:r>
      <w:r>
        <w:rPr>
          <w:rFonts w:ascii="Arial" w:cs="Arial" w:eastAsia="Arial" w:hAnsi="Arial"/>
          <w:sz w:val="18"/>
          <w:szCs w:val="18"/>
          <w:color w:val="auto"/>
        </w:rPr>
        <w:t xml:space="preserve"> Adjusted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for a one month Interest Period </w:t>
      </w:r>
      <w:r>
        <w:rPr>
          <w:rFonts w:ascii="Arial" w:cs="Arial" w:eastAsia="Arial" w:hAnsi="Arial"/>
          <w:sz w:val="18"/>
          <w:szCs w:val="18"/>
          <w:u w:val="single" w:color="auto"/>
          <w:color w:val="0000FF"/>
        </w:rPr>
        <w:t>in effect</w:t>
      </w:r>
      <w:r>
        <w:rPr>
          <w:rFonts w:ascii="Arial" w:cs="Arial" w:eastAsia="Arial" w:hAnsi="Arial"/>
          <w:sz w:val="18"/>
          <w:szCs w:val="18"/>
          <w:color w:val="0000FF"/>
        </w:rPr>
        <w:t xml:space="preserve"> </w:t>
      </w:r>
      <w:r>
        <w:rPr>
          <w:rFonts w:ascii="Arial" w:cs="Arial" w:eastAsia="Arial" w:hAnsi="Arial"/>
          <w:sz w:val="18"/>
          <w:szCs w:val="18"/>
          <w:color w:val="000000"/>
        </w:rPr>
        <w:t>on such day (or if such day is not a Business Day, the immediately preceding Business Day) plus 1%</w:t>
      </w:r>
      <w:r>
        <w:rPr>
          <w:rFonts w:ascii="Arial" w:cs="Arial" w:eastAsia="Arial" w:hAnsi="Arial"/>
          <w:sz w:val="18"/>
          <w:szCs w:val="18"/>
          <w:color w:val="FF0000"/>
          <w:strike w:val="1"/>
        </w:rPr>
        <w:t>,</w:t>
      </w:r>
      <w:r>
        <w:rPr>
          <w:rFonts w:ascii="Arial" w:cs="Arial" w:eastAsia="Arial" w:hAnsi="Arial"/>
          <w:sz w:val="18"/>
          <w:szCs w:val="18"/>
          <w:color w:val="0000FF"/>
        </w:rPr>
        <w:t xml:space="preserve"> </w:t>
      </w:r>
      <w:r>
        <w:rPr>
          <w:rFonts w:ascii="Arial" w:cs="Arial" w:eastAsia="Arial" w:hAnsi="Arial"/>
          <w:sz w:val="18"/>
          <w:szCs w:val="18"/>
          <w:i w:val="1"/>
          <w:iCs w:val="1"/>
          <w:color w:val="FF0000"/>
          <w:strike w:val="1"/>
        </w:rPr>
        <w:t>provided</w:t>
      </w:r>
      <w:r>
        <w:rPr>
          <w:rFonts w:ascii="Arial" w:cs="Arial" w:eastAsia="Arial" w:hAnsi="Arial"/>
          <w:sz w:val="18"/>
          <w:szCs w:val="18"/>
          <w:color w:val="0000FF"/>
        </w:rPr>
        <w:t xml:space="preserve"> </w:t>
      </w:r>
      <w:r>
        <w:rPr>
          <w:rFonts w:ascii="Arial" w:cs="Arial" w:eastAsia="Arial" w:hAnsi="Arial"/>
          <w:sz w:val="18"/>
          <w:szCs w:val="18"/>
          <w:color w:val="FF0000"/>
          <w:strike w:val="1"/>
        </w:rPr>
        <w:t>that, for the</w:t>
      </w:r>
    </w:p>
    <w:p>
      <w:pPr>
        <w:spacing w:after="0" w:line="236" w:lineRule="auto"/>
        <w:rPr>
          <w:sz w:val="20"/>
          <w:szCs w:val="20"/>
          <w:color w:val="auto"/>
        </w:rPr>
      </w:pPr>
      <w:r>
        <w:rPr>
          <w:rFonts w:ascii="Arial" w:cs="Arial" w:eastAsia="Arial" w:hAnsi="Arial"/>
          <w:sz w:val="18"/>
          <w:szCs w:val="18"/>
          <w:color w:val="FF0000"/>
          <w:strike w:val="1"/>
        </w:rPr>
        <w:t>avoidance of doubt, the Adjusted LIBO Rate for any day shall be based on the offered rate for Dollar deposits that the ICE Benchmark</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FF0000"/>
          <w:strike w:val="1"/>
        </w:rPr>
        <w:t>Administration (or any successor administrator of LIBOR rates) fixes as its LIBOR rate at approximately 11:00 a.m. London time on such day</w:t>
      </w:r>
      <w:r>
        <w:rPr>
          <w:rFonts w:ascii="Arial" w:cs="Arial" w:eastAsia="Arial" w:hAnsi="Arial"/>
          <w:sz w:val="18"/>
          <w:szCs w:val="18"/>
          <w:color w:val="000000"/>
          <w:strike w:val="1"/>
        </w:rPr>
        <w:t>. Any change in the Alternate Base Rate due to a change in the Prime Rate, the Federal Funds Effective Rate or</w:t>
      </w:r>
      <w:r>
        <w:rPr>
          <w:rFonts w:ascii="Arial" w:cs="Arial" w:eastAsia="Arial" w:hAnsi="Arial"/>
          <w:sz w:val="18"/>
          <w:szCs w:val="18"/>
          <w:color w:val="FF0000"/>
          <w:strike w:val="1"/>
        </w:rPr>
        <w:t xml:space="preserve"> the </w:t>
      </w:r>
      <w:r>
        <w:rPr>
          <w:rFonts w:ascii="Arial" w:cs="Arial" w:eastAsia="Arial" w:hAnsi="Arial"/>
          <w:sz w:val="18"/>
          <w:szCs w:val="18"/>
          <w:color w:val="000000"/>
          <w:strike w:val="1"/>
        </w:rPr>
        <w:t>Adjusted</w:t>
      </w:r>
      <w:r>
        <w:rPr>
          <w:rFonts w:ascii="Arial" w:cs="Arial" w:eastAsia="Arial" w:hAnsi="Arial"/>
          <w:sz w:val="18"/>
          <w:szCs w:val="18"/>
          <w:color w:val="FF0000"/>
          <w:strike w:val="1"/>
        </w:rPr>
        <w:t xml:space="preserve"> LIBO</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FF0000"/>
          <w:strike w:val="1"/>
        </w:rPr>
        <w:t>Rate</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shall be effective from and including the effective date of such change in the Prime Rate, the Federal Funds Effective Rate</w:t>
      </w:r>
      <w:r>
        <w:rPr>
          <w:rFonts w:ascii="Arial" w:cs="Arial" w:eastAsia="Arial" w:hAnsi="Arial"/>
          <w:sz w:val="20"/>
          <w:szCs w:val="20"/>
          <w:color w:val="FF0000"/>
        </w:rPr>
        <w:t xml:space="preserve"> </w:t>
      </w:r>
      <w:r>
        <w:rPr>
          <w:rFonts w:ascii="Arial" w:cs="Arial" w:eastAsia="Arial" w:hAnsi="Arial"/>
          <w:sz w:val="20"/>
          <w:szCs w:val="20"/>
          <w:color w:val="000000"/>
        </w:rPr>
        <w:t xml:space="preserve">or </w:t>
      </w:r>
      <w:r>
        <w:rPr>
          <w:rFonts w:ascii="Arial" w:cs="Arial" w:eastAsia="Arial" w:hAnsi="Arial"/>
          <w:sz w:val="20"/>
          <w:szCs w:val="20"/>
          <w:color w:val="FF0000"/>
          <w:strike w:val="1"/>
        </w:rPr>
        <w:t>the</w:t>
      </w:r>
      <w:r>
        <w:rPr>
          <w:rFonts w:ascii="Arial" w:cs="Arial" w:eastAsia="Arial" w:hAnsi="Arial"/>
          <w:sz w:val="20"/>
          <w:szCs w:val="20"/>
          <w:color w:val="000000"/>
        </w:rPr>
        <w:t xml:space="preserve"> Adjusted </w:t>
      </w:r>
      <w:r>
        <w:rPr>
          <w:rFonts w:ascii="Arial" w:cs="Arial" w:eastAsia="Arial" w:hAnsi="Arial"/>
          <w:sz w:val="20"/>
          <w:szCs w:val="20"/>
          <w:color w:val="FF0000"/>
          <w:strike w:val="1"/>
        </w:rPr>
        <w:t>LIBO Rate</w:t>
      </w:r>
      <w:r>
        <w:rPr>
          <w:rFonts w:ascii="Arial" w:cs="Arial" w:eastAsia="Arial" w:hAnsi="Arial"/>
          <w:sz w:val="20"/>
          <w:szCs w:val="20"/>
          <w:u w:val="single" w:color="auto"/>
          <w:color w:val="0000FF"/>
        </w:rPr>
        <w:t>Term SOFR</w:t>
      </w:r>
      <w:r>
        <w:rPr>
          <w:rFonts w:ascii="Arial" w:cs="Arial" w:eastAsia="Arial" w:hAnsi="Arial"/>
          <w:sz w:val="20"/>
          <w:szCs w:val="20"/>
          <w:color w:val="000000"/>
        </w:rPr>
        <w:t>, respectively.</w:t>
      </w:r>
    </w:p>
    <w:p>
      <w:pPr>
        <w:spacing w:after="0" w:line="156" w:lineRule="exact"/>
        <w:rPr>
          <w:sz w:val="20"/>
          <w:szCs w:val="20"/>
          <w:color w:val="auto"/>
        </w:rPr>
      </w:pPr>
    </w:p>
    <w:p>
      <w:pPr>
        <w:ind w:right="80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Amendment No. 1</w:t>
      </w:r>
      <w:r>
        <w:rPr>
          <w:rFonts w:ascii="Arial" w:cs="Arial" w:eastAsia="Arial" w:hAnsi="Arial"/>
          <w:sz w:val="19"/>
          <w:szCs w:val="19"/>
          <w:color w:val="auto"/>
        </w:rPr>
        <w:t>” means Amendment No. 1 and Joinder to Revolving Credit and Term Loan Agreement, dated as of the Amendment No. 1 Effective Date, among the Borrowers, the Administrative Agent and the Lenders party thereto.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No. 1 Effective Date</w:t>
      </w:r>
      <w:r>
        <w:rPr>
          <w:rFonts w:ascii="Arial" w:cs="Arial" w:eastAsia="Arial" w:hAnsi="Arial"/>
          <w:sz w:val="20"/>
          <w:szCs w:val="20"/>
          <w:color w:val="auto"/>
        </w:rPr>
        <w:t>” means October 30, 2020.</w:t>
      </w:r>
    </w:p>
    <w:p>
      <w:pPr>
        <w:spacing w:after="0" w:line="175" w:lineRule="exact"/>
        <w:rPr>
          <w:sz w:val="20"/>
          <w:szCs w:val="20"/>
          <w:color w:val="auto"/>
        </w:rPr>
      </w:pPr>
    </w:p>
    <w:p>
      <w:pPr>
        <w:ind w:right="80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Amendment No. 2</w:t>
      </w:r>
      <w:r>
        <w:rPr>
          <w:rFonts w:ascii="Arial" w:cs="Arial" w:eastAsia="Arial" w:hAnsi="Arial"/>
          <w:sz w:val="19"/>
          <w:szCs w:val="19"/>
          <w:color w:val="auto"/>
        </w:rPr>
        <w:t>” means Amendment No. 2 and Joinder to Revolving Credit and Term Loan Agreement, dated as of the Amendment No. 2 Effective Date, among the Borrowers, the Administrative Agent and the Lenders party thereto.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No. 2 Effective Date</w:t>
      </w:r>
      <w:r>
        <w:rPr>
          <w:rFonts w:ascii="Arial" w:cs="Arial" w:eastAsia="Arial" w:hAnsi="Arial"/>
          <w:sz w:val="20"/>
          <w:szCs w:val="20"/>
          <w:color w:val="auto"/>
        </w:rPr>
        <w:t>” means December 17, 2021.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Maturity Date</w:t>
      </w:r>
      <w:r>
        <w:rPr>
          <w:rFonts w:ascii="Arial" w:cs="Arial" w:eastAsia="Arial" w:hAnsi="Arial"/>
          <w:sz w:val="20"/>
          <w:szCs w:val="20"/>
          <w:color w:val="auto"/>
        </w:rPr>
        <w:t>” has the meaning assigned to such term in Section 2.22(a).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Rate</w:t>
      </w:r>
      <w:r>
        <w:rPr>
          <w:rFonts w:ascii="Arial" w:cs="Arial" w:eastAsia="Arial" w:hAnsi="Arial"/>
          <w:sz w:val="20"/>
          <w:szCs w:val="20"/>
          <w:color w:val="auto"/>
        </w:rPr>
        <w:t>” means, as of any date of determination:</w:t>
      </w:r>
    </w:p>
    <w:p>
      <w:pPr>
        <w:spacing w:after="0" w:line="175" w:lineRule="exact"/>
        <w:rPr>
          <w:sz w:val="20"/>
          <w:szCs w:val="20"/>
          <w:color w:val="auto"/>
        </w:rPr>
      </w:pPr>
    </w:p>
    <w:p>
      <w:pPr>
        <w:ind w:firstLine="656"/>
        <w:spacing w:after="0" w:line="236" w:lineRule="auto"/>
        <w:tabs>
          <w:tab w:leader="none" w:pos="1033"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on the Closing Date and thereafter until changed in accordance with the provisions set forth in this definition, the applicable rate per annum applicable to Level II in the table set forth below; and</w:t>
      </w:r>
    </w:p>
    <w:p>
      <w:pPr>
        <w:spacing w:after="0" w:line="168" w:lineRule="exact"/>
        <w:rPr>
          <w:rFonts w:ascii="Arial" w:cs="Arial" w:eastAsia="Arial" w:hAnsi="Arial"/>
          <w:sz w:val="20"/>
          <w:szCs w:val="20"/>
          <w:color w:val="auto"/>
        </w:rPr>
      </w:pPr>
    </w:p>
    <w:p>
      <w:pPr>
        <w:ind w:firstLine="656"/>
        <w:spacing w:after="0" w:line="269" w:lineRule="auto"/>
        <w:tabs>
          <w:tab w:leader="none" w:pos="108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commencing on the date on which a Compliance Certificate is delivered with respect to the fiscal quarter ending April 30, 2020 and continuing with each fiscal quarter thereafter, the applicable rate per annum determined in accordance with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2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Ratio Level</w:t>
            </w:r>
          </w:p>
        </w:tc>
        <w:tc>
          <w:tcPr>
            <w:tcW w:w="2240" w:type="dxa"/>
            <w:vAlign w:val="bottom"/>
            <w:tcBorders>
              <w:top w:val="single" w:sz="8" w:color="auto"/>
              <w:bottom w:val="single" w:sz="8" w:color="auto"/>
              <w:right w:val="single" w:sz="8" w:color="auto"/>
            </w:tcBorders>
            <w:vMerge w:val="restart"/>
          </w:tcPr>
          <w:p>
            <w:pPr>
              <w:ind w:left="220"/>
              <w:spacing w:after="0"/>
              <w:rPr>
                <w:sz w:val="20"/>
                <w:szCs w:val="20"/>
                <w:color w:val="auto"/>
              </w:rPr>
            </w:pPr>
            <w:r>
              <w:rPr>
                <w:rFonts w:ascii="Arial" w:cs="Arial" w:eastAsia="Arial" w:hAnsi="Arial"/>
                <w:sz w:val="20"/>
                <w:szCs w:val="20"/>
                <w:b w:val="1"/>
                <w:bCs w:val="1"/>
                <w:color w:val="auto"/>
              </w:rPr>
              <w:t>Total Leverage Ratio</w:t>
            </w: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140"/>
              <w:spacing w:after="0" w:line="216" w:lineRule="exact"/>
              <w:rPr>
                <w:sz w:val="20"/>
                <w:szCs w:val="20"/>
                <w:color w:val="auto"/>
              </w:rPr>
            </w:pPr>
            <w:r>
              <w:rPr>
                <w:rFonts w:ascii="Arial" w:cs="Arial" w:eastAsia="Arial" w:hAnsi="Arial"/>
                <w:sz w:val="20"/>
                <w:szCs w:val="20"/>
                <w:b w:val="1"/>
                <w:bCs w:val="1"/>
                <w:color w:val="FF0000"/>
              </w:rPr>
              <w:t>Eurodollar –</w:t>
            </w:r>
          </w:p>
        </w:tc>
        <w:tc>
          <w:tcPr>
            <w:tcW w:w="440" w:type="dxa"/>
            <w:vAlign w:val="bottom"/>
            <w:tcBorders>
              <w:top w:val="single" w:sz="8" w:color="auto"/>
              <w:bottom w:val="single" w:sz="8" w:color="0000FF"/>
            </w:tcBorders>
          </w:tcPr>
          <w:p>
            <w:pPr>
              <w:spacing w:after="0" w:line="216" w:lineRule="exact"/>
              <w:rPr>
                <w:sz w:val="20"/>
                <w:szCs w:val="20"/>
                <w:color w:val="auto"/>
              </w:rPr>
            </w:pPr>
            <w:r>
              <w:rPr>
                <w:rFonts w:ascii="Arial" w:cs="Arial" w:eastAsia="Arial" w:hAnsi="Arial"/>
                <w:sz w:val="20"/>
                <w:szCs w:val="20"/>
                <w:b w:val="1"/>
                <w:bCs w:val="1"/>
                <w:color w:val="0000FF"/>
                <w:strike w:val="1"/>
                <w:w w:val="85"/>
              </w:rPr>
              <w:t>Term</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0"/>
              </w:rPr>
              <w:t>Foreign Currency –</w:t>
            </w:r>
          </w:p>
        </w:tc>
        <w:tc>
          <w:tcPr>
            <w:tcW w:w="22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ABR – Applicable Rate</w:t>
            </w:r>
          </w:p>
        </w:tc>
        <w:tc>
          <w:tcPr>
            <w:tcW w:w="0" w:type="dxa"/>
            <w:vAlign w:val="bottom"/>
          </w:tcPr>
          <w:p>
            <w:pPr>
              <w:spacing w:after="0"/>
              <w:rPr>
                <w:sz w:val="1"/>
                <w:szCs w:val="1"/>
                <w:color w:val="auto"/>
              </w:rPr>
            </w:pPr>
          </w:p>
        </w:tc>
      </w:tr>
      <w:tr>
        <w:trPr>
          <w:trHeight w:val="102"/>
        </w:trPr>
        <w:tc>
          <w:tcPr>
            <w:tcW w:w="2220" w:type="dxa"/>
            <w:vAlign w:val="bottom"/>
            <w:tcBorders>
              <w:left w:val="single" w:sz="8" w:color="auto"/>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spacing w:after="0" w:line="183" w:lineRule="exact"/>
              <w:rPr>
                <w:sz w:val="20"/>
                <w:szCs w:val="20"/>
                <w:color w:val="auto"/>
              </w:rPr>
            </w:pPr>
            <w:r>
              <w:rPr>
                <w:rFonts w:ascii="Arial" w:cs="Arial" w:eastAsia="Arial" w:hAnsi="Arial"/>
                <w:sz w:val="20"/>
                <w:szCs w:val="20"/>
                <w:b w:val="1"/>
                <w:bCs w:val="1"/>
                <w:color w:val="0000FF"/>
                <w:strike w:val="1"/>
                <w:w w:val="92"/>
              </w:rPr>
              <w:t>SOFR—</w:t>
            </w:r>
          </w:p>
        </w:tc>
        <w:tc>
          <w:tcPr>
            <w:tcW w:w="1360" w:type="dxa"/>
            <w:vAlign w:val="bottom"/>
            <w:gridSpan w:val="3"/>
            <w:vMerge w:val="restart"/>
          </w:tcPr>
          <w:p>
            <w:pPr>
              <w:spacing w:after="0" w:line="183" w:lineRule="exact"/>
              <w:rPr>
                <w:sz w:val="20"/>
                <w:szCs w:val="20"/>
                <w:color w:val="auto"/>
              </w:rPr>
            </w:pPr>
            <w:r>
              <w:rPr>
                <w:rFonts w:ascii="Arial" w:cs="Arial" w:eastAsia="Arial" w:hAnsi="Arial"/>
                <w:sz w:val="20"/>
                <w:szCs w:val="20"/>
                <w:b w:val="1"/>
                <w:bCs w:val="1"/>
                <w:color w:val="FF0000"/>
                <w:strike w:val="1"/>
                <w:w w:val="89"/>
              </w:rPr>
              <w:t>Applicable Rate</w:t>
            </w:r>
          </w:p>
        </w:tc>
        <w:tc>
          <w:tcPr>
            <w:tcW w:w="10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20"/>
                <w:szCs w:val="20"/>
                <w:b w:val="1"/>
                <w:bCs w:val="1"/>
                <w:color w:val="auto"/>
                <w:w w:val="90"/>
              </w:rPr>
              <w:t>Applicable Rate</w:t>
            </w: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22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bottom w:val="single" w:sz="8" w:color="0000FF"/>
            </w:tcBorders>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2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Level I</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Less than 1.50 to 1.00</w:t>
            </w:r>
          </w:p>
        </w:tc>
        <w:tc>
          <w:tcPr>
            <w:tcW w:w="156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20"/>
                <w:szCs w:val="20"/>
                <w:color w:val="auto"/>
                <w:w w:val="91"/>
              </w:rPr>
              <w:t>0.75%</w:t>
            </w: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Level II</w:t>
            </w:r>
          </w:p>
        </w:tc>
        <w:tc>
          <w:tcPr>
            <w:tcW w:w="22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Greater than or equal to</w:t>
            </w:r>
          </w:p>
        </w:tc>
        <w:tc>
          <w:tcPr>
            <w:tcW w:w="1560" w:type="dxa"/>
            <w:vAlign w:val="bottom"/>
            <w:gridSpan w:val="3"/>
            <w:vMerge w:val="restart"/>
          </w:tcPr>
          <w:p>
            <w:pPr>
              <w:jc w:val="center"/>
              <w:ind w:left="581"/>
              <w:spacing w:after="0"/>
              <w:rPr>
                <w:sz w:val="20"/>
                <w:szCs w:val="20"/>
                <w:color w:val="auto"/>
              </w:rPr>
            </w:pPr>
            <w:r>
              <w:rPr>
                <w:rFonts w:ascii="Arial" w:cs="Arial" w:eastAsia="Arial" w:hAnsi="Arial"/>
                <w:sz w:val="20"/>
                <w:szCs w:val="20"/>
                <w:color w:val="auto"/>
                <w:w w:val="88"/>
              </w:rPr>
              <w:t>0.875%</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0.875%</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0"/>
                <w:szCs w:val="20"/>
                <w:color w:val="auto"/>
                <w:w w:val="92"/>
              </w:rPr>
              <w:t>1.50 to 1.00, but less than</w:t>
            </w:r>
          </w:p>
        </w:tc>
        <w:tc>
          <w:tcPr>
            <w:tcW w:w="156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2.00 to 1.00</w:t>
            </w: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Level III</w:t>
            </w:r>
          </w:p>
        </w:tc>
        <w:tc>
          <w:tcPr>
            <w:tcW w:w="22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Greater than or equal to</w:t>
            </w:r>
          </w:p>
        </w:tc>
        <w:tc>
          <w:tcPr>
            <w:tcW w:w="1560" w:type="dxa"/>
            <w:vAlign w:val="bottom"/>
            <w:gridSpan w:val="3"/>
            <w:vMerge w:val="restart"/>
          </w:tcPr>
          <w:p>
            <w:pPr>
              <w:jc w:val="center"/>
              <w:ind w:left="581"/>
              <w:spacing w:after="0"/>
              <w:rPr>
                <w:sz w:val="20"/>
                <w:szCs w:val="20"/>
                <w:color w:val="auto"/>
              </w:rPr>
            </w:pPr>
            <w:r>
              <w:rPr>
                <w:rFonts w:ascii="Arial" w:cs="Arial" w:eastAsia="Arial" w:hAnsi="Arial"/>
                <w:sz w:val="20"/>
                <w:szCs w:val="20"/>
                <w:color w:val="auto"/>
                <w:w w:val="91"/>
              </w:rPr>
              <w:t>1.00%</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1.00%</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0"/>
                <w:szCs w:val="20"/>
                <w:color w:val="auto"/>
                <w:w w:val="92"/>
              </w:rPr>
              <w:t>2.00 to 1.00, but less than</w:t>
            </w:r>
          </w:p>
        </w:tc>
        <w:tc>
          <w:tcPr>
            <w:tcW w:w="156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2.50 to 1.00</w:t>
            </w: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Level IV</w:t>
            </w:r>
          </w:p>
        </w:tc>
        <w:tc>
          <w:tcPr>
            <w:tcW w:w="22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Greater than or equal to</w:t>
            </w:r>
          </w:p>
        </w:tc>
        <w:tc>
          <w:tcPr>
            <w:tcW w:w="1560" w:type="dxa"/>
            <w:vAlign w:val="bottom"/>
            <w:gridSpan w:val="3"/>
            <w:vMerge w:val="restart"/>
          </w:tcPr>
          <w:p>
            <w:pPr>
              <w:jc w:val="center"/>
              <w:ind w:left="581"/>
              <w:spacing w:after="0"/>
              <w:rPr>
                <w:sz w:val="20"/>
                <w:szCs w:val="20"/>
                <w:color w:val="auto"/>
              </w:rPr>
            </w:pPr>
            <w:r>
              <w:rPr>
                <w:rFonts w:ascii="Arial" w:cs="Arial" w:eastAsia="Arial" w:hAnsi="Arial"/>
                <w:sz w:val="20"/>
                <w:szCs w:val="20"/>
                <w:color w:val="auto"/>
                <w:w w:val="91"/>
              </w:rPr>
              <w:t>1.25%</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1.25%</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0.25%</w:t>
            </w: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20"/>
                <w:szCs w:val="20"/>
                <w:color w:val="auto"/>
                <w:w w:val="92"/>
              </w:rPr>
              <w:t>2.50 to 1.00, but less than</w:t>
            </w:r>
          </w:p>
        </w:tc>
        <w:tc>
          <w:tcPr>
            <w:tcW w:w="156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3.00 to 1.00</w:t>
            </w: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Level V</w:t>
            </w:r>
          </w:p>
        </w:tc>
        <w:tc>
          <w:tcPr>
            <w:tcW w:w="22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Greater than or equal to</w:t>
            </w:r>
          </w:p>
        </w:tc>
        <w:tc>
          <w:tcPr>
            <w:tcW w:w="1560" w:type="dxa"/>
            <w:vAlign w:val="bottom"/>
            <w:gridSpan w:val="3"/>
            <w:vMerge w:val="restart"/>
          </w:tcPr>
          <w:p>
            <w:pPr>
              <w:jc w:val="center"/>
              <w:ind w:left="581"/>
              <w:spacing w:after="0"/>
              <w:rPr>
                <w:sz w:val="20"/>
                <w:szCs w:val="20"/>
                <w:color w:val="auto"/>
              </w:rPr>
            </w:pPr>
            <w:r>
              <w:rPr>
                <w:rFonts w:ascii="Arial" w:cs="Arial" w:eastAsia="Arial" w:hAnsi="Arial"/>
                <w:sz w:val="20"/>
                <w:szCs w:val="20"/>
                <w:color w:val="auto"/>
                <w:w w:val="91"/>
              </w:rPr>
              <w:t>1.50%</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1.50%</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continue"/>
          </w:tcPr>
          <w:p>
            <w:pPr>
              <w:spacing w:after="0"/>
              <w:rPr>
                <w:sz w:val="12"/>
                <w:szCs w:val="12"/>
                <w:color w:val="auto"/>
              </w:rPr>
            </w:pPr>
          </w:p>
        </w:tc>
        <w:tc>
          <w:tcPr>
            <w:tcW w:w="22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3.00 to 1.00</w:t>
            </w:r>
          </w:p>
        </w:tc>
        <w:tc>
          <w:tcPr>
            <w:tcW w:w="15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vMerge w:val="continue"/>
          </w:tcPr>
          <w:p>
            <w:pPr>
              <w:spacing w:after="0"/>
              <w:rPr>
                <w:sz w:val="12"/>
                <w:szCs w:val="12"/>
                <w:color w:val="auto"/>
              </w:rPr>
            </w:pPr>
          </w:p>
        </w:tc>
        <w:tc>
          <w:tcPr>
            <w:tcW w:w="2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22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-1936750</wp:posOffset>
            </wp:positionV>
            <wp:extent cx="8420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6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 xml:space="preserve">Any increase or decrease in the Applicable Rate resulting from a change in the Total Leverage Ratio shall become effective as of the first Business Day immediately following the date a Compliance Certificate is delivered in accordance with Section 5.01(c); </w:t>
      </w:r>
      <w:r>
        <w:rPr>
          <w:rFonts w:ascii="Arial" w:cs="Arial" w:eastAsia="Arial" w:hAnsi="Arial"/>
          <w:sz w:val="18"/>
          <w:szCs w:val="18"/>
          <w:i w:val="1"/>
          <w:iCs w:val="1"/>
          <w:color w:val="auto"/>
        </w:rPr>
        <w:t>provided</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i w:val="1"/>
          <w:iCs w:val="1"/>
          <w:color w:val="auto"/>
        </w:rPr>
        <w:t>however</w:t>
      </w:r>
      <w:r>
        <w:rPr>
          <w:rFonts w:ascii="Arial" w:cs="Arial" w:eastAsia="Arial" w:hAnsi="Arial"/>
          <w:sz w:val="18"/>
          <w:szCs w:val="18"/>
          <w:color w:val="auto"/>
        </w:rPr>
        <w:t>, that if such Compliance Certificate is not delivered when due in accordance with Section 5.01(c), then the Applicable Rate shall be</w:t>
      </w:r>
    </w:p>
    <w:p>
      <w:pPr>
        <w:ind w:right="400"/>
        <w:spacing w:after="0" w:line="255" w:lineRule="auto"/>
        <w:rPr>
          <w:sz w:val="20"/>
          <w:szCs w:val="20"/>
          <w:color w:val="auto"/>
        </w:rPr>
      </w:pPr>
      <w:r>
        <w:rPr>
          <w:rFonts w:ascii="Arial" w:cs="Arial" w:eastAsia="Arial" w:hAnsi="Arial"/>
          <w:sz w:val="16"/>
          <w:szCs w:val="16"/>
          <w:color w:val="auto"/>
        </w:rPr>
        <w:t>the percentage that would apply to Level V above and it shall apply as of the first Business Day after the date on which such Compliance Certificate was required to have been delivered until the date on which such Compliance Certificate is delivered (on which date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Applicable Rate shall be set at the margin based upon the calculations in such Compliance Certificate).</w:t>
      </w:r>
    </w:p>
    <w:p>
      <w:pPr>
        <w:spacing w:after="0" w:line="148"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If at any time the financial statements upon which the Applicable Rate was determined were incorrect (whether based on a</w:t>
      </w:r>
    </w:p>
    <w:p>
      <w:pPr>
        <w:jc w:val="center"/>
        <w:ind w:right="300"/>
        <w:spacing w:after="0"/>
        <w:rPr>
          <w:sz w:val="20"/>
          <w:szCs w:val="20"/>
          <w:color w:val="auto"/>
        </w:rPr>
      </w:pPr>
      <w:r>
        <w:rPr>
          <w:rFonts w:ascii="Arial" w:cs="Arial" w:eastAsia="Arial" w:hAnsi="Arial"/>
          <w:sz w:val="16"/>
          <w:szCs w:val="16"/>
          <w:color w:val="auto"/>
        </w:rPr>
        <w:t>restatement, fraud or otherwise) and as a result thereof, the Total Leverage Ratio was determined incorrectly for any period, the applicable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be required to retroactively pay any additional amount that such Borrower would have been required to pay if such financial</w:t>
      </w:r>
    </w:p>
    <w:p>
      <w:pPr>
        <w:ind w:right="180"/>
        <w:spacing w:after="0" w:line="255" w:lineRule="auto"/>
        <w:rPr>
          <w:sz w:val="20"/>
          <w:szCs w:val="20"/>
          <w:color w:val="auto"/>
        </w:rPr>
      </w:pPr>
      <w:r>
        <w:rPr>
          <w:rFonts w:ascii="Arial" w:cs="Arial" w:eastAsia="Arial" w:hAnsi="Arial"/>
          <w:sz w:val="16"/>
          <w:szCs w:val="16"/>
          <w:color w:val="auto"/>
        </w:rPr>
        <w:t>statements had been accurate at the time they were delivered (or, to the extent that any Borrower paid any amounts in excess of the amounts such Borrower should have paid, then the Lenders shall credit such over-payment to the Indebtedness owing by the applicable Borrower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each such Lender).</w:t>
      </w:r>
    </w:p>
    <w:p>
      <w:pPr>
        <w:spacing w:after="0" w:line="173" w:lineRule="exact"/>
        <w:rPr>
          <w:sz w:val="20"/>
          <w:szCs w:val="20"/>
          <w:color w:val="auto"/>
        </w:rPr>
      </w:pPr>
    </w:p>
    <w:p>
      <w:pPr>
        <w:ind w:right="18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 (b) 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Affiliate of a Lender or (c) an entity or an Affiliate of an entity that administers or manages a Lender.</w:t>
      </w:r>
    </w:p>
    <w:p>
      <w:pPr>
        <w:spacing w:after="0" w:line="173"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Articles 55 BRRD</w:t>
      </w:r>
      <w:r>
        <w:rPr>
          <w:rFonts w:ascii="Arial" w:cs="Arial" w:eastAsia="Arial" w:hAnsi="Arial"/>
          <w:sz w:val="20"/>
          <w:szCs w:val="20"/>
          <w:color w:val="auto"/>
        </w:rPr>
        <w:t>” means Article 55 of Directive 2014/59/EU establishing a framework for the recovery and resolution of credit institutions and investment firms.</w:t>
      </w:r>
    </w:p>
    <w:p>
      <w:pPr>
        <w:spacing w:after="0" w:line="169" w:lineRule="exact"/>
        <w:rPr>
          <w:sz w:val="20"/>
          <w:szCs w:val="20"/>
          <w:color w:val="auto"/>
        </w:rPr>
      </w:pPr>
    </w:p>
    <w:p>
      <w:pPr>
        <w:ind w:right="3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Asset Sale</w:t>
      </w:r>
      <w:r>
        <w:rPr>
          <w:rFonts w:ascii="Arial" w:cs="Arial" w:eastAsia="Arial" w:hAnsi="Arial"/>
          <w:sz w:val="20"/>
          <w:szCs w:val="20"/>
          <w:color w:val="auto"/>
        </w:rPr>
        <w:t>” means the sale, lease, transfer or other disposition (including by means of Sale and Lease-Back Transactions, and by means of mergers, consolidations, amalgamations and liquidations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60"/>
          </w:cols>
          <w:pgMar w:left="320" w:top="1440" w:right="319" w:bottom="1440" w:gutter="0" w:footer="0" w:header="0"/>
        </w:sectPr>
      </w:pPr>
    </w:p>
    <w:bookmarkStart w:id="133" w:name="page134"/>
    <w:bookmarkEnd w:id="133"/>
    <w:p>
      <w:pPr>
        <w:spacing w:after="0" w:line="182"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corporation, partnership or limited liability company of the interests therein of the Company or any Subsidiary) by the Company or any Subsidiary to any Person of any of the Company’s or such Subsidiary’s respective assets.</w:t>
      </w:r>
    </w:p>
    <w:p>
      <w:pPr>
        <w:spacing w:after="0" w:line="155" w:lineRule="exact"/>
        <w:rPr>
          <w:sz w:val="20"/>
          <w:szCs w:val="20"/>
          <w:color w:val="auto"/>
        </w:rPr>
      </w:pPr>
    </w:p>
    <w:p>
      <w:pPr>
        <w:ind w:right="4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Assignment and Assumption</w:t>
      </w:r>
      <w:r>
        <w:rPr>
          <w:rFonts w:ascii="Arial" w:cs="Arial" w:eastAsia="Arial" w:hAnsi="Arial"/>
          <w:sz w:val="20"/>
          <w:szCs w:val="20"/>
          <w:color w:val="auto"/>
        </w:rPr>
        <w:t xml:space="preserve">” means an assignment and assumption entered into by a Lender and an assignee (with the consent of any party whose consent is required by Section 10.04), and accepted by the Administrative Agent,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57"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Authorized Officer</w:t>
      </w:r>
      <w:r>
        <w:rPr>
          <w:rFonts w:ascii="Arial" w:cs="Arial" w:eastAsia="Arial" w:hAnsi="Arial"/>
          <w:sz w:val="20"/>
          <w:szCs w:val="20"/>
          <w:color w:val="auto"/>
        </w:rPr>
        <w:t>” means any of the Chief Executive Officer, President, Chief Operating Officer, Executive Vice President, Senior Vice President, Vice President, Financial Officer or General Counsel of the applicable Loan Party.</w:t>
      </w:r>
    </w:p>
    <w:p>
      <w:pPr>
        <w:spacing w:after="0" w:line="169" w:lineRule="exact"/>
        <w:rPr>
          <w:sz w:val="20"/>
          <w:szCs w:val="20"/>
          <w:color w:val="auto"/>
        </w:rPr>
      </w:pPr>
    </w:p>
    <w:p>
      <w:pPr>
        <w:ind w:right="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Availability Period</w:t>
      </w:r>
      <w:r>
        <w:rPr>
          <w:rFonts w:ascii="Arial" w:cs="Arial" w:eastAsia="Arial" w:hAnsi="Arial"/>
          <w:sz w:val="20"/>
          <w:szCs w:val="20"/>
          <w:color w:val="auto"/>
        </w:rPr>
        <w:t>” means, with respect to the Revolving Facility, the period from and including the Closing Date to but excluding the earlier of the Revolving Maturity Date and the date of termination of the Revolving Commitments.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Revolving Commitment</w:t>
      </w:r>
      <w:r>
        <w:rPr>
          <w:rFonts w:ascii="Arial" w:cs="Arial" w:eastAsia="Arial" w:hAnsi="Arial"/>
          <w:sz w:val="18"/>
          <w:szCs w:val="18"/>
          <w:color w:val="auto"/>
        </w:rPr>
        <w:t>” means, as to any Revolving Lender at any time, an amount equal to the excess, if any, of (a)</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such Lender’s Revolving Commitment then in effect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such Lender’s Revolving Credit Exposure then outstanding; </w:t>
      </w:r>
      <w:r>
        <w:rPr>
          <w:rFonts w:ascii="Arial" w:cs="Arial" w:eastAsia="Arial" w:hAnsi="Arial"/>
          <w:sz w:val="18"/>
          <w:szCs w:val="18"/>
          <w:i w:val="1"/>
          <w:iCs w:val="1"/>
          <w:color w:val="auto"/>
        </w:rPr>
        <w:t>provided</w:t>
      </w:r>
      <w:r>
        <w:rPr>
          <w:rFonts w:ascii="Arial" w:cs="Arial" w:eastAsia="Arial" w:hAnsi="Arial"/>
          <w:sz w:val="18"/>
          <w:szCs w:val="18"/>
          <w:color w:val="auto"/>
        </w:rPr>
        <w:t>, that in calculating any Lender’s Revolving Credit Exposure for the purpose of determining such Lender’s Available Revolving Commitment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pursuant to Section 2.12(a), the aggregate principal amount of Swingline Loans then outstanding shall be deemed to be zero.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means the exercise of any Write-Down and Conversion Powers.</w:t>
      </w:r>
    </w:p>
    <w:p>
      <w:pPr>
        <w:spacing w:after="0" w:line="175" w:lineRule="exact"/>
        <w:rPr>
          <w:sz w:val="20"/>
          <w:szCs w:val="20"/>
          <w:color w:val="auto"/>
        </w:rPr>
      </w:pPr>
    </w:p>
    <w:p>
      <w:pPr>
        <w:ind w:right="48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Legislation</w:t>
      </w:r>
      <w:r>
        <w:rPr>
          <w:rFonts w:ascii="Arial" w:cs="Arial" w:eastAsia="Arial" w:hAnsi="Arial"/>
          <w:sz w:val="18"/>
          <w:szCs w:val="18"/>
          <w:color w:val="auto"/>
        </w:rPr>
        <w:t>” means (a) with respect to any EEA Member Country which has implemented, or which at any time implements, Article 55 BRRD, the implementing law, regulation, rule or requirement for such EEA Member Country from time to time</w:t>
      </w:r>
    </w:p>
    <w:p>
      <w:pPr>
        <w:ind w:right="520"/>
        <w:spacing w:after="0" w:line="226" w:lineRule="auto"/>
        <w:rPr>
          <w:sz w:val="20"/>
          <w:szCs w:val="20"/>
          <w:color w:val="auto"/>
        </w:rPr>
      </w:pPr>
      <w:r>
        <w:rPr>
          <w:rFonts w:ascii="Arial" w:cs="Arial" w:eastAsia="Arial" w:hAnsi="Arial"/>
          <w:sz w:val="18"/>
          <w:szCs w:val="18"/>
          <w:color w:val="auto"/>
        </w:rPr>
        <w:t>which is described in the EU Bail-In Legislation Schedule from time to time and (b) in relation to the United Kingdom, the UK Bail-In Legislation and (c) in relation to any state other than such an EEA Member Country and the United Kingdom, any analogous law or</w:t>
      </w:r>
    </w:p>
    <w:p>
      <w:pPr>
        <w:spacing w:after="0" w:line="2"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regulation from time to time which requires contractual recognition of any Write-Down and Conversion Powers contained in that law or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Bankruptcy Event</w:t>
      </w:r>
      <w:r>
        <w:rPr>
          <w:rFonts w:ascii="Arial" w:cs="Arial" w:eastAsia="Arial" w:hAnsi="Arial"/>
          <w:sz w:val="16"/>
          <w:szCs w:val="16"/>
          <w:color w:val="auto"/>
        </w:rPr>
        <w:t>” means, with respect to any Person, such Person becomes the subject of a bankruptcy or insolvency proceeding,</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or has had a receiver, conservator, trustee, administrator, administrative receiver, compulsory manager, monitor, custodian, assignee for the benefit of creditors or similar Person charged with the reorganization, winding up, dissolution, restructuring, restructuring plan, adjustments,</w:t>
      </w:r>
    </w:p>
    <w:p>
      <w:pPr>
        <w:spacing w:after="0" w:line="235" w:lineRule="auto"/>
        <w:rPr>
          <w:sz w:val="20"/>
          <w:szCs w:val="20"/>
          <w:color w:val="auto"/>
        </w:rPr>
      </w:pPr>
      <w:r>
        <w:rPr>
          <w:rFonts w:ascii="Arial" w:cs="Arial" w:eastAsia="Arial" w:hAnsi="Arial"/>
          <w:sz w:val="18"/>
          <w:szCs w:val="18"/>
          <w:color w:val="auto"/>
        </w:rPr>
        <w:t>protection, relief, composition or liquidation of its business appointed for it, or, in the good faith determination of the Administrative Agent,</w:t>
      </w:r>
    </w:p>
    <w:p>
      <w:pPr>
        <w:ind w:right="220"/>
        <w:spacing w:after="0" w:line="226" w:lineRule="auto"/>
        <w:rPr>
          <w:sz w:val="20"/>
          <w:szCs w:val="20"/>
          <w:color w:val="auto"/>
        </w:rPr>
      </w:pPr>
      <w:r>
        <w:rPr>
          <w:rFonts w:ascii="Arial" w:cs="Arial" w:eastAsia="Arial" w:hAnsi="Arial"/>
          <w:sz w:val="18"/>
          <w:szCs w:val="18"/>
          <w:color w:val="auto"/>
        </w:rPr>
        <w:t xml:space="preserve">has taken any action in furtherance of, or indicating its consent to, approval of, or acquiescence in, any such proceeding or appointment,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Bankruptcy Event shall not result solely by virtue of any ownership interest, or the acquisition of any ownership interest, in</w:t>
      </w:r>
    </w:p>
    <w:p>
      <w:pPr>
        <w:spacing w:after="0" w:line="236" w:lineRule="auto"/>
        <w:rPr>
          <w:sz w:val="20"/>
          <w:szCs w:val="20"/>
          <w:color w:val="auto"/>
        </w:rPr>
      </w:pPr>
      <w:r>
        <w:rPr>
          <w:rFonts w:ascii="Arial" w:cs="Arial" w:eastAsia="Arial" w:hAnsi="Arial"/>
          <w:sz w:val="18"/>
          <w:szCs w:val="18"/>
          <w:color w:val="auto"/>
        </w:rPr>
        <w:t xml:space="preserve">such Person by a Governmental Authority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such ownership interest does not result in or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provide such Person with immunity from the jurisdiction of courts within the United States or from the enforcement of judgments or writs of attachment on its assets or permit such Person (or such Governmental Authority or instrumentality) to reject, repudiate, disavow or disaffirm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contracts or agreements made by such Person</w:t>
      </w:r>
      <w:r>
        <w:rPr>
          <w:rFonts w:ascii="Arial" w:cs="Arial" w:eastAsia="Arial" w:hAnsi="Arial"/>
          <w:sz w:val="20"/>
          <w:szCs w:val="20"/>
          <w:color w:val="0000FF"/>
        </w:rPr>
        <w:t>.</w:t>
      </w:r>
    </w:p>
    <w:p>
      <w:pPr>
        <w:spacing w:after="0" w:line="173" w:lineRule="exact"/>
        <w:rPr>
          <w:sz w:val="20"/>
          <w:szCs w:val="20"/>
          <w:color w:val="auto"/>
        </w:rPr>
      </w:pPr>
    </w:p>
    <w:p>
      <w:pPr>
        <w:ind w:right="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means 31 C.F.R. § 1010.230.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Governors of the Federal Reserve System of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Borrowers</w:t>
      </w:r>
      <w:r>
        <w:rPr>
          <w:rFonts w:ascii="Arial" w:cs="Arial" w:eastAsia="Arial" w:hAnsi="Arial"/>
          <w:sz w:val="20"/>
          <w:szCs w:val="20"/>
          <w:color w:val="auto"/>
        </w:rPr>
        <w:t>” means collectively, the Revolving Borrowers and the Term Loan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means (a) Loans (or in the case of Term Loans, each portion thereof) of the same Type and Class, made, converted or</w:t>
      </w:r>
    </w:p>
    <w:p>
      <w:pPr>
        <w:spacing w:after="0" w:line="12"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color w:val="auto"/>
        </w:rPr>
        <w:t xml:space="preserve">continued on the same date and, in the case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in the case of Term Loans, each portion thereof) or a Foreign Currency Loan (other than an RFR Loan), as to which a single Interest Period is in effect or (b) a Swingline Loan.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Request</w:t>
      </w:r>
      <w:r>
        <w:rPr>
          <w:rFonts w:ascii="Arial" w:cs="Arial" w:eastAsia="Arial" w:hAnsi="Arial"/>
          <w:sz w:val="20"/>
          <w:szCs w:val="20"/>
          <w:color w:val="auto"/>
        </w:rPr>
        <w:t>” has the meaning assigned to such term in Section 2.03.</w:t>
      </w:r>
    </w:p>
    <w:p>
      <w:pPr>
        <w:spacing w:after="0" w:line="189"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when used in connection with a </w:t>
      </w:r>
      <w:r>
        <w:rPr>
          <w:rFonts w:ascii="Arial" w:cs="Arial" w:eastAsia="Arial" w:hAnsi="Arial"/>
          <w:sz w:val="18"/>
          <w:szCs w:val="18"/>
          <w:color w:val="FF0000"/>
          <w:strike w:val="1"/>
        </w:rPr>
        <w:t>Eurodollar Loan,</w:t>
      </w:r>
      <w:r>
        <w:rPr>
          <w:rFonts w:ascii="Arial" w:cs="Arial" w:eastAsia="Arial" w:hAnsi="Arial"/>
          <w:sz w:val="18"/>
          <w:szCs w:val="18"/>
          <w:u w:val="single" w:color="auto"/>
          <w:color w:val="0000FF"/>
        </w:rPr>
        <w:t>Term SOFR Loan or any</w:t>
      </w:r>
    </w:p>
    <w:p>
      <w:pPr>
        <w:spacing w:after="0" w:line="235" w:lineRule="auto"/>
        <w:rPr>
          <w:sz w:val="20"/>
          <w:szCs w:val="20"/>
          <w:color w:val="auto"/>
        </w:rPr>
      </w:pPr>
      <w:r>
        <w:rPr>
          <w:rFonts w:ascii="Arial" w:cs="Arial" w:eastAsia="Arial" w:hAnsi="Arial"/>
          <w:sz w:val="18"/>
          <w:szCs w:val="18"/>
          <w:u w:val="single" w:color="auto"/>
          <w:color w:val="0000FF"/>
        </w:rPr>
        <w:t>calculation with respect to an ABR Loan based on clause (c) of the definition of “Alternate Base Rate,”</w:t>
      </w:r>
      <w:r>
        <w:rPr>
          <w:rFonts w:ascii="Arial" w:cs="Arial" w:eastAsia="Arial" w:hAnsi="Arial"/>
          <w:sz w:val="18"/>
          <w:szCs w:val="18"/>
          <w:color w:val="0000FF"/>
        </w:rPr>
        <w:t xml:space="preserve"> </w:t>
      </w:r>
      <w:r>
        <w:rPr>
          <w:rFonts w:ascii="Arial" w:cs="Arial" w:eastAsia="Arial" w:hAnsi="Arial"/>
          <w:sz w:val="18"/>
          <w:szCs w:val="18"/>
          <w:color w:val="000000"/>
        </w:rPr>
        <w:t>the term “Business Day” shall also</w:t>
      </w:r>
    </w:p>
    <w:p>
      <w:pPr>
        <w:ind w:right="40"/>
        <w:spacing w:after="0" w:line="226" w:lineRule="auto"/>
        <w:rPr>
          <w:sz w:val="20"/>
          <w:szCs w:val="20"/>
          <w:color w:val="auto"/>
        </w:rPr>
      </w:pPr>
      <w:r>
        <w:rPr>
          <w:rFonts w:ascii="Arial" w:cs="Arial" w:eastAsia="Arial" w:hAnsi="Arial"/>
          <w:sz w:val="18"/>
          <w:szCs w:val="18"/>
          <w:color w:val="auto"/>
        </w:rPr>
        <w:t xml:space="preserve">exclude any day </w:t>
      </w:r>
      <w:r>
        <w:rPr>
          <w:rFonts w:ascii="Arial" w:cs="Arial" w:eastAsia="Arial" w:hAnsi="Arial"/>
          <w:sz w:val="18"/>
          <w:szCs w:val="18"/>
          <w:color w:val="FF0000"/>
          <w:strike w:val="1"/>
        </w:rPr>
        <w:t>on which banks are not open for dealings in Dollar deposits in the London interbank market</w:t>
      </w:r>
      <w:r>
        <w:rPr>
          <w:rFonts w:ascii="Arial" w:cs="Arial" w:eastAsia="Arial" w:hAnsi="Arial"/>
          <w:sz w:val="18"/>
          <w:szCs w:val="18"/>
          <w:u w:val="single" w:color="auto"/>
          <w:color w:val="0000FF"/>
        </w:rPr>
        <w:t>that is not a SOFR Business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Day</w:t>
      </w:r>
      <w:r>
        <w:rPr>
          <w:rFonts w:ascii="Arial" w:cs="Arial" w:eastAsia="Arial" w:hAnsi="Arial"/>
          <w:sz w:val="18"/>
          <w:szCs w:val="18"/>
          <w:color w:val="000000"/>
        </w:rPr>
        <w:t>, (ii) when used in connection with a Foreign Currency Loan or Letter of Credit denominated in a Designated Foreign Currency, the term</w:t>
      </w:r>
    </w:p>
    <w:p>
      <w:pPr>
        <w:spacing w:after="0" w:line="224" w:lineRule="auto"/>
        <w:rPr>
          <w:sz w:val="20"/>
          <w:szCs w:val="20"/>
          <w:color w:val="auto"/>
        </w:rPr>
      </w:pPr>
      <w:r>
        <w:rPr>
          <w:rFonts w:ascii="Arial" w:cs="Arial" w:eastAsia="Arial" w:hAnsi="Arial"/>
          <w:sz w:val="19"/>
          <w:szCs w:val="19"/>
          <w:color w:val="auto"/>
        </w:rPr>
        <w:t>“Business Day” shall also exclude any day on which banks are not open for international business (including the clearing of currency</w:t>
      </w:r>
    </w:p>
    <w:p>
      <w:pPr>
        <w:ind w:right="100"/>
        <w:spacing w:after="0" w:line="226" w:lineRule="auto"/>
        <w:rPr>
          <w:sz w:val="20"/>
          <w:szCs w:val="20"/>
          <w:color w:val="auto"/>
        </w:rPr>
      </w:pPr>
      <w:r>
        <w:rPr>
          <w:rFonts w:ascii="Arial" w:cs="Arial" w:eastAsia="Arial" w:hAnsi="Arial"/>
          <w:sz w:val="18"/>
          <w:szCs w:val="18"/>
          <w:color w:val="auto"/>
        </w:rPr>
        <w:t>transfers in the relevant Designated Foreign Currency) in the principal financial center of the home country of the applicable Designated Foreign Currency, (iii) when used in connection with a EURIBOR Loan or a Letter of Credit denominated in Euro, the term “Business Day”</w:t>
      </w:r>
    </w:p>
    <w:p>
      <w:pPr>
        <w:spacing w:after="0" w:line="236" w:lineRule="auto"/>
        <w:rPr>
          <w:sz w:val="20"/>
          <w:szCs w:val="20"/>
          <w:color w:val="auto"/>
        </w:rPr>
      </w:pPr>
      <w:r>
        <w:rPr>
          <w:rFonts w:ascii="Arial" w:cs="Arial" w:eastAsia="Arial" w:hAnsi="Arial"/>
          <w:sz w:val="18"/>
          <w:szCs w:val="18"/>
          <w:color w:val="auto"/>
        </w:rPr>
        <w:t>shall also exclude any day which is not a TARGET Day with respect to Euros (as determined by the Administrative Agent in good faith) and</w:t>
      </w:r>
    </w:p>
    <w:p>
      <w:pPr>
        <w:spacing w:after="0" w:line="1" w:lineRule="exact"/>
        <w:rPr>
          <w:sz w:val="20"/>
          <w:szCs w:val="20"/>
          <w:color w:val="auto"/>
        </w:rPr>
      </w:pPr>
    </w:p>
    <w:p>
      <w:pPr>
        <w:ind w:firstLine="8"/>
        <w:spacing w:after="0" w:line="220" w:lineRule="auto"/>
        <w:tabs>
          <w:tab w:leader="none" w:pos="33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when used in connection with an RFR Loan or a Letter of Credit denominated in any RFR Currency, the term “Business Day” means any such day that is also an RFR Business Day.</w:t>
      </w:r>
    </w:p>
    <w:p>
      <w:pPr>
        <w:spacing w:after="0" w:line="170" w:lineRule="exact"/>
        <w:rPr>
          <w:sz w:val="20"/>
          <w:szCs w:val="20"/>
          <w:color w:val="auto"/>
        </w:rPr>
      </w:pPr>
    </w:p>
    <w:p>
      <w:pPr>
        <w:ind w:right="80" w:firstLine="648"/>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Lease</w:t>
      </w:r>
      <w:r>
        <w:rPr>
          <w:rFonts w:ascii="Arial" w:cs="Arial" w:eastAsia="Arial" w:hAnsi="Arial"/>
          <w:sz w:val="16"/>
          <w:szCs w:val="16"/>
          <w:color w:val="auto"/>
        </w:rPr>
        <w:t>” as applied to any Person means any lease of any property (whether real, personal or mixed) by that Person as lessee that, in conformity with GAAP, should be accounted for as a capital lease on the balance sheet of that Person, subject to Section 1.04.</w:t>
      </w:r>
    </w:p>
    <w:p>
      <w:pPr>
        <w:spacing w:after="0" w:line="71" w:lineRule="exact"/>
        <w:rPr>
          <w:sz w:val="20"/>
          <w:szCs w:val="20"/>
          <w:color w:val="auto"/>
        </w:rPr>
      </w:pPr>
    </w:p>
    <w:p>
      <w:pPr>
        <w:ind w:right="40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 Obligations</w:t>
      </w:r>
      <w:r>
        <w:rPr>
          <w:rFonts w:ascii="Arial" w:cs="Arial" w:eastAsia="Arial" w:hAnsi="Arial"/>
          <w:sz w:val="18"/>
          <w:szCs w:val="18"/>
          <w:color w:val="auto"/>
        </w:rPr>
        <w:t>” of any Person means the obligations of such Person to pay rent or other amounts under any Capital Lease, and the amount of such obligations shall be the capitalized amount thereof determined in accordance with GAAP.</w:t>
      </w:r>
    </w:p>
    <w:p>
      <w:pPr>
        <w:spacing w:after="0" w:line="116" w:lineRule="exact"/>
        <w:rPr>
          <w:sz w:val="20"/>
          <w:szCs w:val="20"/>
          <w:color w:val="auto"/>
        </w:rPr>
      </w:pPr>
    </w:p>
    <w:p>
      <w:pPr>
        <w:ind w:right="360"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CDOR Rate</w:t>
      </w:r>
      <w:r>
        <w:rPr>
          <w:rFonts w:ascii="Arial" w:cs="Arial" w:eastAsia="Arial" w:hAnsi="Arial"/>
          <w:sz w:val="16"/>
          <w:szCs w:val="16"/>
          <w:color w:val="auto"/>
        </w:rPr>
        <w:t>” means, on any date with respect to a Borrowing denominated in Canadian Dollars, the per annum rate of interest which is the rate determined as being the arithmetic average of the annual yield rates applicable to Canadian Dollar bankers’ acceptances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having identical issue and comparable maturity dates as the applicable Borrowing, displayed and identified as such on the display referred to as the “CDOR Page” (or any display substituted therefor) of Reuters Limited (or any successor thereto or Affiliate thereof) as at</w:t>
      </w:r>
    </w:p>
    <w:p>
      <w:pPr>
        <w:spacing w:after="0" w:line="236" w:lineRule="auto"/>
        <w:rPr>
          <w:sz w:val="20"/>
          <w:szCs w:val="20"/>
          <w:color w:val="auto"/>
        </w:rPr>
      </w:pPr>
      <w:r>
        <w:rPr>
          <w:rFonts w:ascii="Arial" w:cs="Arial" w:eastAsia="Arial" w:hAnsi="Arial"/>
          <w:sz w:val="18"/>
          <w:szCs w:val="18"/>
          <w:color w:val="auto"/>
        </w:rPr>
        <w:t>approximately 10:00 a.m. (Toronto time) on such day, or if such day is not a Business Day, then on the immediately preceding Business Day</w:t>
      </w:r>
    </w:p>
    <w:p>
      <w:pPr>
        <w:spacing w:after="0" w:line="1" w:lineRule="exact"/>
        <w:rPr>
          <w:sz w:val="20"/>
          <w:szCs w:val="20"/>
          <w:color w:val="auto"/>
        </w:rPr>
      </w:pPr>
    </w:p>
    <w:p>
      <w:pPr>
        <w:ind w:right="340"/>
        <w:spacing w:after="0" w:line="220" w:lineRule="auto"/>
        <w:rPr>
          <w:sz w:val="20"/>
          <w:szCs w:val="20"/>
          <w:color w:val="auto"/>
        </w:rPr>
      </w:pPr>
      <w:r>
        <w:rPr>
          <w:rFonts w:ascii="Arial" w:cs="Arial" w:eastAsia="Arial" w:hAnsi="Arial"/>
          <w:sz w:val="20"/>
          <w:szCs w:val="20"/>
          <w:color w:val="auto"/>
        </w:rPr>
        <w:t>(as adjusted by the Administrative Agent in good faith after 10:00 a.m. (Toronto time) to reflect any error in a posted rate or in the posted average annual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CDOR Rate Option</w:t>
      </w:r>
      <w:r>
        <w:rPr>
          <w:rFonts w:ascii="Arial" w:cs="Arial" w:eastAsia="Arial" w:hAnsi="Arial"/>
          <w:sz w:val="19"/>
          <w:szCs w:val="19"/>
          <w:u w:val="single" w:color="auto"/>
          <w:color w:val="0000FF"/>
        </w:rPr>
        <w:t>” means the option of a Borrower to have Loans or Letters of Credit bear interest at the CDOR Rate.</w:t>
      </w:r>
    </w:p>
    <w:p>
      <w:pPr>
        <w:spacing w:after="0" w:line="20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acquisition of ownership or voting control, directly or indirectly, beneficially or of record, on or after the Closing Date, by any person or group (within the meaning of Rule 13d-3 of the SEC under the Securities Exchange Act of 1934, as</w:t>
      </w:r>
    </w:p>
    <w:p>
      <w:pPr>
        <w:ind w:right="480"/>
        <w:spacing w:after="0" w:line="227" w:lineRule="auto"/>
        <w:rPr>
          <w:sz w:val="20"/>
          <w:szCs w:val="20"/>
          <w:color w:val="auto"/>
        </w:rPr>
      </w:pPr>
      <w:r>
        <w:rPr>
          <w:rFonts w:ascii="Arial" w:cs="Arial" w:eastAsia="Arial" w:hAnsi="Arial"/>
          <w:sz w:val="20"/>
          <w:szCs w:val="20"/>
          <w:color w:val="auto"/>
        </w:rPr>
        <w:t>then in effect), of shares representing more than 35% of the aggregate ordinary Voting Power represented by the issued and outstanding capital stock of the Company.</w:t>
      </w:r>
    </w:p>
    <w:p>
      <w:pPr>
        <w:spacing w:after="0" w:line="156"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interpretation or application thereof by any Governmental Authority or</w:t>
      </w:r>
    </w:p>
    <w:p>
      <w:pPr>
        <w:spacing w:after="0" w:line="2" w:lineRule="exact"/>
        <w:rPr>
          <w:sz w:val="20"/>
          <w:szCs w:val="20"/>
          <w:color w:val="auto"/>
        </w:rPr>
      </w:pPr>
    </w:p>
    <w:p>
      <w:pPr>
        <w:ind w:right="80" w:firstLine="8"/>
        <w:spacing w:after="0" w:line="229" w:lineRule="auto"/>
        <w:tabs>
          <w:tab w:leader="none" w:pos="2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compliance by any Lender or the Issuing Bank (or, for purposes of Section 2.15(b), by any lending office of such Lender or by such Lender’s or the Issuing Bank’s holding company, if any) with any request, guideline or directive (whether or not having the force of law) of any Governmental Authority made or issued after the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Dodd-Frank Wall Street Reform and Consumer Protection Act and all requests,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guidelines or directives thereunder or issued in connection therewith and (y) all requests, rules, guidelines or directives promulgated by the</w:t>
      </w:r>
    </w:p>
    <w:p>
      <w:pPr>
        <w:spacing w:after="0" w:line="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6"/>
          <w:szCs w:val="16"/>
          <w:color w:val="auto"/>
        </w:rPr>
        <w:t>Bank for International Settlements, the Basel Committee on Banking Supervision (or any successor or similar authority) or the United States or foreign regulatory authorities, in each case pursuant to Basel III, shall be deemed to be a “Change in Law”, regardless of the date enacted,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adopted or issued.</w:t>
      </w:r>
    </w:p>
    <w:p>
      <w:pPr>
        <w:spacing w:after="0" w:line="173"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w:t>
      </w:r>
      <w:r>
        <w:rPr>
          <w:rFonts w:ascii="Arial" w:cs="Arial" w:eastAsia="Arial" w:hAnsi="Arial"/>
          <w:sz w:val="20"/>
          <w:szCs w:val="20"/>
          <w:color w:val="auto"/>
        </w:rPr>
        <w:t>”, when used in reference to any Loan or Borrowing, refers to whether such Loan, or the Loans comprising such Borrowing, are Revolving Loans, Term Loans or Swingline Loans.</w:t>
      </w:r>
    </w:p>
    <w:p>
      <w:pPr>
        <w:spacing w:after="0" w:line="169" w:lineRule="exact"/>
        <w:rPr>
          <w:sz w:val="20"/>
          <w:szCs w:val="20"/>
          <w:color w:val="auto"/>
        </w:rPr>
      </w:pPr>
    </w:p>
    <w:p>
      <w:pPr>
        <w:ind w:right="7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means the date on which the conditions specified in Section 4.01 are satisfied (or waived in accordance with Section 10.02).</w:t>
      </w:r>
    </w:p>
    <w:p>
      <w:pPr>
        <w:spacing w:after="0" w:line="155" w:lineRule="exact"/>
        <w:rPr>
          <w:sz w:val="20"/>
          <w:szCs w:val="20"/>
          <w:color w:val="auto"/>
        </w:rPr>
      </w:pPr>
    </w:p>
    <w:p>
      <w:pPr>
        <w:ind w:right="3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Revolver Prepayment Amount</w:t>
      </w:r>
      <w:r>
        <w:rPr>
          <w:rFonts w:ascii="Arial" w:cs="Arial" w:eastAsia="Arial" w:hAnsi="Arial"/>
          <w:sz w:val="20"/>
          <w:szCs w:val="20"/>
          <w:color w:val="auto"/>
        </w:rPr>
        <w:t xml:space="preserve">” means an amount equal to the initial aggregate amount of the Lenders’ Revolving Commitments </w:t>
      </w:r>
      <w:r>
        <w:rPr>
          <w:rFonts w:ascii="Arial" w:cs="Arial" w:eastAsia="Arial" w:hAnsi="Arial"/>
          <w:sz w:val="20"/>
          <w:szCs w:val="20"/>
          <w:i w:val="1"/>
          <w:iCs w:val="1"/>
          <w:color w:val="auto"/>
        </w:rPr>
        <w:t>minus</w:t>
      </w:r>
      <w:r>
        <w:rPr>
          <w:rFonts w:ascii="Arial" w:cs="Arial" w:eastAsia="Arial" w:hAnsi="Arial"/>
          <w:sz w:val="20"/>
          <w:szCs w:val="20"/>
          <w:color w:val="auto"/>
        </w:rPr>
        <w:t xml:space="preserve"> $1,000,000,000.</w:t>
      </w:r>
    </w:p>
    <w:p>
      <w:pPr>
        <w:spacing w:after="0" w:line="169" w:lineRule="exact"/>
        <w:rPr>
          <w:sz w:val="20"/>
          <w:szCs w:val="20"/>
          <w:color w:val="auto"/>
        </w:rPr>
      </w:pPr>
    </w:p>
    <w:p>
      <w:pPr>
        <w:ind w:right="5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Fee Letter</w:t>
      </w:r>
      <w:r>
        <w:rPr>
          <w:rFonts w:ascii="Arial" w:cs="Arial" w:eastAsia="Arial" w:hAnsi="Arial"/>
          <w:sz w:val="20"/>
          <w:szCs w:val="20"/>
          <w:color w:val="auto"/>
        </w:rPr>
        <w:t>” means the Closing Fee Letter, dated as of the Closing Date, among the Borrowers and the Administrative Agent, for the benefit of the Lenders.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CME</w:t>
      </w:r>
      <w:r>
        <w:rPr>
          <w:rFonts w:ascii="Arial" w:cs="Arial" w:eastAsia="Arial" w:hAnsi="Arial"/>
          <w:sz w:val="20"/>
          <w:szCs w:val="20"/>
          <w:u w:val="single" w:color="auto"/>
          <w:color w:val="0000FF"/>
        </w:rPr>
        <w:t>” means CME Group Benchmark Administration Ltd.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175" w:lineRule="exact"/>
        <w:rPr>
          <w:sz w:val="20"/>
          <w:szCs w:val="20"/>
          <w:color w:val="auto"/>
        </w:rPr>
      </w:pPr>
    </w:p>
    <w:p>
      <w:pPr>
        <w:ind w:right="3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means, with respect to each Lender, its Revolving Commitment and/or its Term Loan Commitment, as the context may require.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 Fee Rate</w:t>
      </w:r>
      <w:r>
        <w:rPr>
          <w:rFonts w:ascii="Arial" w:cs="Arial" w:eastAsia="Arial" w:hAnsi="Arial"/>
          <w:sz w:val="20"/>
          <w:szCs w:val="20"/>
          <w:color w:val="auto"/>
        </w:rPr>
        <w:t>” means, as of any date of determination:</w:t>
      </w:r>
    </w:p>
    <w:p>
      <w:pPr>
        <w:spacing w:after="0" w:line="175" w:lineRule="exact"/>
        <w:rPr>
          <w:sz w:val="20"/>
          <w:szCs w:val="20"/>
          <w:color w:val="auto"/>
        </w:rPr>
      </w:pPr>
    </w:p>
    <w:p>
      <w:pPr>
        <w:ind w:right="40" w:firstLine="656"/>
        <w:spacing w:after="0" w:line="236" w:lineRule="auto"/>
        <w:tabs>
          <w:tab w:leader="none" w:pos="103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on the Closing Date and thereafter until changed in accordance with the provisions set forth in this definition, the rate per annum applicable to Level II in the table set forth below; and</w:t>
      </w:r>
    </w:p>
    <w:p>
      <w:pPr>
        <w:spacing w:after="0" w:line="155" w:lineRule="exact"/>
        <w:rPr>
          <w:rFonts w:ascii="Arial" w:cs="Arial" w:eastAsia="Arial" w:hAnsi="Arial"/>
          <w:sz w:val="20"/>
          <w:szCs w:val="20"/>
          <w:color w:val="auto"/>
        </w:rPr>
      </w:pPr>
    </w:p>
    <w:p>
      <w:pPr>
        <w:ind w:right="60" w:firstLine="656"/>
        <w:spacing w:after="0" w:line="257" w:lineRule="auto"/>
        <w:tabs>
          <w:tab w:leader="none" w:pos="108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commencing on the date on which a Compliance Certificate is delivered with respect to the fiscal quarter ending April 30, 2020 and continuing with each fiscal quarter thereafter, a rate per annum determined in accordance with the table set forth below:</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Ratio Level</w:t>
            </w:r>
          </w:p>
        </w:tc>
        <w:tc>
          <w:tcPr>
            <w:tcW w:w="3740" w:type="dxa"/>
            <w:vAlign w:val="bottom"/>
            <w:tcBorders>
              <w:top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20"/>
                <w:szCs w:val="20"/>
                <w:b w:val="1"/>
                <w:bCs w:val="1"/>
                <w:color w:val="auto"/>
              </w:rPr>
              <w:t>Total Leverage Ratio</w:t>
            </w:r>
          </w:p>
        </w:tc>
        <w:tc>
          <w:tcPr>
            <w:tcW w:w="378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20"/>
                <w:szCs w:val="20"/>
                <w:b w:val="1"/>
                <w:bCs w:val="1"/>
                <w:color w:val="auto"/>
              </w:rPr>
              <w:t>Commitment Fee Rate</w:t>
            </w:r>
          </w:p>
        </w:tc>
        <w:tc>
          <w:tcPr>
            <w:tcW w:w="0" w:type="dxa"/>
            <w:vAlign w:val="bottom"/>
          </w:tcPr>
          <w:p>
            <w:pPr>
              <w:spacing w:after="0"/>
              <w:rPr>
                <w:sz w:val="1"/>
                <w:szCs w:val="1"/>
                <w:color w:val="auto"/>
              </w:rPr>
            </w:pPr>
          </w:p>
        </w:tc>
      </w:tr>
      <w:tr>
        <w:trPr>
          <w:trHeight w:val="362"/>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Level I</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Less than 1.50 to 1.00</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0.10%</w:t>
            </w: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74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line="214" w:lineRule="exact"/>
              <w:rPr>
                <w:sz w:val="20"/>
                <w:szCs w:val="20"/>
                <w:color w:val="auto"/>
              </w:rPr>
            </w:pPr>
            <w:r>
              <w:rPr>
                <w:rFonts w:ascii="Arial" w:cs="Arial" w:eastAsia="Arial" w:hAnsi="Arial"/>
                <w:sz w:val="20"/>
                <w:szCs w:val="20"/>
                <w:color w:val="auto"/>
                <w:w w:val="90"/>
              </w:rPr>
              <w:t>Greater than or equal to 1.50 to 1.00, but less</w:t>
            </w:r>
          </w:p>
        </w:tc>
        <w:tc>
          <w:tcPr>
            <w:tcW w:w="3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0.125%</w:t>
            </w:r>
          </w:p>
        </w:tc>
        <w:tc>
          <w:tcPr>
            <w:tcW w:w="0" w:type="dxa"/>
            <w:vAlign w:val="bottom"/>
          </w:tcPr>
          <w:p>
            <w:pPr>
              <w:spacing w:after="0"/>
              <w:rPr>
                <w:sz w:val="1"/>
                <w:szCs w:val="1"/>
                <w:color w:val="auto"/>
              </w:rPr>
            </w:pPr>
          </w:p>
        </w:tc>
      </w:tr>
      <w:tr>
        <w:trPr>
          <w:trHeight w:val="15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Level II</w:t>
            </w: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than 2.00 to 1.00</w:t>
            </w:r>
          </w:p>
        </w:tc>
        <w:tc>
          <w:tcPr>
            <w:tcW w:w="3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74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74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line="214" w:lineRule="exact"/>
              <w:rPr>
                <w:sz w:val="20"/>
                <w:szCs w:val="20"/>
                <w:color w:val="auto"/>
              </w:rPr>
            </w:pPr>
            <w:r>
              <w:rPr>
                <w:rFonts w:ascii="Arial" w:cs="Arial" w:eastAsia="Arial" w:hAnsi="Arial"/>
                <w:sz w:val="20"/>
                <w:szCs w:val="20"/>
                <w:color w:val="auto"/>
                <w:w w:val="90"/>
              </w:rPr>
              <w:t>Greater than or equal to 2.00 to 1.00, but less</w:t>
            </w:r>
          </w:p>
        </w:tc>
        <w:tc>
          <w:tcPr>
            <w:tcW w:w="3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0.15%</w:t>
            </w:r>
          </w:p>
        </w:tc>
        <w:tc>
          <w:tcPr>
            <w:tcW w:w="0" w:type="dxa"/>
            <w:vAlign w:val="bottom"/>
          </w:tcPr>
          <w:p>
            <w:pPr>
              <w:spacing w:after="0"/>
              <w:rPr>
                <w:sz w:val="1"/>
                <w:szCs w:val="1"/>
                <w:color w:val="auto"/>
              </w:rPr>
            </w:pPr>
          </w:p>
        </w:tc>
      </w:tr>
      <w:tr>
        <w:trPr>
          <w:trHeight w:val="153"/>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Level III</w:t>
            </w: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than 2.50 to 1.00</w:t>
            </w:r>
          </w:p>
        </w:tc>
        <w:tc>
          <w:tcPr>
            <w:tcW w:w="3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74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74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60"/>
              <w:spacing w:after="0" w:line="214" w:lineRule="exact"/>
              <w:rPr>
                <w:sz w:val="20"/>
                <w:szCs w:val="20"/>
                <w:color w:val="auto"/>
              </w:rPr>
            </w:pPr>
            <w:r>
              <w:rPr>
                <w:rFonts w:ascii="Arial" w:cs="Arial" w:eastAsia="Arial" w:hAnsi="Arial"/>
                <w:sz w:val="20"/>
                <w:szCs w:val="20"/>
                <w:color w:val="auto"/>
                <w:w w:val="90"/>
              </w:rPr>
              <w:t>Greater than or equal to 2.50 to 1.00, but less</w:t>
            </w:r>
          </w:p>
        </w:tc>
        <w:tc>
          <w:tcPr>
            <w:tcW w:w="3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0.175%</w:t>
            </w:r>
          </w:p>
        </w:tc>
        <w:tc>
          <w:tcPr>
            <w:tcW w:w="0" w:type="dxa"/>
            <w:vAlign w:val="bottom"/>
          </w:tcPr>
          <w:p>
            <w:pPr>
              <w:spacing w:after="0"/>
              <w:rPr>
                <w:sz w:val="1"/>
                <w:szCs w:val="1"/>
                <w:color w:val="auto"/>
              </w:rPr>
            </w:pPr>
          </w:p>
        </w:tc>
      </w:tr>
      <w:tr>
        <w:trPr>
          <w:trHeight w:val="152"/>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Level IV</w:t>
            </w: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than 3.00 to 1.00</w:t>
            </w:r>
          </w:p>
        </w:tc>
        <w:tc>
          <w:tcPr>
            <w:tcW w:w="3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740" w:type="dxa"/>
            <w:vAlign w:val="bottom"/>
            <w:tcBorders>
              <w:bottom w:val="single" w:sz="8" w:color="auto"/>
              <w:right w:val="single" w:sz="8" w:color="auto"/>
            </w:tcBorders>
            <w:vMerge w:val="continue"/>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7"/>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Level V</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Greater than or equal to 3.00 to 1.00</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0.20%</w:t>
            </w: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120" w:firstLine="648"/>
        <w:spacing w:after="0" w:line="227" w:lineRule="auto"/>
        <w:rPr>
          <w:sz w:val="20"/>
          <w:szCs w:val="20"/>
          <w:color w:val="auto"/>
        </w:rPr>
      </w:pPr>
      <w:r>
        <w:rPr>
          <w:rFonts w:ascii="Arial" w:cs="Arial" w:eastAsia="Arial" w:hAnsi="Arial"/>
          <w:sz w:val="20"/>
          <w:szCs w:val="20"/>
          <w:color w:val="auto"/>
        </w:rPr>
        <w:t xml:space="preserve">Any increase or decrease in the Commitment Fee Rate resulting from a change in the Total Leverage Ratio shall become effective as of the first Business Day immediately following the date a Compliance Certificate is delivered in accordance with Section 5.01(c);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60"/>
          </w:cols>
          <w:pgMar w:left="320" w:top="1440" w:right="319" w:bottom="1440" w:gutter="0" w:footer="0" w:header="0"/>
        </w:sectPr>
      </w:pPr>
    </w:p>
    <w:bookmarkStart w:id="136" w:name="page137"/>
    <w:bookmarkEnd w:id="136"/>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Compliance Certificate is not delivered when due in accordance with Section 5.01(c), then the Commitment Fee Rate shall be the percentage</w:t>
      </w:r>
    </w:p>
    <w:p>
      <w:pPr>
        <w:spacing w:after="0" w:line="1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that would apply to Level V above and it shall apply as of the first Business Day after the date on which such Compliance Certificate was required to have been delivered until the date on which such Compliance Certificate is delivered (on which date the Commitment Fee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shall be determined based upon the calculations in such Compliance Certificate).</w:t>
      </w:r>
    </w:p>
    <w:p>
      <w:pPr>
        <w:spacing w:after="0" w:line="173" w:lineRule="exact"/>
        <w:rPr>
          <w:sz w:val="20"/>
          <w:szCs w:val="20"/>
          <w:color w:val="auto"/>
        </w:rPr>
      </w:pPr>
    </w:p>
    <w:p>
      <w:pPr>
        <w:ind w:right="280" w:firstLine="648"/>
        <w:spacing w:after="0" w:line="265" w:lineRule="auto"/>
        <w:rPr>
          <w:sz w:val="20"/>
          <w:szCs w:val="20"/>
          <w:color w:val="auto"/>
        </w:rPr>
      </w:pPr>
      <w:r>
        <w:rPr>
          <w:rFonts w:ascii="Arial" w:cs="Arial" w:eastAsia="Arial" w:hAnsi="Arial"/>
          <w:sz w:val="16"/>
          <w:szCs w:val="16"/>
          <w:color w:val="auto"/>
        </w:rPr>
        <w:t>If at any time the financial statements upon which the Commitment Fee Rate was determined were incorrect (whether based on a restatement, fraud or otherwise) and as a result thereof, the Total Leverage Ratio was determined incorrectly for any period, the Revolving</w:t>
      </w:r>
    </w:p>
    <w:p>
      <w:pPr>
        <w:spacing w:after="0" w:line="236" w:lineRule="auto"/>
        <w:rPr>
          <w:sz w:val="20"/>
          <w:szCs w:val="20"/>
          <w:color w:val="auto"/>
        </w:rPr>
      </w:pPr>
      <w:r>
        <w:rPr>
          <w:rFonts w:ascii="Arial" w:cs="Arial" w:eastAsia="Arial" w:hAnsi="Arial"/>
          <w:sz w:val="18"/>
          <w:szCs w:val="18"/>
          <w:color w:val="auto"/>
        </w:rPr>
        <w:t>Borrower shall be required to retroactively pay any additional amount that the Revolving Borrower would have been required to pay if such</w:t>
      </w:r>
    </w:p>
    <w:p>
      <w:pPr>
        <w:ind w:right="300"/>
        <w:spacing w:after="0" w:line="255" w:lineRule="auto"/>
        <w:rPr>
          <w:sz w:val="20"/>
          <w:szCs w:val="20"/>
          <w:color w:val="auto"/>
        </w:rPr>
      </w:pPr>
      <w:r>
        <w:rPr>
          <w:rFonts w:ascii="Arial" w:cs="Arial" w:eastAsia="Arial" w:hAnsi="Arial"/>
          <w:sz w:val="16"/>
          <w:szCs w:val="16"/>
          <w:color w:val="auto"/>
        </w:rPr>
        <w:t>financial statements had been accurate at the time they were delivered (or, to the extent that the Revolving Borrower paid any amounts in excess of the amounts that the Revolving Borrower should have paid, then the Lenders shall credit such over-payment to the Indebtedness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owing by the Revolving Borrower to each such Lender).</w:t>
      </w:r>
    </w:p>
    <w:p>
      <w:pPr>
        <w:spacing w:after="0" w:line="173" w:lineRule="exact"/>
        <w:rPr>
          <w:sz w:val="20"/>
          <w:szCs w:val="20"/>
          <w:color w:val="auto"/>
        </w:rPr>
      </w:pPr>
    </w:p>
    <w:p>
      <w:pPr>
        <w:ind w:right="16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Commodities Hedge Agreement</w:t>
      </w:r>
      <w:r>
        <w:rPr>
          <w:rFonts w:ascii="Arial" w:cs="Arial" w:eastAsia="Arial" w:hAnsi="Arial"/>
          <w:sz w:val="16"/>
          <w:szCs w:val="16"/>
          <w:color w:val="auto"/>
        </w:rPr>
        <w:t>” means a commodities contract purchased by the Company or any of its Subsidiaries in the ordinary course of business, and not for speculative purposes, with respect to raw materials necessary to the manufacturing or production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goods in connection with the business of the Company and its Subsidiaries.</w:t>
      </w:r>
    </w:p>
    <w:p>
      <w:pPr>
        <w:spacing w:after="0" w:line="173" w:lineRule="exact"/>
        <w:rPr>
          <w:sz w:val="20"/>
          <w:szCs w:val="20"/>
          <w:color w:val="auto"/>
        </w:rPr>
      </w:pPr>
    </w:p>
    <w:p>
      <w:pPr>
        <w:ind w:right="3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Communications</w:t>
      </w:r>
      <w:r>
        <w:rPr>
          <w:rFonts w:ascii="Arial" w:cs="Arial" w:eastAsia="Arial" w:hAnsi="Arial"/>
          <w:sz w:val="20"/>
          <w:szCs w:val="20"/>
          <w:color w:val="auto"/>
        </w:rPr>
        <w:t>” has the meaning assigned to such term in Section 10.01(d).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the meaning assigned to such term in the preamble.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Guaranteed Obligations</w:t>
      </w:r>
      <w:r>
        <w:rPr>
          <w:rFonts w:ascii="Arial" w:cs="Arial" w:eastAsia="Arial" w:hAnsi="Arial"/>
          <w:sz w:val="20"/>
          <w:szCs w:val="20"/>
          <w:color w:val="auto"/>
        </w:rPr>
        <w:t>” has the meaning assigned to such term in Section 9.01.</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means those Persons that are competitors of the Company and its Subsidiaries, which Persons are identified by name in writing by the Company to the Administrative Agent prior to the Closing Date, as such list may be supplemented after the Closing Date by</w:t>
      </w:r>
    </w:p>
    <w:p>
      <w:pPr>
        <w:spacing w:after="0" w:line="235" w:lineRule="auto"/>
        <w:rPr>
          <w:sz w:val="20"/>
          <w:szCs w:val="20"/>
          <w:color w:val="auto"/>
        </w:rPr>
      </w:pPr>
      <w:r>
        <w:rPr>
          <w:rFonts w:ascii="Arial" w:cs="Arial" w:eastAsia="Arial" w:hAnsi="Arial"/>
          <w:sz w:val="18"/>
          <w:szCs w:val="18"/>
          <w:color w:val="auto"/>
        </w:rPr>
        <w:t>the Company from time to time as reasonably agreed by the Administrative Agent, it being agreed that any successor-in-interest to any</w:t>
      </w:r>
    </w:p>
    <w:p>
      <w:pPr>
        <w:ind w:right="20"/>
        <w:spacing w:after="0" w:line="226" w:lineRule="auto"/>
        <w:rPr>
          <w:sz w:val="20"/>
          <w:szCs w:val="20"/>
          <w:color w:val="auto"/>
        </w:rPr>
      </w:pPr>
      <w:r>
        <w:rPr>
          <w:rFonts w:ascii="Arial" w:cs="Arial" w:eastAsia="Arial" w:hAnsi="Arial"/>
          <w:sz w:val="18"/>
          <w:szCs w:val="18"/>
          <w:color w:val="auto"/>
        </w:rPr>
        <w:t>Competitor shall be deemed to be reasonably agreed to by the Administrative Agent. Any such supplement to the list of Competitors after the Closing Date will become effective two Business Days after such supplement is delivered to the Administrative Agent. The list of such</w:t>
      </w:r>
    </w:p>
    <w:p>
      <w:pPr>
        <w:spacing w:after="0" w:line="2" w:lineRule="exact"/>
        <w:rPr>
          <w:sz w:val="20"/>
          <w:szCs w:val="20"/>
          <w:color w:val="auto"/>
        </w:rPr>
      </w:pPr>
    </w:p>
    <w:p>
      <w:pPr>
        <w:ind w:right="380"/>
        <w:spacing w:after="0" w:line="227" w:lineRule="auto"/>
        <w:rPr>
          <w:sz w:val="20"/>
          <w:szCs w:val="20"/>
          <w:color w:val="auto"/>
        </w:rPr>
      </w:pPr>
      <w:r>
        <w:rPr>
          <w:rFonts w:ascii="Arial" w:cs="Arial" w:eastAsia="Arial" w:hAnsi="Arial"/>
          <w:sz w:val="20"/>
          <w:szCs w:val="20"/>
          <w:color w:val="auto"/>
        </w:rPr>
        <w:t>Persons submitted to the Administrative Agent shall be made available to the Lenders upon request. In no event shall a supplement apply retroactively to disqualify any Lender as of the date of such supplement.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has the meaning assigned to such term in Section 5.01(c).</w:t>
      </w:r>
    </w:p>
    <w:p>
      <w:pPr>
        <w:spacing w:after="0" w:line="189"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right="260" w:firstLine="648"/>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Depreciation and Amortization Expense</w:t>
      </w:r>
      <w:r>
        <w:rPr>
          <w:rFonts w:ascii="Arial" w:cs="Arial" w:eastAsia="Arial" w:hAnsi="Arial"/>
          <w:sz w:val="16"/>
          <w:szCs w:val="16"/>
          <w:color w:val="auto"/>
        </w:rPr>
        <w:t>” means, for any period, all depreciation and amortization expenses of the Company and its Subsidiaries, all as determined for the Company and its Subsidiaries on a consolidated basis in accordance with GAAP.</w:t>
      </w:r>
    </w:p>
    <w:p>
      <w:pPr>
        <w:spacing w:after="0" w:line="8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means, for any period, Consolidated Net Income for such period plus (a) without duplication, the aggregate amounts deducted in determining such Consolidated Net Income in respect of (i) Consolidated Interest Expense, (ii) Consolidated Income</w:t>
      </w:r>
    </w:p>
    <w:p>
      <w:pPr>
        <w:ind w:right="180"/>
        <w:spacing w:after="0" w:line="255" w:lineRule="auto"/>
        <w:rPr>
          <w:sz w:val="20"/>
          <w:szCs w:val="20"/>
          <w:color w:val="auto"/>
        </w:rPr>
      </w:pPr>
      <w:r>
        <w:rPr>
          <w:rFonts w:ascii="Arial" w:cs="Arial" w:eastAsia="Arial" w:hAnsi="Arial"/>
          <w:sz w:val="16"/>
          <w:szCs w:val="16"/>
          <w:color w:val="auto"/>
        </w:rPr>
        <w:t>Tax Expense, (iii) Consolidated Depreciation and Amortization Expense, (iv) any extraordinary, unusual or non-recurring expenses, losses and charges, including (A) impairment charges, (B) any loss from dispositions or the sales of assets outside the ordinary course of business,</w:t>
      </w:r>
    </w:p>
    <w:p>
      <w:pPr>
        <w:spacing w:after="0" w:line="1" w:lineRule="exact"/>
        <w:rPr>
          <w:sz w:val="20"/>
          <w:szCs w:val="20"/>
          <w:color w:val="auto"/>
        </w:rPr>
      </w:pPr>
    </w:p>
    <w:p>
      <w:pPr>
        <w:ind w:right="140" w:firstLine="8"/>
        <w:spacing w:after="0" w:line="216" w:lineRule="auto"/>
        <w:tabs>
          <w:tab w:leader="none" w:pos="31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costs and charges associated with any Acquisitions and any related restructurings and investments, including charges for the sale of inventories revalued at the date of acquisition and in-process research and development acquired, and the amortization of acquisition related intangible assets, (D) facility start-up costs and (E) amortization or write-off of debt discount and debt issuance costs and commissions, discounts, debt refinancing costs and commissions and other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charges associated with Indebtedness, (v) restricted stock expense and stock option expense (but only to the extent deducted from the</w:t>
      </w:r>
    </w:p>
    <w:p>
      <w:pPr>
        <w:spacing w:after="0" w:line="12"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determination of Consolidated Net Income for such period), (vi) fees, costs and expenses incurred and paid by the Company or any of the Company’s Subsidiaries in connection with any litigation, judgment or settlement for any actual or threatened claim, action, suit or</w:t>
      </w:r>
    </w:p>
    <w:p>
      <w:pPr>
        <w:spacing w:after="0" w:line="236" w:lineRule="auto"/>
        <w:rPr>
          <w:sz w:val="20"/>
          <w:szCs w:val="20"/>
          <w:color w:val="auto"/>
        </w:rPr>
      </w:pPr>
      <w:r>
        <w:rPr>
          <w:rFonts w:ascii="Arial" w:cs="Arial" w:eastAsia="Arial" w:hAnsi="Arial"/>
          <w:sz w:val="18"/>
          <w:szCs w:val="18"/>
          <w:color w:val="auto"/>
        </w:rPr>
        <w:t>proceeding, including any out-of-court agreement or settlement, (vii) restructuring charges and reserves (whether or not classified as such</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 xml:space="preserve">under GAAP), including any fees, expenses or losses related to product line exits or the reconstruction, recommissioning or reconfiguration of fixed assets for alternate uses or the disposal, abandonment, transfer, closing or discontinuing of operations or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all such charges made in cash does not exceed the greater of $80,000,000 or 1.25% of Consolidated Total Assets during</w:t>
      </w:r>
    </w:p>
    <w:p>
      <w:pPr>
        <w:spacing w:after="0" w:line="1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any twelve-month period, (viii) any non-cash impairment charge or asset write-off or write-down related to intangible assets, goodwill, long-lived assets, and investments in debt and equity securities pursuant to GAAP, (ix) all non-cash losses from investments recorded using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cost or equity method, (x) non-cash stock-based awards compensation expense, (xi) non-cash mark to market and other non-cash charges or</w:t>
      </w:r>
    </w:p>
    <w:p>
      <w:pPr>
        <w:spacing w:after="0" w:line="1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non-cash expenses related to Hedge Agreement obligations, (xii) other non-cash charges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non-cash charges referred to in this clause (xii) represent an accrual or reserve for potential cash items in any future period, the cash payment in respect thereof in such</w:t>
      </w:r>
    </w:p>
    <w:p>
      <w:pPr>
        <w:spacing w:after="0" w:line="236" w:lineRule="auto"/>
        <w:rPr>
          <w:sz w:val="20"/>
          <w:szCs w:val="20"/>
          <w:color w:val="auto"/>
        </w:rPr>
      </w:pPr>
      <w:r>
        <w:rPr>
          <w:rFonts w:ascii="Arial" w:cs="Arial" w:eastAsia="Arial" w:hAnsi="Arial"/>
          <w:sz w:val="18"/>
          <w:szCs w:val="18"/>
          <w:color w:val="auto"/>
        </w:rPr>
        <w:t>future period shall be subtracted from Consolidated EBITDA to such extent), (xiii) (A) any charges, costs, expenses, accruals or reserves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incurred pursuant to any management equity plan, profits interest or stock option plan, any equity-based compensation or equity-based incentive plan, or any other management or employee benefit plan, agreement or pension plan and (B) any charges, costs, expenses, accruals</w:t>
      </w:r>
    </w:p>
    <w:p>
      <w:pPr>
        <w:spacing w:after="0" w:line="235" w:lineRule="auto"/>
        <w:rPr>
          <w:sz w:val="20"/>
          <w:szCs w:val="20"/>
          <w:color w:val="auto"/>
        </w:rPr>
      </w:pPr>
      <w:r>
        <w:rPr>
          <w:rFonts w:ascii="Arial" w:cs="Arial" w:eastAsia="Arial" w:hAnsi="Arial"/>
          <w:sz w:val="18"/>
          <w:szCs w:val="18"/>
          <w:color w:val="auto"/>
        </w:rPr>
        <w:t>or reserves in connection with the rollover, acceleration or payout of Equity Interests of the Company held by management of the Company</w:t>
      </w:r>
    </w:p>
    <w:p>
      <w:pPr>
        <w:ind w:right="40"/>
        <w:spacing w:after="0" w:line="255" w:lineRule="auto"/>
        <w:rPr>
          <w:sz w:val="20"/>
          <w:szCs w:val="20"/>
          <w:color w:val="auto"/>
        </w:rPr>
      </w:pPr>
      <w:r>
        <w:rPr>
          <w:rFonts w:ascii="Arial" w:cs="Arial" w:eastAsia="Arial" w:hAnsi="Arial"/>
          <w:sz w:val="16"/>
          <w:szCs w:val="16"/>
          <w:color w:val="auto"/>
        </w:rPr>
        <w:t>or any of its Subsidiaries, and (xiv) fees, costs, premiums and expenses incurred and paid by the Company or any of the Company’s Subsidiaries during any period in connection with any acquisition, investment, asset disposition, issuance, prepayment, or redemption of any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Indebtedness permitted to be incurred pursuant to Section 6.04, issuance of equity securities, refinancing transaction or amendment or modification of any debt instrument (in each case, whether or not consummated) minus (b) any extraordinary gains, all as determined for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and its Subsidiaries on a consolidated basis in accordance with GAAP.</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Income Tax Expense</w:t>
      </w:r>
      <w:r>
        <w:rPr>
          <w:rFonts w:ascii="Arial" w:cs="Arial" w:eastAsia="Arial" w:hAnsi="Arial"/>
          <w:sz w:val="16"/>
          <w:szCs w:val="16"/>
          <w:color w:val="auto"/>
        </w:rPr>
        <w:t>” means, for any period, all provisions for taxes based on Consolidated Net Income (including, without limitation, any additions to such taxes, and any penalties and interest with respect thereto), all as determined for the Company and its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Subsidiaries on a consolidated basis in accordance with GAAP.</w:t>
      </w:r>
    </w:p>
    <w:p>
      <w:pPr>
        <w:spacing w:after="0" w:line="173" w:lineRule="exact"/>
        <w:rPr>
          <w:sz w:val="20"/>
          <w:szCs w:val="20"/>
          <w:color w:val="auto"/>
        </w:rPr>
      </w:pPr>
    </w:p>
    <w:p>
      <w:pPr>
        <w:ind w:right="10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Interest Expense</w:t>
      </w:r>
      <w:r>
        <w:rPr>
          <w:rFonts w:ascii="Arial" w:cs="Arial" w:eastAsia="Arial" w:hAnsi="Arial"/>
          <w:sz w:val="16"/>
          <w:szCs w:val="16"/>
          <w:color w:val="auto"/>
        </w:rPr>
        <w:t>” means, for any period, total interest expense (including, without limitation, that which is capitalized and that which is attributable to Capital Leases or Synthetic Leases) of the Company and its Subsidiaries on a consolidated basis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all outstanding Indebtedness of the Company and its Subsidiaries.</w:t>
      </w:r>
    </w:p>
    <w:p>
      <w:pPr>
        <w:spacing w:after="0" w:line="173" w:lineRule="exact"/>
        <w:rPr>
          <w:sz w:val="20"/>
          <w:szCs w:val="20"/>
          <w:color w:val="auto"/>
        </w:rPr>
      </w:pPr>
    </w:p>
    <w:p>
      <w:pPr>
        <w:ind w:right="20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Net Income</w:t>
      </w:r>
      <w:r>
        <w:rPr>
          <w:rFonts w:ascii="Arial" w:cs="Arial" w:eastAsia="Arial" w:hAnsi="Arial"/>
          <w:sz w:val="16"/>
          <w:szCs w:val="16"/>
          <w:color w:val="auto"/>
        </w:rPr>
        <w:t>” means, for any period, the net income (or loss) of the Company and its Subsidiaries on a consolidated basis for such period taken as a single accounting period determined in conformity with GAAP, but excluding the cumulative effect of 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change in accounting principles.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Net Indebtedness</w:t>
      </w:r>
      <w:r>
        <w:rPr>
          <w:rFonts w:ascii="Arial" w:cs="Arial" w:eastAsia="Arial" w:hAnsi="Arial"/>
          <w:sz w:val="16"/>
          <w:szCs w:val="16"/>
          <w:color w:val="auto"/>
        </w:rPr>
        <w:t>” means, on any date, the difference of (a) Consolidated Total Indebtedness as of such date, minus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 the aggregate amount of all Unrestricted Cash.</w:t>
      </w:r>
    </w:p>
    <w:p>
      <w:pPr>
        <w:spacing w:after="0" w:line="173" w:lineRule="exact"/>
        <w:rPr>
          <w:sz w:val="20"/>
          <w:szCs w:val="20"/>
          <w:color w:val="auto"/>
        </w:rPr>
      </w:pPr>
    </w:p>
    <w:p>
      <w:pPr>
        <w:ind w:right="2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Assets</w:t>
      </w:r>
      <w:r>
        <w:rPr>
          <w:rFonts w:ascii="Arial" w:cs="Arial" w:eastAsia="Arial" w:hAnsi="Arial"/>
          <w:sz w:val="20"/>
          <w:szCs w:val="20"/>
          <w:color w:val="auto"/>
        </w:rPr>
        <w:t>” means, on any date, all amounts that, in conformity with GAAP, would be included under the caption “total assets” (or any like caption) on a consolidated balance sheet of the Company at such time.</w:t>
      </w:r>
    </w:p>
    <w:p>
      <w:pPr>
        <w:spacing w:after="0" w:line="155" w:lineRule="exact"/>
        <w:rPr>
          <w:sz w:val="20"/>
          <w:szCs w:val="20"/>
          <w:color w:val="auto"/>
        </w:rPr>
      </w:pPr>
    </w:p>
    <w:p>
      <w:pPr>
        <w:ind w:right="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Indebtedness</w:t>
      </w:r>
      <w:r>
        <w:rPr>
          <w:rFonts w:ascii="Arial" w:cs="Arial" w:eastAsia="Arial" w:hAnsi="Arial"/>
          <w:sz w:val="20"/>
          <w:szCs w:val="20"/>
          <w:color w:val="auto"/>
        </w:rPr>
        <w:t>” means the sum (without duplication) of all Indebtedness of the Company and of its Subsidiaries, all as determined on a consolidated basis.</w:t>
      </w:r>
    </w:p>
    <w:p>
      <w:pPr>
        <w:spacing w:after="0" w:line="169"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Total Tangible Assets</w:t>
      </w:r>
      <w:r>
        <w:rPr>
          <w:rFonts w:ascii="Arial" w:cs="Arial" w:eastAsia="Arial" w:hAnsi="Arial"/>
          <w:sz w:val="18"/>
          <w:szCs w:val="18"/>
          <w:color w:val="auto"/>
        </w:rPr>
        <w:t>” means, on any date, all amounts that, in conformity with GAAP, would be included under the caption “total assets” (or any like caption) on a consolidated balance sheet of the Company at such time excluding the net book value of</w:t>
      </w:r>
    </w:p>
    <w:p>
      <w:pPr>
        <w:spacing w:after="0"/>
        <w:rPr>
          <w:sz w:val="20"/>
          <w:szCs w:val="20"/>
          <w:color w:val="auto"/>
        </w:rPr>
      </w:pPr>
      <w:r>
        <w:rPr>
          <w:rFonts w:ascii="Arial" w:cs="Arial" w:eastAsia="Arial" w:hAnsi="Arial"/>
          <w:sz w:val="20"/>
          <w:szCs w:val="20"/>
          <w:color w:val="auto"/>
        </w:rPr>
        <w:t>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20" w:top="1440" w:right="399" w:bottom="1440" w:gutter="0" w:footer="0" w:header="0"/>
        </w:sectPr>
      </w:pPr>
    </w:p>
    <w:bookmarkStart w:id="138" w:name="page139"/>
    <w:bookmarkEnd w:id="138"/>
    <w:p>
      <w:pPr>
        <w:spacing w:after="0" w:line="182" w:lineRule="exact"/>
        <w:rPr>
          <w:sz w:val="20"/>
          <w:szCs w:val="20"/>
          <w:color w:val="auto"/>
        </w:rPr>
      </w:pPr>
    </w:p>
    <w:p>
      <w:pPr>
        <w:ind w:right="12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has a meaning correlative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CooperSurgical UK</w:t>
      </w:r>
      <w:r>
        <w:rPr>
          <w:rFonts w:ascii="Arial" w:cs="Arial" w:eastAsia="Arial" w:hAnsi="Arial"/>
          <w:sz w:val="20"/>
          <w:szCs w:val="20"/>
          <w:color w:val="auto"/>
        </w:rPr>
        <w:t>” has the meaning assigned to such term in the preamble.</w:t>
      </w:r>
    </w:p>
    <w:p>
      <w:pPr>
        <w:spacing w:after="0" w:line="189" w:lineRule="exact"/>
        <w:rPr>
          <w:sz w:val="20"/>
          <w:szCs w:val="20"/>
          <w:color w:val="auto"/>
        </w:rPr>
      </w:pPr>
    </w:p>
    <w:p>
      <w:pPr>
        <w:ind w:right="1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Cooper UK</w:t>
      </w:r>
      <w:r>
        <w:rPr>
          <w:rFonts w:ascii="Arial" w:cs="Arial" w:eastAsia="Arial" w:hAnsi="Arial"/>
          <w:sz w:val="20"/>
          <w:szCs w:val="20"/>
          <w:color w:val="auto"/>
        </w:rPr>
        <w:t>” means CooperVision International Limited, a private limited company registered in England and Wales with company registration number 12210296.</w:t>
      </w:r>
    </w:p>
    <w:p>
      <w:pPr>
        <w:spacing w:after="0" w:line="155" w:lineRule="exact"/>
        <w:rPr>
          <w:sz w:val="20"/>
          <w:szCs w:val="20"/>
          <w:color w:val="auto"/>
        </w:rPr>
      </w:pPr>
    </w:p>
    <w:p>
      <w:pPr>
        <w:ind w:right="3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Credit Party</w:t>
      </w:r>
      <w:r>
        <w:rPr>
          <w:rFonts w:ascii="Arial" w:cs="Arial" w:eastAsia="Arial" w:hAnsi="Arial"/>
          <w:sz w:val="20"/>
          <w:szCs w:val="20"/>
          <w:color w:val="auto"/>
        </w:rPr>
        <w:t>” means the Administrative Agent, the Issuing Bank, the Swingline Lender, each Designated Hedge Creditor or any other Lender, and the respective successors and assigns of each of the foregoing.</w:t>
      </w:r>
    </w:p>
    <w:p>
      <w:pPr>
        <w:spacing w:after="0" w:line="169" w:lineRule="exact"/>
        <w:rPr>
          <w:sz w:val="20"/>
          <w:szCs w:val="20"/>
          <w:color w:val="auto"/>
        </w:rPr>
      </w:pPr>
    </w:p>
    <w:p>
      <w:pPr>
        <w:ind w:right="68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Daily Simple RFR</w:t>
      </w:r>
      <w:r>
        <w:rPr>
          <w:rFonts w:ascii="Arial" w:cs="Arial" w:eastAsia="Arial" w:hAnsi="Arial"/>
          <w:sz w:val="16"/>
          <w:szCs w:val="16"/>
          <w:color w:val="auto"/>
        </w:rPr>
        <w:t>” means, for any day (an “</w:t>
      </w:r>
      <w:r>
        <w:rPr>
          <w:rFonts w:ascii="Arial" w:cs="Arial" w:eastAsia="Arial" w:hAnsi="Arial"/>
          <w:sz w:val="16"/>
          <w:szCs w:val="16"/>
          <w:b w:val="1"/>
          <w:bCs w:val="1"/>
          <w:i w:val="1"/>
          <w:iCs w:val="1"/>
          <w:color w:val="auto"/>
        </w:rPr>
        <w:t>RFR Day</w:t>
      </w:r>
      <w:r>
        <w:rPr>
          <w:rFonts w:ascii="Arial" w:cs="Arial" w:eastAsia="Arial" w:hAnsi="Arial"/>
          <w:sz w:val="16"/>
          <w:szCs w:val="16"/>
          <w:color w:val="auto"/>
        </w:rPr>
        <w:t>”), a rate per annum determined by the Administrative Agent, for any Obligations, interest, fees, commissions or other amounts denominated in, or calculated with respect to any applicable RFR below 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dividing (a) the applicable RFR set forth below by (b) a number equal to 1.00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RFR Reserve Percentage:</w:t>
      </w:r>
    </w:p>
    <w:p>
      <w:pPr>
        <w:spacing w:after="0" w:line="173" w:lineRule="exact"/>
        <w:rPr>
          <w:sz w:val="20"/>
          <w:szCs w:val="20"/>
          <w:color w:val="auto"/>
        </w:rPr>
      </w:pPr>
    </w:p>
    <w:p>
      <w:pPr>
        <w:jc w:val="both"/>
        <w:ind w:right="220" w:firstLine="656"/>
        <w:spacing w:after="0" w:line="220" w:lineRule="auto"/>
        <w:tabs>
          <w:tab w:leader="none" w:pos="1065" w:val="left"/>
        </w:tabs>
        <w:numPr>
          <w:ilvl w:val="1"/>
          <w:numId w:val="125"/>
        </w:numPr>
        <w:rPr>
          <w:rFonts w:ascii="Arial" w:cs="Arial" w:eastAsia="Arial" w:hAnsi="Arial"/>
          <w:sz w:val="20"/>
          <w:szCs w:val="20"/>
          <w:color w:val="auto"/>
        </w:rPr>
      </w:pPr>
      <w:r>
        <w:rPr>
          <w:rFonts w:ascii="Arial" w:cs="Arial" w:eastAsia="Arial" w:hAnsi="Arial"/>
          <w:sz w:val="20"/>
          <w:szCs w:val="20"/>
          <w:color w:val="auto"/>
        </w:rPr>
        <w:t>Sterling, SONIA for the day (such day, adjusted as applicable as set forth herein, the “</w:t>
      </w:r>
      <w:r>
        <w:rPr>
          <w:rFonts w:ascii="Arial" w:cs="Arial" w:eastAsia="Arial" w:hAnsi="Arial"/>
          <w:sz w:val="20"/>
          <w:szCs w:val="20"/>
          <w:b w:val="1"/>
          <w:bCs w:val="1"/>
          <w:i w:val="1"/>
          <w:iCs w:val="1"/>
          <w:color w:val="auto"/>
        </w:rPr>
        <w:t>SONIA Lookback Day</w:t>
      </w:r>
      <w:r>
        <w:rPr>
          <w:rFonts w:ascii="Arial" w:cs="Arial" w:eastAsia="Arial" w:hAnsi="Arial"/>
          <w:sz w:val="20"/>
          <w:szCs w:val="20"/>
          <w:color w:val="auto"/>
        </w:rPr>
        <w:t>”) that is two (2) Business Days prior to (A) if such RFR Day is a Business Day, such RFR Day, or (B) if such RFR Day is not a Business Day, the Business Day immediately preceding such RFR Day, in each case, as such SONIA is published by the SONIA Administrator on the SONIA Administrator’s Website;</w:t>
      </w:r>
    </w:p>
    <w:p>
      <w:pPr>
        <w:spacing w:after="0" w:line="155" w:lineRule="exact"/>
        <w:rPr>
          <w:rFonts w:ascii="Arial" w:cs="Arial" w:eastAsia="Arial" w:hAnsi="Arial"/>
          <w:sz w:val="20"/>
          <w:szCs w:val="20"/>
          <w:color w:val="auto"/>
        </w:rPr>
      </w:pPr>
    </w:p>
    <w:p>
      <w:pPr>
        <w:ind w:right="240" w:firstLine="656"/>
        <w:spacing w:after="0" w:line="220" w:lineRule="auto"/>
        <w:tabs>
          <w:tab w:leader="none" w:pos="1069" w:val="left"/>
        </w:tabs>
        <w:numPr>
          <w:ilvl w:val="1"/>
          <w:numId w:val="125"/>
        </w:numPr>
        <w:rPr>
          <w:rFonts w:ascii="Arial" w:cs="Arial" w:eastAsia="Arial" w:hAnsi="Arial"/>
          <w:sz w:val="20"/>
          <w:szCs w:val="20"/>
          <w:color w:val="auto"/>
        </w:rPr>
      </w:pPr>
      <w:r>
        <w:rPr>
          <w:rFonts w:ascii="Arial" w:cs="Arial" w:eastAsia="Arial" w:hAnsi="Arial"/>
          <w:sz w:val="20"/>
          <w:szCs w:val="20"/>
          <w:color w:val="auto"/>
        </w:rPr>
        <w:t>Yen, TONAR for the day (such day, adjusted as applicable as set forth herein, the “</w:t>
      </w:r>
      <w:r>
        <w:rPr>
          <w:rFonts w:ascii="Arial" w:cs="Arial" w:eastAsia="Arial" w:hAnsi="Arial"/>
          <w:sz w:val="20"/>
          <w:szCs w:val="20"/>
          <w:b w:val="1"/>
          <w:bCs w:val="1"/>
          <w:i w:val="1"/>
          <w:iCs w:val="1"/>
          <w:color w:val="auto"/>
        </w:rPr>
        <w:t>TONAR Lookback Day</w:t>
      </w:r>
      <w:r>
        <w:rPr>
          <w:rFonts w:ascii="Arial" w:cs="Arial" w:eastAsia="Arial" w:hAnsi="Arial"/>
          <w:sz w:val="20"/>
          <w:szCs w:val="20"/>
          <w:color w:val="auto"/>
        </w:rPr>
        <w:t>”) that is two (2) Business Days prior to (A) if such RFR Day is a Business Day, such RFR Day, or (B) if such RFR Day is not a Business Day, the Business Day immediately preceding such RFR Day, in each case, as such TONAR is published by the TONAR Administrator on the TONAR Administrator’s Website; and</w:t>
      </w:r>
    </w:p>
    <w:p>
      <w:pPr>
        <w:spacing w:after="0" w:line="169" w:lineRule="exact"/>
        <w:rPr>
          <w:rFonts w:ascii="Arial" w:cs="Arial" w:eastAsia="Arial" w:hAnsi="Arial"/>
          <w:sz w:val="20"/>
          <w:szCs w:val="20"/>
          <w:color w:val="auto"/>
        </w:rPr>
      </w:pPr>
    </w:p>
    <w:p>
      <w:pPr>
        <w:ind w:left="1080" w:hanging="424"/>
        <w:spacing w:after="0"/>
        <w:tabs>
          <w:tab w:leader="none" w:pos="10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Swiss Franc, SARON for the day (such day, adjusted as applicable as set forth herein, the “</w:t>
      </w:r>
      <w:r>
        <w:rPr>
          <w:rFonts w:ascii="Arial" w:cs="Arial" w:eastAsia="Arial" w:hAnsi="Arial"/>
          <w:sz w:val="16"/>
          <w:szCs w:val="16"/>
          <w:b w:val="1"/>
          <w:bCs w:val="1"/>
          <w:i w:val="1"/>
          <w:iCs w:val="1"/>
          <w:color w:val="auto"/>
        </w:rPr>
        <w:t>SARON Lookback Day</w:t>
      </w:r>
      <w:r>
        <w:rPr>
          <w:rFonts w:ascii="Arial" w:cs="Arial" w:eastAsia="Arial" w:hAnsi="Arial"/>
          <w:sz w:val="16"/>
          <w:szCs w:val="16"/>
          <w:color w:val="auto"/>
        </w:rPr>
        <w:t>”) that is two</w:t>
      </w:r>
    </w:p>
    <w:p>
      <w:pPr>
        <w:spacing w:after="0" w:line="21" w:lineRule="exact"/>
        <w:rPr>
          <w:rFonts w:ascii="Arial" w:cs="Arial" w:eastAsia="Arial" w:hAnsi="Arial"/>
          <w:sz w:val="16"/>
          <w:szCs w:val="16"/>
          <w:color w:val="auto"/>
        </w:rPr>
      </w:pPr>
    </w:p>
    <w:p>
      <w:pPr>
        <w:ind w:left="280" w:hanging="272"/>
        <w:spacing w:after="0" w:line="222" w:lineRule="auto"/>
        <w:tabs>
          <w:tab w:leader="none" w:pos="28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Business Days prior to (A) if such RFR Day is a Business Day, such RFR Day, or (B) if such RFR Day is not a Business Day, the</w:t>
      </w:r>
    </w:p>
    <w:p>
      <w:pPr>
        <w:ind w:right="680"/>
        <w:spacing w:after="0" w:line="227" w:lineRule="auto"/>
        <w:rPr>
          <w:sz w:val="20"/>
          <w:szCs w:val="20"/>
          <w:color w:val="auto"/>
        </w:rPr>
      </w:pPr>
      <w:r>
        <w:rPr>
          <w:rFonts w:ascii="Arial" w:cs="Arial" w:eastAsia="Arial" w:hAnsi="Arial"/>
          <w:sz w:val="20"/>
          <w:szCs w:val="20"/>
          <w:color w:val="auto"/>
        </w:rPr>
        <w:t>Business Day immediately preceding such RFR Day, in each case, as such SARON is published by the SARON Administrator on the SARON Administrator’s Website;</w:t>
      </w:r>
    </w:p>
    <w:p>
      <w:pPr>
        <w:spacing w:after="0" w:line="156" w:lineRule="exact"/>
        <w:rPr>
          <w:sz w:val="20"/>
          <w:szCs w:val="20"/>
          <w:color w:val="auto"/>
        </w:rPr>
      </w:pPr>
    </w:p>
    <w:p>
      <w:pPr>
        <w:ind w:right="520"/>
        <w:spacing w:after="0" w:line="27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sum of the adjusted rate as determined above plus the applicable RFR Adjustment would be less than 0%, the Daily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Simple RFR shall be deemed to be </w:t>
      </w:r>
      <w:r>
        <w:rPr>
          <w:rFonts w:ascii="Arial" w:cs="Arial" w:eastAsia="Arial" w:hAnsi="Arial"/>
          <w:sz w:val="16"/>
          <w:szCs w:val="16"/>
          <w:color w:val="FF0000"/>
          <w:strike w:val="1"/>
        </w:rPr>
        <w:t>the</w:t>
      </w:r>
      <w:r>
        <w:rPr>
          <w:rFonts w:ascii="Arial" w:cs="Arial" w:eastAsia="Arial" w:hAnsi="Arial"/>
          <w:sz w:val="16"/>
          <w:szCs w:val="16"/>
          <w:color w:val="auto"/>
        </w:rPr>
        <w:t xml:space="preserve"> 0%. The adjusted Daily Simple RFR rate for each outstanding RFR Loan or Letter of Credit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denominated in any RFR Currency shall be adjusted automatically as of the effective date of any change in the RFR Reserve Percentage. The Administrative Agent shall give prompt notice to the Company of the adjusted Daily Simple RFR as determined or adjusted in accordance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herewith, which determination shall be conclusive absent manifest error.</w:t>
      </w:r>
    </w:p>
    <w:p>
      <w:pPr>
        <w:spacing w:after="0" w:line="173" w:lineRule="exact"/>
        <w:rPr>
          <w:sz w:val="20"/>
          <w:szCs w:val="20"/>
          <w:color w:val="auto"/>
        </w:rPr>
      </w:pPr>
    </w:p>
    <w:p>
      <w:pPr>
        <w:ind w:right="140" w:firstLine="648"/>
        <w:spacing w:after="0" w:line="207" w:lineRule="auto"/>
        <w:rPr>
          <w:sz w:val="20"/>
          <w:szCs w:val="20"/>
          <w:color w:val="auto"/>
        </w:rPr>
      </w:pPr>
      <w:r>
        <w:rPr>
          <w:rFonts w:ascii="Arial" w:cs="Arial" w:eastAsia="Arial" w:hAnsi="Arial"/>
          <w:sz w:val="18"/>
          <w:szCs w:val="18"/>
          <w:color w:val="auto"/>
        </w:rPr>
        <w:t>If by 5:00 pm (local time for the applicable RFR)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Business Day immediately following any Daily Simple RFR Lookback Day, the RFR in respect of such Daily Simple RFR Lookback Day has not been published on the applicable RFR Administrator’s</w:t>
      </w:r>
    </w:p>
    <w:p>
      <w:pPr>
        <w:spacing w:after="0" w:line="235" w:lineRule="auto"/>
        <w:rPr>
          <w:sz w:val="20"/>
          <w:szCs w:val="20"/>
          <w:color w:val="auto"/>
        </w:rPr>
      </w:pPr>
      <w:r>
        <w:rPr>
          <w:rFonts w:ascii="Arial" w:cs="Arial" w:eastAsia="Arial" w:hAnsi="Arial"/>
          <w:sz w:val="18"/>
          <w:szCs w:val="18"/>
          <w:color w:val="auto"/>
        </w:rPr>
        <w:t>Website and a Benchmark Replacement for the applicable Daily Simple RFR has not been instituted in accordance with the provisions of this</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 xml:space="preserve">Agreement, then the RFR for such Daily Simple RFR Lookback Day will be the RFR as published in respect of the first preceding Business Day for which such RFR was published on the RFR Administrator’s Website;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RFR determined pursuant to this sentence</w:t>
      </w:r>
    </w:p>
    <w:p>
      <w:pPr>
        <w:spacing w:after="0" w:line="236" w:lineRule="auto"/>
        <w:rPr>
          <w:sz w:val="20"/>
          <w:szCs w:val="20"/>
          <w:color w:val="auto"/>
        </w:rPr>
      </w:pPr>
      <w:r>
        <w:rPr>
          <w:rFonts w:ascii="Arial" w:cs="Arial" w:eastAsia="Arial" w:hAnsi="Arial"/>
          <w:sz w:val="18"/>
          <w:szCs w:val="18"/>
          <w:color w:val="auto"/>
        </w:rPr>
        <w:t>shall be utilized for purposes of calculation of Daily Simple RFR for no more than three (3) consecutive RFR Days. Any change in Daily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Simple RFR due to a change in the applicable RFR shall be effective from and including the effective date of such change in the RFR without notice to the Company or any other Borrower.</w:t>
      </w:r>
    </w:p>
    <w:p>
      <w:pPr>
        <w:spacing w:after="0" w:line="170" w:lineRule="exact"/>
        <w:rPr>
          <w:sz w:val="20"/>
          <w:szCs w:val="20"/>
          <w:color w:val="auto"/>
        </w:rPr>
      </w:pPr>
    </w:p>
    <w:p>
      <w:pPr>
        <w:ind w:right="4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Daily Simple RFR Option</w:t>
      </w:r>
      <w:r>
        <w:rPr>
          <w:rFonts w:ascii="Arial" w:cs="Arial" w:eastAsia="Arial" w:hAnsi="Arial"/>
          <w:sz w:val="20"/>
          <w:szCs w:val="20"/>
          <w:color w:val="auto"/>
        </w:rPr>
        <w:t>” means the option of a Borrower to have Loans or Letters of Credit bear interest at the Daily Simple RFR applicable to such RFR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008000"/>
          <w:strike w:val="1"/>
        </w:rPr>
        <w:t>“</w:t>
      </w:r>
      <w:r>
        <w:rPr>
          <w:rFonts w:ascii="Arial" w:cs="Arial" w:eastAsia="Arial" w:hAnsi="Arial"/>
          <w:sz w:val="19"/>
          <w:szCs w:val="19"/>
          <w:b w:val="1"/>
          <w:bCs w:val="1"/>
          <w:i w:val="1"/>
          <w:iCs w:val="1"/>
          <w:color w:val="008000"/>
          <w:strike w:val="1"/>
        </w:rPr>
        <w:t>Daily Simple SOFR</w:t>
      </w:r>
      <w:r>
        <w:rPr>
          <w:rFonts w:ascii="Arial" w:cs="Arial" w:eastAsia="Arial" w:hAnsi="Arial"/>
          <w:sz w:val="19"/>
          <w:szCs w:val="19"/>
          <w:color w:val="008000"/>
          <w:strike w:val="1"/>
        </w:rPr>
        <w:t>” means, for any day</w:t>
      </w:r>
      <w:r>
        <w:rPr>
          <w:rFonts w:ascii="Arial" w:cs="Arial" w:eastAsia="Arial" w:hAnsi="Arial"/>
          <w:sz w:val="19"/>
          <w:szCs w:val="19"/>
          <w:color w:val="FF0000"/>
          <w:strike w:val="1"/>
        </w:rPr>
        <w:t>, SOFR, with the conventions for this rate (which will include a lookback) being</w:t>
      </w:r>
    </w:p>
    <w:p>
      <w:pPr>
        <w:ind w:right="100"/>
        <w:spacing w:after="0" w:line="226" w:lineRule="auto"/>
        <w:rPr>
          <w:sz w:val="20"/>
          <w:szCs w:val="20"/>
          <w:color w:val="auto"/>
        </w:rPr>
      </w:pPr>
      <w:r>
        <w:rPr>
          <w:rFonts w:ascii="Arial" w:cs="Arial" w:eastAsia="Arial" w:hAnsi="Arial"/>
          <w:sz w:val="18"/>
          <w:szCs w:val="18"/>
          <w:color w:val="FF0000"/>
          <w:strike w:val="1"/>
        </w:rPr>
        <w:t xml:space="preserve">established by the Administrative Agent in accordance with the conventions for this rate recommended by the Relevant Governmental Body for determining “Daily Simple SOFR” for syndicated business loans; </w:t>
      </w:r>
      <w:r>
        <w:rPr>
          <w:rFonts w:ascii="Arial" w:cs="Arial" w:eastAsia="Arial" w:hAnsi="Arial"/>
          <w:sz w:val="18"/>
          <w:szCs w:val="18"/>
          <w:i w:val="1"/>
          <w:iCs w:val="1"/>
          <w:color w:val="FF0000"/>
          <w:strike w:val="1"/>
        </w:rPr>
        <w:t>provided, that</w:t>
      </w:r>
      <w:r>
        <w:rPr>
          <w:rFonts w:ascii="Arial" w:cs="Arial" w:eastAsia="Arial" w:hAnsi="Arial"/>
          <w:sz w:val="18"/>
          <w:szCs w:val="18"/>
          <w:color w:val="FF0000"/>
          <w:strike w:val="1"/>
        </w:rPr>
        <w:t xml:space="preserve"> if the Administrative Agent decides that any such</w:t>
      </w:r>
    </w:p>
    <w:p>
      <w:pPr>
        <w:spacing w:after="0" w:line="2"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FF0000"/>
          <w:strike w:val="1"/>
        </w:rPr>
        <w:t>convention is not administratively feasible for the Administrative Agent, then the Administrative Agent may establish another convention in its reasonable discretion.</w:t>
      </w:r>
    </w:p>
    <w:p>
      <w:pPr>
        <w:spacing w:after="0" w:line="156" w:lineRule="exact"/>
        <w:rPr>
          <w:sz w:val="20"/>
          <w:szCs w:val="20"/>
          <w:color w:val="auto"/>
        </w:rPr>
      </w:pPr>
    </w:p>
    <w:p>
      <w:pPr>
        <w:ind w:right="3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6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means any Lender that (a) has failed, within two Business Days of the date required to be funded or paid, to (i) fund any portion of its Loans, (ii) fund any portion of its participations in Letters of Credit or Swingline Loans or (iii) pay over to any Credit</w:t>
      </w:r>
    </w:p>
    <w:p>
      <w:pPr>
        <w:spacing w:after="0" w:line="235" w:lineRule="auto"/>
        <w:rPr>
          <w:sz w:val="20"/>
          <w:szCs w:val="20"/>
          <w:color w:val="auto"/>
        </w:rPr>
      </w:pPr>
      <w:r>
        <w:rPr>
          <w:rFonts w:ascii="Arial" w:cs="Arial" w:eastAsia="Arial" w:hAnsi="Arial"/>
          <w:sz w:val="18"/>
          <w:szCs w:val="18"/>
          <w:color w:val="auto"/>
        </w:rPr>
        <w:t>Party any other amount required to be paid by it hereunder, unless, in the case of clause (i) above, such Lender notifies the Administrative</w:t>
      </w:r>
    </w:p>
    <w:p>
      <w:pPr>
        <w:ind w:right="120"/>
        <w:spacing w:after="0" w:line="226" w:lineRule="auto"/>
        <w:rPr>
          <w:sz w:val="20"/>
          <w:szCs w:val="20"/>
          <w:color w:val="auto"/>
        </w:rPr>
      </w:pPr>
      <w:r>
        <w:rPr>
          <w:rFonts w:ascii="Arial" w:cs="Arial" w:eastAsia="Arial" w:hAnsi="Arial"/>
          <w:sz w:val="18"/>
          <w:szCs w:val="18"/>
          <w:color w:val="auto"/>
        </w:rPr>
        <w:t>Agent in writing that such failure is the result of such Lender’s good faith determination that a condition precedent to funding (specifically identified and including the particular default, if any) has not been satisfied, (b) has notified the Borrowers or any Credit Party in writing, or</w:t>
      </w:r>
    </w:p>
    <w:p>
      <w:pPr>
        <w:spacing w:after="0" w:line="236" w:lineRule="auto"/>
        <w:rPr>
          <w:sz w:val="20"/>
          <w:szCs w:val="20"/>
          <w:color w:val="auto"/>
        </w:rPr>
      </w:pPr>
      <w:r>
        <w:rPr>
          <w:rFonts w:ascii="Arial" w:cs="Arial" w:eastAsia="Arial" w:hAnsi="Arial"/>
          <w:sz w:val="18"/>
          <w:szCs w:val="18"/>
          <w:color w:val="auto"/>
        </w:rPr>
        <w:t>has made a public statement to the effect, that it does not intend or expect to comply with any of its funding obligations under this Agreement</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(unless such writing or public statement indicates that such position is based on such Lender’s good faith determination that a condition precedent (specifically identified and including the particular default, if any) to funding a loan under this Agreement cannot be satisfied) or</w:t>
      </w:r>
    </w:p>
    <w:p>
      <w:pPr>
        <w:spacing w:after="0" w:line="236" w:lineRule="auto"/>
        <w:rPr>
          <w:sz w:val="20"/>
          <w:szCs w:val="20"/>
          <w:color w:val="auto"/>
        </w:rPr>
      </w:pPr>
      <w:r>
        <w:rPr>
          <w:rFonts w:ascii="Arial" w:cs="Arial" w:eastAsia="Arial" w:hAnsi="Arial"/>
          <w:sz w:val="18"/>
          <w:szCs w:val="18"/>
          <w:color w:val="auto"/>
        </w:rPr>
        <w:t>generally under other agreements in which it commits to extend credit, (c) has failed, within three Business Days after request by a Credit</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Party, acting in good faith, to provide a certification in writing from an authorized officer of such Lender that it will comply with its obligations (and is financially able to meet such obligations as of the date of such certification) to fund prospective Loans and participations</w:t>
      </w:r>
    </w:p>
    <w:p>
      <w:pPr>
        <w:spacing w:after="0" w:line="2"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 xml:space="preserve">in then outstanding Letters of Credit and Swingline Loans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shall cease to be a Defaulting Lender pursuant to this clause (c) upon such Credit Party’s receipt of such certification in form and substance satisfactory to it and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(d) has become the subject of a Bail-In Action or (e) has become the subject of a Bankruptcy Event.</w:t>
      </w:r>
    </w:p>
    <w:p>
      <w:pPr>
        <w:spacing w:after="0" w:line="173" w:lineRule="exact"/>
        <w:rPr>
          <w:sz w:val="20"/>
          <w:szCs w:val="20"/>
          <w:color w:val="auto"/>
        </w:rPr>
      </w:pPr>
    </w:p>
    <w:p>
      <w:pPr>
        <w:ind w:right="6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Foreign Currency</w:t>
      </w:r>
      <w:r>
        <w:rPr>
          <w:rFonts w:ascii="Arial" w:cs="Arial" w:eastAsia="Arial" w:hAnsi="Arial"/>
          <w:sz w:val="16"/>
          <w:szCs w:val="16"/>
          <w:color w:val="auto"/>
        </w:rPr>
        <w:t>” means Euros, Canadian Dollars, Sterling, Yen, any other currency (other than Dollars) identified as a G10 currency (or any successor or substitute term) on the Closing Date (which, for the avoidance of doubt, includes Euros, Yen, Canadian</w:t>
      </w:r>
    </w:p>
    <w:p>
      <w:pPr>
        <w:spacing w:after="0" w:line="236" w:lineRule="auto"/>
        <w:rPr>
          <w:sz w:val="20"/>
          <w:szCs w:val="20"/>
          <w:color w:val="auto"/>
        </w:rPr>
      </w:pPr>
      <w:r>
        <w:rPr>
          <w:rFonts w:ascii="Arial" w:cs="Arial" w:eastAsia="Arial" w:hAnsi="Arial"/>
          <w:sz w:val="18"/>
          <w:szCs w:val="18"/>
          <w:color w:val="auto"/>
        </w:rPr>
        <w:t>Dollars, Swiss Francs, Sterling, Australian dollars, New Zealand dollars, Norwegian krone and Swedish krona) by a generally recognized</w:t>
      </w:r>
    </w:p>
    <w:p>
      <w:pPr>
        <w:ind w:right="40"/>
        <w:spacing w:after="0" w:line="220" w:lineRule="auto"/>
        <w:rPr>
          <w:sz w:val="20"/>
          <w:szCs w:val="20"/>
          <w:color w:val="auto"/>
        </w:rPr>
      </w:pPr>
      <w:r>
        <w:rPr>
          <w:rFonts w:ascii="Arial" w:cs="Arial" w:eastAsia="Arial" w:hAnsi="Arial"/>
          <w:sz w:val="20"/>
          <w:szCs w:val="20"/>
          <w:color w:val="auto"/>
        </w:rPr>
        <w:t>financial information service selected by the Administrative Agent, or any other currency (other than Dollars) approved in writing by each of the Revolving Lenders and that is freely traded and exchangeable into Dollars.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Hedge Agreement</w:t>
      </w:r>
      <w:r>
        <w:rPr>
          <w:rFonts w:ascii="Arial" w:cs="Arial" w:eastAsia="Arial" w:hAnsi="Arial"/>
          <w:sz w:val="18"/>
          <w:szCs w:val="18"/>
          <w:color w:val="auto"/>
        </w:rPr>
        <w:t>” means any Existing Hedge Agreement and any Hedge Agreement (other than a Commodities</w:t>
      </w:r>
    </w:p>
    <w:p>
      <w:pPr>
        <w:spacing w:after="0" w:line="12" w:lineRule="exact"/>
        <w:rPr>
          <w:sz w:val="20"/>
          <w:szCs w:val="20"/>
          <w:color w:val="auto"/>
        </w:rPr>
      </w:pPr>
    </w:p>
    <w:p>
      <w:pPr>
        <w:ind w:right="320"/>
        <w:spacing w:after="0" w:line="220" w:lineRule="auto"/>
        <w:rPr>
          <w:sz w:val="20"/>
          <w:szCs w:val="20"/>
          <w:color w:val="auto"/>
        </w:rPr>
      </w:pPr>
      <w:r>
        <w:rPr>
          <w:rFonts w:ascii="Arial" w:cs="Arial" w:eastAsia="Arial" w:hAnsi="Arial"/>
          <w:sz w:val="20"/>
          <w:szCs w:val="20"/>
          <w:color w:val="auto"/>
        </w:rPr>
        <w:t>Hedge Agreement) to which a Borrower or any Subsidiary is a party and as to which, at the time such Hedge Agreement is entered into, a Lender or any of its Affiliates is a counterparty.</w:t>
      </w:r>
    </w:p>
    <w:p>
      <w:pPr>
        <w:spacing w:after="0" w:line="170" w:lineRule="exact"/>
        <w:rPr>
          <w:sz w:val="20"/>
          <w:szCs w:val="20"/>
          <w:color w:val="auto"/>
        </w:rPr>
      </w:pPr>
    </w:p>
    <w:p>
      <w:pPr>
        <w:ind w:right="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Hedge Creditor</w:t>
      </w:r>
      <w:r>
        <w:rPr>
          <w:rFonts w:ascii="Arial" w:cs="Arial" w:eastAsia="Arial" w:hAnsi="Arial"/>
          <w:sz w:val="20"/>
          <w:szCs w:val="20"/>
          <w:color w:val="auto"/>
        </w:rPr>
        <w:t>” means each Person that participates as a counterparty to a Borrower or any Subsidiary pursuant to any Designated Hedge Agreement.</w:t>
      </w:r>
    </w:p>
    <w:p>
      <w:pPr>
        <w:spacing w:after="0" w:line="155" w:lineRule="exact"/>
        <w:rPr>
          <w:sz w:val="20"/>
          <w:szCs w:val="20"/>
          <w:color w:val="auto"/>
        </w:rPr>
      </w:pPr>
    </w:p>
    <w:p>
      <w:pPr>
        <w:ind w:right="20"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Persons</w:t>
      </w:r>
      <w:r>
        <w:rPr>
          <w:rFonts w:ascii="Arial" w:cs="Arial" w:eastAsia="Arial" w:hAnsi="Arial"/>
          <w:sz w:val="16"/>
          <w:szCs w:val="16"/>
          <w:color w:val="auto"/>
        </w:rPr>
        <w:t xml:space="preserve">” means, at any time, (a) any Person listed in any sanctions-related list of designated Persons maintained by OFAC, the U.S. Department of State, the United Nations Security Council, the European Union, </w:t>
      </w:r>
      <w:r>
        <w:rPr>
          <w:rFonts w:ascii="Arial" w:cs="Arial" w:eastAsia="Arial" w:hAnsi="Arial"/>
          <w:sz w:val="16"/>
          <w:szCs w:val="16"/>
          <w:color w:val="FF0000"/>
          <w:strike w:val="1"/>
        </w:rPr>
        <w:t>Her</w:t>
      </w:r>
      <w:r>
        <w:rPr>
          <w:rFonts w:ascii="Arial" w:cs="Arial" w:eastAsia="Arial" w:hAnsi="Arial"/>
          <w:sz w:val="16"/>
          <w:szCs w:val="16"/>
          <w:u w:val="single" w:color="auto"/>
          <w:color w:val="0000FF"/>
        </w:rPr>
        <w:t>His</w:t>
      </w:r>
      <w:r>
        <w:rPr>
          <w:rFonts w:ascii="Arial" w:cs="Arial" w:eastAsia="Arial" w:hAnsi="Arial"/>
          <w:sz w:val="16"/>
          <w:szCs w:val="16"/>
          <w:color w:val="auto"/>
        </w:rPr>
        <w:t xml:space="preserve"> Majesty’s Treasury, the Government of Canada, or other relevant sanctions authority, or (b) any Person owned or controlled by any such Person or Persons described in clause (a).</w:t>
      </w:r>
    </w:p>
    <w:p>
      <w:pPr>
        <w:spacing w:after="0" w:line="104" w:lineRule="exact"/>
        <w:rPr>
          <w:sz w:val="20"/>
          <w:szCs w:val="20"/>
          <w:color w:val="auto"/>
        </w:rPr>
      </w:pPr>
    </w:p>
    <w:p>
      <w:pPr>
        <w:jc w:val="both"/>
        <w:ind w:right="20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Disclosed Matters</w:t>
      </w:r>
      <w:r>
        <w:rPr>
          <w:rFonts w:ascii="Arial" w:cs="Arial" w:eastAsia="Arial" w:hAnsi="Arial"/>
          <w:sz w:val="20"/>
          <w:szCs w:val="20"/>
          <w:color w:val="auto"/>
        </w:rPr>
        <w:t>” means the actions, suits and proceedings, the environmental matters or other fact or circumstance disclosed in the Company’s annual report on Form 10-K for the fiscal year ended October 31, 2021, or any other reports filed prior to the Closing Date (including Form 8-K), in each case, as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82" w:lineRule="exact"/>
        <w:rPr>
          <w:sz w:val="20"/>
          <w:szCs w:val="20"/>
          <w:color w:val="auto"/>
        </w:rPr>
      </w:pPr>
    </w:p>
    <w:p>
      <w:pPr>
        <w:ind w:right="6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Documentation Agent</w:t>
      </w:r>
      <w:r>
        <w:rPr>
          <w:rFonts w:ascii="Arial" w:cs="Arial" w:eastAsia="Arial" w:hAnsi="Arial"/>
          <w:sz w:val="19"/>
          <w:szCs w:val="19"/>
          <w:color w:val="auto"/>
        </w:rPr>
        <w:t>” means each of Bank of the West, Mizuho Bank, Ltd., The Bank of Nova Scotia, U.S. Bank National Association and Wells Fargo Bank, National Association, as documentation agents under this Agreement.</w:t>
      </w:r>
    </w:p>
    <w:p>
      <w:pPr>
        <w:spacing w:after="0" w:line="140"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 Equivalent</w:t>
      </w:r>
      <w:r>
        <w:rPr>
          <w:rFonts w:ascii="Arial" w:cs="Arial" w:eastAsia="Arial" w:hAnsi="Arial"/>
          <w:sz w:val="18"/>
          <w:szCs w:val="18"/>
          <w:color w:val="auto"/>
        </w:rPr>
        <w:t>” means, (i) with respect to any amount denominated in Dollars, such amount, (ii) with respect to a Foreign Currency Loan to be made, the Dollar equivalent of the amount of such Foreign Currency Loan, determined by the Administrative Agent on</w:t>
      </w:r>
    </w:p>
    <w:p>
      <w:pPr>
        <w:ind w:right="360"/>
        <w:spacing w:after="0" w:line="255" w:lineRule="auto"/>
        <w:rPr>
          <w:sz w:val="20"/>
          <w:szCs w:val="20"/>
          <w:color w:val="auto"/>
        </w:rPr>
      </w:pPr>
      <w:r>
        <w:rPr>
          <w:rFonts w:ascii="Arial" w:cs="Arial" w:eastAsia="Arial" w:hAnsi="Arial"/>
          <w:sz w:val="16"/>
          <w:szCs w:val="16"/>
          <w:color w:val="auto"/>
        </w:rPr>
        <w:t>the basis of its spot rate at approximately 11:00 A.M. London time on the date two Business Days before the date such Foreign Currency Loan is to be made, for the purchase of the relevant Designated Foreign Currency with Dollars for delivery on the date such Foreign</w:t>
      </w:r>
    </w:p>
    <w:p>
      <w:pPr>
        <w:spacing w:after="0" w:line="235" w:lineRule="auto"/>
        <w:rPr>
          <w:sz w:val="20"/>
          <w:szCs w:val="20"/>
          <w:color w:val="auto"/>
        </w:rPr>
      </w:pPr>
      <w:r>
        <w:rPr>
          <w:rFonts w:ascii="Arial" w:cs="Arial" w:eastAsia="Arial" w:hAnsi="Arial"/>
          <w:sz w:val="18"/>
          <w:szCs w:val="18"/>
          <w:color w:val="auto"/>
        </w:rPr>
        <w:t>Currency Loan is to be made, (iii) with respect to any Letter of Credit to be issued in any Designated Foreign Currency, the Dollar equivalent</w:t>
      </w:r>
    </w:p>
    <w:p>
      <w:pPr>
        <w:ind w:right="20"/>
        <w:spacing w:after="0" w:line="255" w:lineRule="auto"/>
        <w:rPr>
          <w:sz w:val="20"/>
          <w:szCs w:val="20"/>
          <w:color w:val="auto"/>
        </w:rPr>
      </w:pPr>
      <w:r>
        <w:rPr>
          <w:rFonts w:ascii="Arial" w:cs="Arial" w:eastAsia="Arial" w:hAnsi="Arial"/>
          <w:sz w:val="16"/>
          <w:szCs w:val="16"/>
          <w:color w:val="auto"/>
        </w:rPr>
        <w:t>of the maximum amount available to be drawn under such Letter of Credit, determined by the applicable Issuing Bank on the basis of its spot rate at approximately 11:00 A.M. London time on the date two Business Days before the issuance of such Letter of Credit, for the purchase</w:t>
      </w:r>
    </w:p>
    <w:p>
      <w:pPr>
        <w:spacing w:after="0" w:line="235" w:lineRule="auto"/>
        <w:rPr>
          <w:sz w:val="20"/>
          <w:szCs w:val="20"/>
          <w:color w:val="auto"/>
        </w:rPr>
      </w:pPr>
      <w:r>
        <w:rPr>
          <w:rFonts w:ascii="Arial" w:cs="Arial" w:eastAsia="Arial" w:hAnsi="Arial"/>
          <w:sz w:val="18"/>
          <w:szCs w:val="18"/>
          <w:color w:val="auto"/>
        </w:rPr>
        <w:t>of the relevant Designated Foreign Currency with Dollars for delivery on such date of issuance, and (iv) with respect to any other amount not</w:t>
      </w:r>
    </w:p>
    <w:p>
      <w:pPr>
        <w:ind w:right="60"/>
        <w:spacing w:after="0" w:line="226" w:lineRule="auto"/>
        <w:rPr>
          <w:sz w:val="20"/>
          <w:szCs w:val="20"/>
          <w:color w:val="auto"/>
        </w:rPr>
      </w:pPr>
      <w:r>
        <w:rPr>
          <w:rFonts w:ascii="Arial" w:cs="Arial" w:eastAsia="Arial" w:hAnsi="Arial"/>
          <w:sz w:val="18"/>
          <w:szCs w:val="18"/>
          <w:color w:val="auto"/>
        </w:rPr>
        <w:t>denominated in Dollars, and with respect to Foreign Currency Loans and Letters of Credit issued in any Designated Foreign Currency at any other time, the Dollar equivalent of such amount, Foreign Currency Loan or Letter of Credit, as the case may be, determined by the</w:t>
      </w:r>
    </w:p>
    <w:p>
      <w:pPr>
        <w:spacing w:after="0" w:line="224" w:lineRule="auto"/>
        <w:rPr>
          <w:sz w:val="20"/>
          <w:szCs w:val="20"/>
          <w:color w:val="auto"/>
        </w:rPr>
      </w:pPr>
      <w:r>
        <w:rPr>
          <w:rFonts w:ascii="Arial" w:cs="Arial" w:eastAsia="Arial" w:hAnsi="Arial"/>
          <w:sz w:val="19"/>
          <w:szCs w:val="19"/>
          <w:color w:val="auto"/>
        </w:rPr>
        <w:t>Administrative Agent on the basis of its spot rate at approximately 11:00 A.M. London time on the date for which the Dollar equivalent</w:t>
      </w:r>
    </w:p>
    <w:p>
      <w:pPr>
        <w:ind w:right="80"/>
        <w:spacing w:after="0" w:line="220" w:lineRule="auto"/>
        <w:rPr>
          <w:sz w:val="20"/>
          <w:szCs w:val="20"/>
          <w:color w:val="auto"/>
        </w:rPr>
      </w:pPr>
      <w:r>
        <w:rPr>
          <w:rFonts w:ascii="Arial" w:cs="Arial" w:eastAsia="Arial" w:hAnsi="Arial"/>
          <w:sz w:val="20"/>
          <w:szCs w:val="20"/>
          <w:color w:val="auto"/>
        </w:rPr>
        <w:t>amount of such amount, Foreign Currency Loan or Letter of Credit, as the case may be, is being determined, for the purchase of the relevant Designated Foreign Currency with Dollars for delivery on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refers to lawful money of the United States of America.</w:t>
      </w:r>
    </w:p>
    <w:p>
      <w:pPr>
        <w:spacing w:after="0" w:line="189" w:lineRule="exact"/>
        <w:rPr>
          <w:sz w:val="20"/>
          <w:szCs w:val="20"/>
          <w:color w:val="auto"/>
        </w:rPr>
      </w:pPr>
    </w:p>
    <w:p>
      <w:pPr>
        <w:ind w:right="3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means any Subsidiary organized under the laws of the United States of America, any State thereof, or the District of Columbia, excluding any FSHCO and any subsidiary of either a FSHCO or a Foreign Subsidiary.</w:t>
      </w:r>
    </w:p>
    <w:p>
      <w:pPr>
        <w:spacing w:after="0" w:line="169"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Financial Institution</w:t>
      </w:r>
      <w:r>
        <w:rPr>
          <w:rFonts w:ascii="Arial" w:cs="Arial" w:eastAsia="Arial" w:hAnsi="Arial"/>
          <w:sz w:val="18"/>
          <w:szCs w:val="18"/>
          <w:color w:val="auto"/>
        </w:rPr>
        <w:t>” means (a) any credit institution or investment firm established in any EEA Member Country or the United Kingdom which is subject to the supervision of a Resolution Authority, (b) any entity established in an EEA Member Country or the</w:t>
      </w:r>
    </w:p>
    <w:p>
      <w:pPr>
        <w:spacing w:after="0" w:line="235" w:lineRule="auto"/>
        <w:rPr>
          <w:sz w:val="20"/>
          <w:szCs w:val="20"/>
          <w:color w:val="auto"/>
        </w:rPr>
      </w:pPr>
      <w:r>
        <w:rPr>
          <w:rFonts w:ascii="Arial" w:cs="Arial" w:eastAsia="Arial" w:hAnsi="Arial"/>
          <w:sz w:val="18"/>
          <w:szCs w:val="18"/>
          <w:color w:val="auto"/>
        </w:rPr>
        <w:t>United Kingdom which is a parent of an institution described in clause (a) of this definition, or (c) any financial institution established in an</w:t>
      </w:r>
    </w:p>
    <w:p>
      <w:pPr>
        <w:ind w:right="200"/>
        <w:spacing w:after="0" w:line="220" w:lineRule="auto"/>
        <w:rPr>
          <w:sz w:val="20"/>
          <w:szCs w:val="20"/>
          <w:color w:val="auto"/>
        </w:rPr>
      </w:pPr>
      <w:r>
        <w:rPr>
          <w:rFonts w:ascii="Arial" w:cs="Arial" w:eastAsia="Arial" w:hAnsi="Arial"/>
          <w:sz w:val="20"/>
          <w:szCs w:val="20"/>
          <w:color w:val="auto"/>
        </w:rPr>
        <w:t>EEA Member Country or the United Kingdom which is a subsidiary of an institution described in clauses (a) or (b) of this definition and is subject to consolidated supervision with its parent.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89" w:lineRule="exact"/>
        <w:rPr>
          <w:sz w:val="20"/>
          <w:szCs w:val="20"/>
          <w:color w:val="auto"/>
        </w:rPr>
      </w:pPr>
    </w:p>
    <w:p>
      <w:pPr>
        <w:ind w:right="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Electronic System</w:t>
      </w:r>
      <w:r>
        <w:rPr>
          <w:rFonts w:ascii="Arial" w:cs="Arial" w:eastAsia="Arial" w:hAnsi="Arial"/>
          <w:sz w:val="17"/>
          <w:szCs w:val="17"/>
          <w:color w:val="auto"/>
        </w:rPr>
        <w:t>” means any electronic system, including e-mail, e-fax, Intralinks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ClearPar® and any other Internet or extranet-</w:t>
      </w:r>
    </w:p>
    <w:p>
      <w:pPr>
        <w:ind w:right="380"/>
        <w:spacing w:after="0" w:line="250" w:lineRule="auto"/>
        <w:rPr>
          <w:sz w:val="20"/>
          <w:szCs w:val="20"/>
          <w:color w:val="auto"/>
        </w:rPr>
      </w:pPr>
      <w:r>
        <w:rPr>
          <w:rFonts w:ascii="Arial" w:cs="Arial" w:eastAsia="Arial" w:hAnsi="Arial"/>
          <w:sz w:val="18"/>
          <w:szCs w:val="18"/>
          <w:color w:val="auto"/>
        </w:rPr>
        <w:t>based site, whether such electronic system is owned, operated or hosted by the Administrative Agent and the Issuing Bank and any of its respective Related Persons or any other Person, providing for access to data protected by passcodes or other security systems.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Assignee</w:t>
      </w:r>
      <w:r>
        <w:rPr>
          <w:rFonts w:ascii="Arial" w:cs="Arial" w:eastAsia="Arial" w:hAnsi="Arial"/>
          <w:sz w:val="18"/>
          <w:szCs w:val="18"/>
          <w:color w:val="auto"/>
        </w:rPr>
        <w:t>” means (i) a Lender (other than a Defaulting Lender), (ii) an Affiliate of a Lender, (iii) an Approved Fund, and</w:t>
      </w:r>
    </w:p>
    <w:p>
      <w:pPr>
        <w:spacing w:after="0" w:line="12" w:lineRule="exact"/>
        <w:rPr>
          <w:sz w:val="20"/>
          <w:szCs w:val="20"/>
          <w:color w:val="auto"/>
        </w:rPr>
      </w:pPr>
    </w:p>
    <w:p>
      <w:pPr>
        <w:jc w:val="both"/>
        <w:ind w:right="420" w:firstLine="8"/>
        <w:spacing w:after="0" w:line="212" w:lineRule="auto"/>
        <w:tabs>
          <w:tab w:leader="none" w:pos="33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any other Person (other than a natural Person) approved by (A) the Administrative Agent, (B) the Issuing Bank in the case of an assignment of a Revolving Commitment, and (C) unless an Event of Default under Section 7.01(a), (b), (h) or (i) has occurred and is continuing, the Company (each such approval not to be unreasonably withheld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notwithstanding the foregoing, “Eligible Assignee” shall not include (a) the Company or any of the Company’s Affiliates or Subsidiaries, (b) any Defaulting Lender or (c) any Competitor.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means all laws, rules, regulations, codes, ordinances, orders, decrees, or other binding requirements issued,</w:t>
      </w:r>
    </w:p>
    <w:p>
      <w:pPr>
        <w:spacing w:after="0" w:line="35" w:lineRule="exact"/>
        <w:rPr>
          <w:sz w:val="20"/>
          <w:szCs w:val="20"/>
          <w:color w:val="auto"/>
        </w:rPr>
      </w:pPr>
    </w:p>
    <w:p>
      <w:pPr>
        <w:ind w:right="540"/>
        <w:spacing w:after="0" w:line="220" w:lineRule="auto"/>
        <w:rPr>
          <w:sz w:val="20"/>
          <w:szCs w:val="20"/>
          <w:color w:val="auto"/>
        </w:rPr>
      </w:pPr>
      <w:r>
        <w:rPr>
          <w:rFonts w:ascii="Arial" w:cs="Arial" w:eastAsia="Arial" w:hAnsi="Arial"/>
          <w:sz w:val="20"/>
          <w:szCs w:val="20"/>
          <w:color w:val="auto"/>
        </w:rPr>
        <w:t>promulgated or entered into by any Governmental Authority, relating to pollution, the preservation or protection of the environment or natural resources, the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182"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manufacture, use, labeling, treatment, storage, handling, transportation or Release of any Hazardous Material or, to the extent involving or related to any of the foregoing, health and safety matters.</w:t>
      </w:r>
    </w:p>
    <w:p>
      <w:pPr>
        <w:spacing w:after="0" w:line="155"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the Company or any Subsidiary directly or indirectly resulting from or based upon (a) noncompliance with any</w:t>
      </w:r>
    </w:p>
    <w:p>
      <w:pPr>
        <w:spacing w:after="0" w:line="255" w:lineRule="auto"/>
        <w:rPr>
          <w:sz w:val="20"/>
          <w:szCs w:val="20"/>
          <w:color w:val="auto"/>
        </w:rPr>
      </w:pPr>
      <w:r>
        <w:rPr>
          <w:rFonts w:ascii="Arial" w:cs="Arial" w:eastAsia="Arial" w:hAnsi="Arial"/>
          <w:sz w:val="16"/>
          <w:szCs w:val="16"/>
          <w:color w:val="auto"/>
        </w:rPr>
        <w:t>Environmental Law, (b) the generation, use, handling, transportation, storage, treatment or disposal of any Hazardous Materials, (c) exposure to any Hazardous Materials, (d) the Release or threatened Release of any Hazardous Materials into the environment or (e) any contract,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agreement or other consensual arrangement pursuant to which liability is assumed or imposed with respect to any of the foregoing.</w:t>
      </w:r>
    </w:p>
    <w:p>
      <w:pPr>
        <w:spacing w:after="0" w:line="184" w:lineRule="exact"/>
        <w:rPr>
          <w:sz w:val="20"/>
          <w:szCs w:val="20"/>
          <w:color w:val="auto"/>
        </w:rPr>
      </w:pPr>
    </w:p>
    <w:p>
      <w:pPr>
        <w:ind w:right="48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Interest</w:t>
      </w:r>
      <w:r>
        <w:rPr>
          <w:rFonts w:ascii="Arial" w:cs="Arial" w:eastAsia="Arial" w:hAnsi="Arial"/>
          <w:sz w:val="16"/>
          <w:szCs w:val="16"/>
          <w:color w:val="auto"/>
        </w:rPr>
        <w:t>” means, with respect to any Person, any and all shares, interests, participations or other equivalents, including membership interests (however designated, whether voting or non-voting), of equity of such Person, including, if such Person is a</w:t>
      </w:r>
    </w:p>
    <w:p>
      <w:pPr>
        <w:spacing w:after="0" w:line="236" w:lineRule="auto"/>
        <w:rPr>
          <w:sz w:val="20"/>
          <w:szCs w:val="20"/>
          <w:color w:val="auto"/>
        </w:rPr>
      </w:pPr>
      <w:r>
        <w:rPr>
          <w:rFonts w:ascii="Arial" w:cs="Arial" w:eastAsia="Arial" w:hAnsi="Arial"/>
          <w:sz w:val="18"/>
          <w:szCs w:val="18"/>
          <w:color w:val="auto"/>
        </w:rPr>
        <w:t>partnership, partnership interests (whether general or limited) or any other interest or participation that confers on a Person the right to</w:t>
      </w:r>
    </w:p>
    <w:p>
      <w:pPr>
        <w:spacing w:after="0" w:line="220" w:lineRule="auto"/>
        <w:rPr>
          <w:sz w:val="20"/>
          <w:szCs w:val="20"/>
          <w:color w:val="auto"/>
        </w:rPr>
      </w:pPr>
      <w:r>
        <w:rPr>
          <w:rFonts w:ascii="Arial" w:cs="Arial" w:eastAsia="Arial" w:hAnsi="Arial"/>
          <w:sz w:val="20"/>
          <w:szCs w:val="20"/>
          <w:color w:val="auto"/>
        </w:rPr>
        <w:t>receive a share of the profits and losses of, or distributions of assets of, such partnership, but in no event will Equity Interest include any debt securities convertible or exchangeable into equity unless and until actually converted or exchanged.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means the Employee Retirement Income Security Act of 1974, as amended from time to time.</w:t>
      </w:r>
    </w:p>
    <w:p>
      <w:pPr>
        <w:spacing w:after="0" w:line="189" w:lineRule="exact"/>
        <w:rPr>
          <w:sz w:val="20"/>
          <w:szCs w:val="20"/>
          <w:color w:val="auto"/>
        </w:rPr>
      </w:pPr>
    </w:p>
    <w:p>
      <w:pPr>
        <w:ind w:right="6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means any trade or business (whether or not incorporated) that, together with the Company, is treated as a single employer under Section 414(b) or (c) of the Code or, solely for purposes of Section 302 of ERISA and Section 412 of the Code, is treated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 single employer under Section 414 of the Code.</w:t>
      </w:r>
    </w:p>
    <w:p>
      <w:pPr>
        <w:spacing w:after="0" w:line="173" w:lineRule="exact"/>
        <w:rPr>
          <w:sz w:val="20"/>
          <w:szCs w:val="20"/>
          <w:color w:val="auto"/>
        </w:rPr>
      </w:pPr>
    </w:p>
    <w:p>
      <w:pPr>
        <w:ind w:right="28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the failure of the Company or any of its ERISA</w:t>
      </w:r>
    </w:p>
    <w:p>
      <w:pPr>
        <w:ind w:right="80"/>
        <w:spacing w:after="0" w:line="226" w:lineRule="auto"/>
        <w:rPr>
          <w:sz w:val="20"/>
          <w:szCs w:val="20"/>
          <w:color w:val="auto"/>
        </w:rPr>
      </w:pPr>
      <w:r>
        <w:rPr>
          <w:rFonts w:ascii="Arial" w:cs="Arial" w:eastAsia="Arial" w:hAnsi="Arial"/>
          <w:sz w:val="18"/>
          <w:szCs w:val="18"/>
          <w:color w:val="auto"/>
        </w:rPr>
        <w:t>Affiliates to satisfy the minimum funding standard of Section 412 and 430 of the Code or Sections 302 or 303 of ERISA with respect to any Plan, whether or not waived; (c) the filing pursuant to Section 412(c) of the Code or Section 303(c) of ERISA of an application for a waiver</w:t>
      </w:r>
    </w:p>
    <w:p>
      <w:pPr>
        <w:spacing w:after="0" w:line="236" w:lineRule="auto"/>
        <w:rPr>
          <w:sz w:val="20"/>
          <w:szCs w:val="20"/>
          <w:color w:val="auto"/>
        </w:rPr>
      </w:pPr>
      <w:r>
        <w:rPr>
          <w:rFonts w:ascii="Arial" w:cs="Arial" w:eastAsia="Arial" w:hAnsi="Arial"/>
          <w:sz w:val="18"/>
          <w:szCs w:val="18"/>
          <w:color w:val="auto"/>
        </w:rPr>
        <w:t>of the minimum funding standard with respect to any Plan; (d) the incurrence by the Company or any of its ERISA Affiliates of any liability</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under Title IV of ERISA (other than for PBGC premiums due but not delinquent under Section 4007 of ERISA) with respect to the termination of any Plan; (e) the receipt by the Company or any ERISA Affiliate from the PBGC or a plan administrator of any notice of</w:t>
      </w:r>
    </w:p>
    <w:p>
      <w:pPr>
        <w:spacing w:after="0" w:line="236" w:lineRule="auto"/>
        <w:rPr>
          <w:sz w:val="20"/>
          <w:szCs w:val="20"/>
          <w:color w:val="auto"/>
        </w:rPr>
      </w:pPr>
      <w:r>
        <w:rPr>
          <w:rFonts w:ascii="Arial" w:cs="Arial" w:eastAsia="Arial" w:hAnsi="Arial"/>
          <w:sz w:val="18"/>
          <w:szCs w:val="18"/>
          <w:color w:val="auto"/>
        </w:rPr>
        <w:t>intent to terminate any Plan or Plans or to appoint a trustee to administer any Plan; (f) the incurrence by the Company or any of its ERISA</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Affiliates of any liability with respect to the withdrawal or partial withdrawal (within the meanings of Sections 4203 and 4205 of ERISA) from any Multiemployer Plan; or (g) the receipt by the Company or any ERISA Affiliate of any notice, or the receipt by any Multiemployer</w:t>
      </w:r>
    </w:p>
    <w:p>
      <w:pPr>
        <w:spacing w:after="0" w:line="2" w:lineRule="exact"/>
        <w:rPr>
          <w:sz w:val="20"/>
          <w:szCs w:val="20"/>
          <w:color w:val="auto"/>
        </w:rPr>
      </w:pPr>
    </w:p>
    <w:p>
      <w:pPr>
        <w:ind w:right="240"/>
        <w:spacing w:after="0" w:line="239" w:lineRule="auto"/>
        <w:rPr>
          <w:sz w:val="20"/>
          <w:szCs w:val="20"/>
          <w:color w:val="auto"/>
        </w:rPr>
      </w:pPr>
      <w:r>
        <w:rPr>
          <w:rFonts w:ascii="Arial" w:cs="Arial" w:eastAsia="Arial" w:hAnsi="Arial"/>
          <w:sz w:val="19"/>
          <w:szCs w:val="19"/>
          <w:color w:val="auto"/>
        </w:rPr>
        <w:t>Plan from the Company or any ERISA Affiliate of any notice, concerning the imposition of Withdrawal Liability or a determination that a Multiemployer Plan is, or is expected to be, insolvent or in reorganization, within the meaning of Title IV of ERISA.</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w:t>
      </w:r>
      <w:r>
        <w:rPr>
          <w:rFonts w:ascii="Arial" w:cs="Arial" w:eastAsia="Arial" w:hAnsi="Arial"/>
          <w:sz w:val="20"/>
          <w:szCs w:val="20"/>
          <w:color w:val="auto"/>
        </w:rPr>
        <w:t>” has the meaning assigned to it in Section 8.02(a).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Deficiency Assignment</w:t>
      </w:r>
      <w:r>
        <w:rPr>
          <w:rFonts w:ascii="Arial" w:cs="Arial" w:eastAsia="Arial" w:hAnsi="Arial"/>
          <w:sz w:val="20"/>
          <w:szCs w:val="20"/>
          <w:color w:val="auto"/>
        </w:rPr>
        <w:t>” has the meaning assigned to it in Section 8.02(d)(i).</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Impacted Class</w:t>
      </w:r>
      <w:r>
        <w:rPr>
          <w:rFonts w:ascii="Arial" w:cs="Arial" w:eastAsia="Arial" w:hAnsi="Arial"/>
          <w:sz w:val="20"/>
          <w:szCs w:val="20"/>
          <w:color w:val="auto"/>
        </w:rPr>
        <w:t>” has the meaning assigned to it in Section 8.02(d)(i).</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Return Deficiency</w:t>
      </w:r>
      <w:r>
        <w:rPr>
          <w:rFonts w:ascii="Arial" w:cs="Arial" w:eastAsia="Arial" w:hAnsi="Arial"/>
          <w:sz w:val="20"/>
          <w:szCs w:val="20"/>
          <w:color w:val="auto"/>
        </w:rPr>
        <w:t>” has the meaning assigned to it in Section 8.02(d)(i).</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Subrogation Rights</w:t>
      </w:r>
      <w:r>
        <w:rPr>
          <w:rFonts w:ascii="Arial" w:cs="Arial" w:eastAsia="Arial" w:hAnsi="Arial"/>
          <w:sz w:val="20"/>
          <w:szCs w:val="20"/>
          <w:color w:val="auto"/>
        </w:rPr>
        <w:t>” has the meaning assigned to it in Section 8.02(e).</w:t>
      </w:r>
    </w:p>
    <w:p>
      <w:pPr>
        <w:spacing w:after="0" w:line="189" w:lineRule="exact"/>
        <w:rPr>
          <w:sz w:val="20"/>
          <w:szCs w:val="20"/>
          <w:color w:val="auto"/>
        </w:rPr>
      </w:pPr>
    </w:p>
    <w:p>
      <w:pPr>
        <w:ind w:right="1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xml:space="preserve">” means the EU Bail-In Legislation Schedule published by the Loan Market Association (or any successor </w:t>
      </w:r>
      <w:r>
        <w:rPr>
          <w:rFonts w:ascii="Arial" w:cs="Arial" w:eastAsia="Arial" w:hAnsi="Arial"/>
          <w:sz w:val="20"/>
          <w:szCs w:val="20"/>
          <w:color w:val="FF0000"/>
          <w:strike w:val="1"/>
        </w:rPr>
        <w:t>person</w:t>
      </w:r>
      <w:r>
        <w:rPr>
          <w:rFonts w:ascii="Arial" w:cs="Arial" w:eastAsia="Arial" w:hAnsi="Arial"/>
          <w:sz w:val="20"/>
          <w:szCs w:val="20"/>
          <w:u w:val="single" w:color="auto"/>
          <w:color w:val="0000FF"/>
        </w:rPr>
        <w:t>Person</w:t>
      </w:r>
      <w:r>
        <w:rPr>
          <w:rFonts w:ascii="Arial" w:cs="Arial" w:eastAsia="Arial" w:hAnsi="Arial"/>
          <w:sz w:val="20"/>
          <w:szCs w:val="20"/>
          <w:color w:val="auto"/>
        </w:rPr>
        <w:t>),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20" w:top="1440" w:right="399" w:bottom="1440" w:gutter="0" w:footer="0" w:header="0"/>
        </w:sectPr>
      </w:pPr>
    </w:p>
    <w:bookmarkStart w:id="142" w:name="page143"/>
    <w:bookmarkEnd w:id="142"/>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EURIBOR</w:t>
      </w:r>
      <w:r>
        <w:rPr>
          <w:rFonts w:ascii="Arial" w:cs="Arial" w:eastAsia="Arial" w:hAnsi="Arial"/>
          <w:sz w:val="20"/>
          <w:szCs w:val="20"/>
          <w:color w:val="auto"/>
        </w:rPr>
        <w:t>” means, in relation to any Loan or Letter of Credit denominated in Euro and for the relevant Interest Period, the</w:t>
      </w:r>
    </w:p>
    <w:p>
      <w:pPr>
        <w:ind w:right="160"/>
        <w:spacing w:after="0" w:line="255" w:lineRule="auto"/>
        <w:rPr>
          <w:sz w:val="20"/>
          <w:szCs w:val="20"/>
          <w:color w:val="auto"/>
        </w:rPr>
      </w:pPr>
      <w:r>
        <w:rPr>
          <w:rFonts w:ascii="Arial" w:cs="Arial" w:eastAsia="Arial" w:hAnsi="Arial"/>
          <w:sz w:val="16"/>
          <w:szCs w:val="16"/>
          <w:color w:val="auto"/>
        </w:rPr>
        <w:t>percentage rate per annum determined by the European Money Markets Institute (or any other Person that takes over administration of such rate) for the duration of the applicable Interest Period denominated in Euro, as published by Reuters (or another commercially available</w:t>
      </w:r>
    </w:p>
    <w:p>
      <w:pPr>
        <w:spacing w:after="0" w:line="235" w:lineRule="auto"/>
        <w:rPr>
          <w:sz w:val="20"/>
          <w:szCs w:val="20"/>
          <w:color w:val="auto"/>
        </w:rPr>
      </w:pPr>
      <w:r>
        <w:rPr>
          <w:rFonts w:ascii="Arial" w:cs="Arial" w:eastAsia="Arial" w:hAnsi="Arial"/>
          <w:sz w:val="18"/>
          <w:szCs w:val="18"/>
          <w:color w:val="auto"/>
        </w:rPr>
        <w:t>source providing quotations of EURIBOR as designated by the Administrative Agent from time to time) at or about 11:00 a.m. (Brussels</w:t>
      </w:r>
    </w:p>
    <w:p>
      <w:pPr>
        <w:spacing w:after="0" w:line="226" w:lineRule="auto"/>
        <w:rPr>
          <w:sz w:val="20"/>
          <w:szCs w:val="20"/>
          <w:color w:val="auto"/>
        </w:rPr>
      </w:pPr>
      <w:r>
        <w:rPr>
          <w:rFonts w:ascii="Arial" w:cs="Arial" w:eastAsia="Arial" w:hAnsi="Arial"/>
          <w:sz w:val="18"/>
          <w:szCs w:val="18"/>
          <w:color w:val="auto"/>
        </w:rPr>
        <w:t>time) on the date which is two (2) Business Days prior to the commencement of such Interest Period for deposits in Euros (for delivery on the first day of such Interest Period) with a term equivalent to such EURIBOR period (and, if any such rate is less than 0%, then “EURIBOR”</w:t>
      </w:r>
    </w:p>
    <w:p>
      <w:pPr>
        <w:spacing w:after="0" w:line="236" w:lineRule="auto"/>
        <w:rPr>
          <w:sz w:val="20"/>
          <w:szCs w:val="20"/>
          <w:color w:val="auto"/>
        </w:rPr>
      </w:pPr>
      <w:r>
        <w:rPr>
          <w:rFonts w:ascii="Arial" w:cs="Arial" w:eastAsia="Arial" w:hAnsi="Arial"/>
          <w:sz w:val="18"/>
          <w:szCs w:val="18"/>
          <w:color w:val="auto"/>
        </w:rPr>
        <w:t>shall be deemed to be 0%). In the event that such rate is not available at such time for any reason, then “EURIBOR” for such Interest Period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shall be the rate per annum determined by the Administrative Agent to be the rate at which the Administrative Agent’s London branch (or other branch or Affiliate) would offer in the European interbank market at approximately 11:00 a.m. (London time) two Business Days prior</w:t>
      </w:r>
    </w:p>
    <w:p>
      <w:pPr>
        <w:spacing w:after="0" w:line="2" w:lineRule="exact"/>
        <w:rPr>
          <w:sz w:val="20"/>
          <w:szCs w:val="20"/>
          <w:color w:val="auto"/>
        </w:rPr>
      </w:pPr>
    </w:p>
    <w:p>
      <w:pPr>
        <w:ind w:right="360"/>
        <w:spacing w:after="0" w:line="227" w:lineRule="auto"/>
        <w:rPr>
          <w:sz w:val="20"/>
          <w:szCs w:val="20"/>
          <w:color w:val="auto"/>
        </w:rPr>
      </w:pPr>
      <w:r>
        <w:rPr>
          <w:rFonts w:ascii="Arial" w:cs="Arial" w:eastAsia="Arial" w:hAnsi="Arial"/>
          <w:sz w:val="20"/>
          <w:szCs w:val="20"/>
          <w:color w:val="auto"/>
        </w:rPr>
        <w:t>to the commencement of such Interest Period for deposits in Euros for delivery on the first day of such Interest Period in the approximate amount of such EURIBOR Loan being made or converted.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EURIBOR Loan</w:t>
      </w:r>
      <w:r>
        <w:rPr>
          <w:rFonts w:ascii="Arial" w:cs="Arial" w:eastAsia="Arial" w:hAnsi="Arial"/>
          <w:sz w:val="20"/>
          <w:szCs w:val="20"/>
          <w:color w:val="auto"/>
        </w:rPr>
        <w:t>” means each Loan that bears interest at a rate determined by reference to EURIBOR.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EURIBOR Option</w:t>
      </w:r>
      <w:r>
        <w:rPr>
          <w:rFonts w:ascii="Arial" w:cs="Arial" w:eastAsia="Arial" w:hAnsi="Arial"/>
          <w:sz w:val="20"/>
          <w:szCs w:val="20"/>
          <w:color w:val="auto"/>
        </w:rPr>
        <w:t>” means the option of a Borrower to have Loans or Letters of Credit bear interest at EURIBOR.</w:t>
      </w:r>
    </w:p>
    <w:p>
      <w:pPr>
        <w:spacing w:after="0" w:line="189" w:lineRule="exact"/>
        <w:rPr>
          <w:sz w:val="20"/>
          <w:szCs w:val="20"/>
          <w:color w:val="auto"/>
        </w:rPr>
      </w:pPr>
    </w:p>
    <w:p>
      <w:pPr>
        <w:ind w:right="720" w:firstLine="648"/>
        <w:spacing w:after="0" w:line="229"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Eurodollar</w:t>
      </w:r>
      <w:r>
        <w:rPr>
          <w:rFonts w:ascii="Arial" w:cs="Arial" w:eastAsia="Arial" w:hAnsi="Arial"/>
          <w:sz w:val="20"/>
          <w:szCs w:val="20"/>
          <w:color w:val="FF0000"/>
          <w:strike w:val="1"/>
        </w:rPr>
        <w:t>”, when used in reference to any Loan or Borrowing, refers to whether such Loan, or the Loans comprising such Borrowing, are bearing interest at a rate determined by reference to the Adjusted LIBO Rate.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means the single currency of the Participating Member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has the meaning assigned to such term in Section 7.01.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Loss</w:t>
      </w:r>
      <w:r>
        <w:rPr>
          <w:rFonts w:ascii="Arial" w:cs="Arial" w:eastAsia="Arial" w:hAnsi="Arial"/>
          <w:sz w:val="18"/>
          <w:szCs w:val="18"/>
          <w:color w:val="auto"/>
        </w:rPr>
        <w:t>” means, with respect to any property, (i) the actual or constructive total loss of such property or the use thereof,</w:t>
      </w:r>
    </w:p>
    <w:p>
      <w:pPr>
        <w:spacing w:after="0" w:line="12"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resulting from destruction, damage beyond repair, or the rendition of such property permanently unfit for normal use from any casualty or similar occurrence whatsoever, (ii) the destruction or damage of a portion of such property from any casualty or similar occurrence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whatsoever under circumstances in which such damage cannot reasonably be expected to be repaired, or such property cannot reasonably be</w:t>
      </w:r>
    </w:p>
    <w:p>
      <w:pPr>
        <w:spacing w:after="0" w:line="19"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expected to be restored to its condition immediately prior to such destruction or damage, within 90 days after the occurrence of such destruction or damage, (iii) the condemnation, confiscation or seizure of, or requisition of title to or use of, any property, or (iv) in the case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property located upon a leasehold, the termination or expiration of such leasehold.</w:t>
      </w:r>
    </w:p>
    <w:p>
      <w:pPr>
        <w:spacing w:after="0" w:line="17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Subsidiary</w:t>
      </w:r>
      <w:r>
        <w:rPr>
          <w:rFonts w:ascii="Arial" w:cs="Arial" w:eastAsia="Arial" w:hAnsi="Arial"/>
          <w:sz w:val="18"/>
          <w:szCs w:val="18"/>
          <w:color w:val="auto"/>
        </w:rPr>
        <w:t>” means (a) any Foreign Subsidiary, (b) any non-wholly owned Subsidiary, (c) any Domestic Subsidiary that is not a Material Subsidiary, (d) any captive insurance company that is a Subsidiary, (e) any special purpose entity created or acquired in</w:t>
      </w:r>
    </w:p>
    <w:p>
      <w:pPr>
        <w:ind w:right="200"/>
        <w:spacing w:after="0" w:line="266" w:lineRule="auto"/>
        <w:rPr>
          <w:sz w:val="20"/>
          <w:szCs w:val="20"/>
          <w:color w:val="auto"/>
        </w:rPr>
      </w:pPr>
      <w:r>
        <w:rPr>
          <w:rFonts w:ascii="Arial" w:cs="Arial" w:eastAsia="Arial" w:hAnsi="Arial"/>
          <w:sz w:val="18"/>
          <w:szCs w:val="18"/>
          <w:color w:val="auto"/>
        </w:rPr>
        <w:t>connection with, or which issues Indebtedness under, any Permitted Securitization Transaction and (f) any Subsidiary a guarantee by which would cause adverse tax consequences to the Company or any of its Subsidiaries as reasonably determined by the Company.</w:t>
      </w:r>
    </w:p>
    <w:p>
      <w:pPr>
        <w:spacing w:after="0" w:line="133" w:lineRule="exact"/>
        <w:rPr>
          <w:sz w:val="20"/>
          <w:szCs w:val="20"/>
          <w:color w:val="auto"/>
        </w:rPr>
      </w:pPr>
    </w:p>
    <w:p>
      <w:pPr>
        <w:ind w:right="80"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Swap Obligation</w:t>
      </w:r>
      <w:r>
        <w:rPr>
          <w:rFonts w:ascii="Arial" w:cs="Arial" w:eastAsia="Arial" w:hAnsi="Arial"/>
          <w:sz w:val="16"/>
          <w:szCs w:val="16"/>
          <w:color w:val="auto"/>
        </w:rPr>
        <w:t>” means, with respect to any Borrower or any Subsidiary Guarantor, (x) as it relates to all or a portion of the Subsidiary Guaranty of such Subsidiary Guarantor or the Guaranty in Article IX hereof of such Borrower, any Swap Obligation if, and to</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the extent that, such Swap Obligation (or any guarantee thereof) is or becomes illegal under the Commodity Exchange Act or any rule, regulation or order of the Commodity Futures Trading Commission (or the application or official interpretation of any thereof) by virtue of</w:t>
      </w:r>
    </w:p>
    <w:p>
      <w:pPr>
        <w:spacing w:after="0" w:line="224" w:lineRule="auto"/>
        <w:rPr>
          <w:sz w:val="20"/>
          <w:szCs w:val="20"/>
          <w:color w:val="auto"/>
        </w:rPr>
      </w:pPr>
      <w:r>
        <w:rPr>
          <w:rFonts w:ascii="Arial" w:cs="Arial" w:eastAsia="Arial" w:hAnsi="Arial"/>
          <w:sz w:val="19"/>
          <w:szCs w:val="19"/>
          <w:color w:val="auto"/>
        </w:rPr>
        <w:t>such Subsidiary Guarantor’s or such Borrower’s failure for any reason to constitute an “eligible contract participant” as defined in the</w:t>
      </w:r>
    </w:p>
    <w:p>
      <w:pPr>
        <w:ind w:right="120"/>
        <w:spacing w:after="0" w:line="255" w:lineRule="auto"/>
        <w:rPr>
          <w:sz w:val="20"/>
          <w:szCs w:val="20"/>
          <w:color w:val="auto"/>
        </w:rPr>
      </w:pPr>
      <w:r>
        <w:rPr>
          <w:rFonts w:ascii="Arial" w:cs="Arial" w:eastAsia="Arial" w:hAnsi="Arial"/>
          <w:sz w:val="16"/>
          <w:szCs w:val="16"/>
          <w:color w:val="auto"/>
        </w:rPr>
        <w:t>Commodity Exchange Act and the regulations thereunder at the time the guarantee of such Subsidiary Guarantor or such Borrower becomes effective with respect to such Swap Obligation or (y) as it relates to all or a portion of the grant by such Subsidiary Guarantor or such</w:t>
      </w:r>
    </w:p>
    <w:p>
      <w:pPr>
        <w:spacing w:after="0" w:line="1"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Borrower of a security interest, any Swap Obligation if, and to the extent that, such Swap Obligation (or such security interest in respect thereof) is or becomes illegal under the Commodity Exchange Act or any rule, regulation or order of the Commodity Futures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Commission (or the application or official interpretation of any thereof) by virtue of such Subsidiary Guarantor’s or such Borrower’s failure</w:t>
      </w:r>
    </w:p>
    <w:p>
      <w:pPr>
        <w:spacing w:after="0" w:line="1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for any reason to constitute an “eligible contract participant” as defined in the Commodity Exchange Act and the regulations thereunder at the time the security interest of such Subsidiary Guarantor or such Borrower becomes effective with respect to such Swap Obligation. If a</w:t>
      </w:r>
    </w:p>
    <w:p>
      <w:pPr>
        <w:spacing w:after="0" w:line="2" w:lineRule="exact"/>
        <w:rPr>
          <w:sz w:val="20"/>
          <w:szCs w:val="20"/>
          <w:color w:val="auto"/>
        </w:rPr>
      </w:pPr>
    </w:p>
    <w:p>
      <w:pPr>
        <w:ind w:right="400"/>
        <w:spacing w:after="0" w:line="239" w:lineRule="auto"/>
        <w:rPr>
          <w:sz w:val="20"/>
          <w:szCs w:val="20"/>
          <w:color w:val="auto"/>
        </w:rPr>
      </w:pPr>
      <w:r>
        <w:rPr>
          <w:rFonts w:ascii="Arial" w:cs="Arial" w:eastAsia="Arial" w:hAnsi="Arial"/>
          <w:sz w:val="19"/>
          <w:szCs w:val="19"/>
          <w:color w:val="auto"/>
        </w:rPr>
        <w:t>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6" w:lineRule="exact"/>
        <w:rPr>
          <w:sz w:val="20"/>
          <w:szCs w:val="20"/>
          <w:color w:val="auto"/>
        </w:rPr>
      </w:pPr>
    </w:p>
    <w:p>
      <w:pPr>
        <w:ind w:right="420"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or (ii) that are Other Connection Taxes, (b) in the case of a Recipient, U.S. federal Taxes imposed on amounts payable to or for the account of</w:t>
      </w:r>
    </w:p>
    <w:p>
      <w:pPr>
        <w:spacing w:after="0" w:line="1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such Recipient pursuant to a law in effect on the date on which (i) such Recipient acquires such interest in the Loan or Commitment or becomes a party to this Agreement (other than pursuant to an assignment request by a Borrower under Section 2.19(b)) or (ii) such Recipient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(if the Recipient is a Lender) changes its lending office, except in each case to the extent that, pursuant to Section 2.17, amounts with respect</w:t>
      </w:r>
    </w:p>
    <w:p>
      <w:pPr>
        <w:spacing w:after="0" w:line="19"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to such Taxes were payable either to such Recipient’s assignor immediately before such Recipient acquired such interest in the Loan or Commitment or became a party hereto or to such Recipient immediately before it changed its lending office, (c) Taxes attributable to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Recipient’s failure to comply with Section 2.17(f) and (g), and (d) any U.S. federal Taxes imposed under FATCA.</w:t>
      </w:r>
    </w:p>
    <w:p>
      <w:pPr>
        <w:spacing w:after="0" w:line="173" w:lineRule="exact"/>
        <w:rPr>
          <w:sz w:val="20"/>
          <w:szCs w:val="20"/>
          <w:color w:val="auto"/>
        </w:rPr>
      </w:pPr>
    </w:p>
    <w:p>
      <w:pPr>
        <w:ind w:right="2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Credit Agreement</w:t>
      </w:r>
      <w:r>
        <w:rPr>
          <w:rFonts w:ascii="Arial" w:cs="Arial" w:eastAsia="Arial" w:hAnsi="Arial"/>
          <w:sz w:val="16"/>
          <w:szCs w:val="16"/>
          <w:color w:val="auto"/>
        </w:rPr>
        <w:t>” means that certain Revolving Credit and Term Loan Agreement, dated as of March 1, 2016, among the Company, the other borrowers party thereto, the lenders party thereto, KeyBank National Association, as administrative agent, and the other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parties thereto, as amended, supplemented or otherwise modified through the date hereof.</w:t>
      </w:r>
    </w:p>
    <w:p>
      <w:pPr>
        <w:spacing w:after="0" w:line="159" w:lineRule="exact"/>
        <w:rPr>
          <w:sz w:val="20"/>
          <w:szCs w:val="20"/>
          <w:color w:val="auto"/>
        </w:rPr>
      </w:pPr>
    </w:p>
    <w:p>
      <w:pPr>
        <w:ind w:right="10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DNB Term Loan Agreement</w:t>
      </w:r>
      <w:r>
        <w:rPr>
          <w:rFonts w:ascii="Arial" w:cs="Arial" w:eastAsia="Arial" w:hAnsi="Arial"/>
          <w:sz w:val="20"/>
          <w:szCs w:val="20"/>
          <w:color w:val="auto"/>
        </w:rPr>
        <w:t>” means that certain Loan Agreement, dated as of November 1, 2017, among the Company, the lenders party thereto and DNB Bank ASA, New York Branch, as administrative agent, as amended, supplemented or otherwise modified through the date hereof.</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Hedge Agreement</w:t>
      </w:r>
      <w:r>
        <w:rPr>
          <w:rFonts w:ascii="Arial" w:cs="Arial" w:eastAsia="Arial" w:hAnsi="Arial"/>
          <w:sz w:val="20"/>
          <w:szCs w:val="20"/>
          <w:color w:val="auto"/>
        </w:rPr>
        <w:t xml:space="preserve">” means the existing Hedge Agreements identified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Letter of Credit</w:t>
      </w:r>
      <w:r>
        <w:rPr>
          <w:rFonts w:ascii="Arial" w:cs="Arial" w:eastAsia="Arial" w:hAnsi="Arial"/>
          <w:sz w:val="20"/>
          <w:szCs w:val="20"/>
          <w:color w:val="auto"/>
        </w:rPr>
        <w:t xml:space="preserve">” means each letter of credit identified on </w:t>
      </w:r>
      <w:r>
        <w:rPr>
          <w:rFonts w:ascii="Arial" w:cs="Arial" w:eastAsia="Arial" w:hAnsi="Arial"/>
          <w:sz w:val="20"/>
          <w:szCs w:val="20"/>
          <w:u w:val="single" w:color="auto"/>
          <w:color w:val="auto"/>
        </w:rPr>
        <w:t>Schedule 1.01(d)</w:t>
      </w:r>
      <w:r>
        <w:rPr>
          <w:rFonts w:ascii="Arial" w:cs="Arial" w:eastAsia="Arial" w:hAnsi="Arial"/>
          <w:sz w:val="20"/>
          <w:szCs w:val="20"/>
          <w:color w:val="auto"/>
        </w:rPr>
        <w:t>.</w:t>
      </w:r>
    </w:p>
    <w:p>
      <w:pPr>
        <w:spacing w:after="0" w:line="189" w:lineRule="exact"/>
        <w:rPr>
          <w:sz w:val="20"/>
          <w:szCs w:val="20"/>
          <w:color w:val="auto"/>
        </w:rPr>
      </w:pPr>
    </w:p>
    <w:p>
      <w:pPr>
        <w:ind w:right="24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PNC Term Loan Agreement</w:t>
      </w:r>
      <w:r>
        <w:rPr>
          <w:rFonts w:ascii="Arial" w:cs="Arial" w:eastAsia="Arial" w:hAnsi="Arial"/>
          <w:sz w:val="16"/>
          <w:szCs w:val="16"/>
          <w:color w:val="auto"/>
        </w:rPr>
        <w:t>” means that certain Loan Agreement, dated as of November 1, 2018, among the Company, the lenders party thereto and PNC Bank, National Association, as administrative agent, as amended, supplemented or otherwise modified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through the date 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Extended Maturity Date</w:t>
      </w:r>
      <w:r>
        <w:rPr>
          <w:rFonts w:ascii="Arial" w:cs="Arial" w:eastAsia="Arial" w:hAnsi="Arial"/>
          <w:sz w:val="20"/>
          <w:szCs w:val="20"/>
          <w:color w:val="auto"/>
        </w:rPr>
        <w:t>” has the meaning assigned to such term in Section 2.22(a).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Extending Lender</w:t>
      </w:r>
      <w:r>
        <w:rPr>
          <w:rFonts w:ascii="Arial" w:cs="Arial" w:eastAsia="Arial" w:hAnsi="Arial"/>
          <w:sz w:val="20"/>
          <w:szCs w:val="20"/>
          <w:color w:val="auto"/>
        </w:rPr>
        <w:t>” has the meaning assigned to such term in Section 2.22(b).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Extension Date</w:t>
      </w:r>
      <w:r>
        <w:rPr>
          <w:rFonts w:ascii="Arial" w:cs="Arial" w:eastAsia="Arial" w:hAnsi="Arial"/>
          <w:sz w:val="20"/>
          <w:szCs w:val="20"/>
          <w:color w:val="auto"/>
        </w:rPr>
        <w:t>” has the meaning assigned to such term in Section 2.22(a).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means each of the Term Loan Facility and the Revolving Facility (and collectively, the “</w:t>
      </w:r>
      <w:r>
        <w:rPr>
          <w:rFonts w:ascii="Arial" w:cs="Arial" w:eastAsia="Arial" w:hAnsi="Arial"/>
          <w:sz w:val="20"/>
          <w:szCs w:val="20"/>
          <w:b w:val="1"/>
          <w:bCs w:val="1"/>
          <w:i w:val="1"/>
          <w:iCs w:val="1"/>
          <w:color w:val="auto"/>
        </w:rPr>
        <w:t>Facilities</w:t>
      </w:r>
      <w:r>
        <w:rPr>
          <w:rFonts w:ascii="Arial" w:cs="Arial" w:eastAsia="Arial" w:hAnsi="Arial"/>
          <w:sz w:val="20"/>
          <w:szCs w:val="20"/>
          <w:color w:val="auto"/>
        </w:rPr>
        <w:t>”).</w:t>
      </w:r>
    </w:p>
    <w:p>
      <w:pPr>
        <w:spacing w:after="0" w:line="175"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w:t>
      </w:r>
    </w:p>
    <w:p>
      <w:pPr>
        <w:ind w:right="300"/>
        <w:spacing w:after="0" w:line="255" w:lineRule="auto"/>
        <w:rPr>
          <w:sz w:val="20"/>
          <w:szCs w:val="20"/>
          <w:color w:val="auto"/>
        </w:rPr>
      </w:pPr>
      <w:r>
        <w:rPr>
          <w:rFonts w:ascii="Arial" w:cs="Arial" w:eastAsia="Arial" w:hAnsi="Arial"/>
          <w:sz w:val="16"/>
          <w:szCs w:val="16"/>
          <w:color w:val="auto"/>
        </w:rPr>
        <w:t>thereof, any agreements entered into pursuant to Section 1471(b)(1) of the Code and any fiscal or regulatory legislation, rules or official practices adopted pursuant to any intergovernmental agreement, treaty or convention among Governmental Authorities and implementing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Sections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Federal Funds Effective Rate</w:t>
      </w:r>
      <w:r>
        <w:rPr>
          <w:rFonts w:ascii="Arial" w:cs="Arial" w:eastAsia="Arial" w:hAnsi="Arial"/>
          <w:sz w:val="18"/>
          <w:szCs w:val="18"/>
          <w:color w:val="auto"/>
        </w:rPr>
        <w:t>” means, for any day, the weighted average (rounded upwards, if necessary, to the next 1/100 of 1%)</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of the rates on overnight Federal funds transactions with members of the Federal Reserve System arranged by Federal funds brokers, as published on the next succeeding Business Day by the Federal Reserve Bank of New York, or, if such rate is not so published for any day that</w:t>
      </w:r>
    </w:p>
    <w:p>
      <w:pPr>
        <w:spacing w:after="0" w:line="235" w:lineRule="auto"/>
        <w:rPr>
          <w:sz w:val="20"/>
          <w:szCs w:val="20"/>
          <w:color w:val="auto"/>
        </w:rPr>
      </w:pPr>
      <w:r>
        <w:rPr>
          <w:rFonts w:ascii="Arial" w:cs="Arial" w:eastAsia="Arial" w:hAnsi="Arial"/>
          <w:sz w:val="18"/>
          <w:szCs w:val="18"/>
          <w:color w:val="auto"/>
        </w:rPr>
        <w:t>is a Business Day, the average (rounded upwards, if necessary, to the next 1/100 of 1%) of the quotations for such day for such transactions</w:t>
      </w:r>
    </w:p>
    <w:p>
      <w:pPr>
        <w:ind w:right="220"/>
        <w:spacing w:after="0" w:line="220" w:lineRule="auto"/>
        <w:rPr>
          <w:sz w:val="20"/>
          <w:szCs w:val="20"/>
          <w:color w:val="auto"/>
        </w:rPr>
      </w:pPr>
      <w:r>
        <w:rPr>
          <w:rFonts w:ascii="Arial" w:cs="Arial" w:eastAsia="Arial" w:hAnsi="Arial"/>
          <w:sz w:val="20"/>
          <w:szCs w:val="20"/>
          <w:color w:val="auto"/>
        </w:rPr>
        <w:t xml:space="preserve">received by the Administrative Agent from three Federal funds brokers of recognized standing selected by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will the Federal Funds Effective Rate be less than 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Financial Covenants</w:t>
      </w:r>
      <w:r>
        <w:rPr>
          <w:rFonts w:ascii="Arial" w:cs="Arial" w:eastAsia="Arial" w:hAnsi="Arial"/>
          <w:sz w:val="20"/>
          <w:szCs w:val="20"/>
          <w:color w:val="auto"/>
        </w:rPr>
        <w:t>” means the financial covenants set forth in Section 6.06.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Financial Officer</w:t>
      </w:r>
      <w:r>
        <w:rPr>
          <w:rFonts w:ascii="Arial" w:cs="Arial" w:eastAsia="Arial" w:hAnsi="Arial"/>
          <w:sz w:val="19"/>
          <w:szCs w:val="19"/>
          <w:color w:val="auto"/>
        </w:rPr>
        <w:t>” means the chief financial officer, principal accounting officer, treasurer or controller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Currency Borrowing</w:t>
      </w:r>
      <w:r>
        <w:rPr>
          <w:rFonts w:ascii="Arial" w:cs="Arial" w:eastAsia="Arial" w:hAnsi="Arial"/>
          <w:sz w:val="20"/>
          <w:szCs w:val="20"/>
          <w:color w:val="auto"/>
        </w:rPr>
        <w:t>” means a Borrowing of Foreign Currency Loans.</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Currency Loan</w:t>
      </w:r>
      <w:r>
        <w:rPr>
          <w:rFonts w:ascii="Arial" w:cs="Arial" w:eastAsia="Arial" w:hAnsi="Arial"/>
          <w:sz w:val="20"/>
          <w:szCs w:val="20"/>
          <w:color w:val="auto"/>
        </w:rPr>
        <w:t>” means each Revolving Loan denominated in a Designated Foreign Currency and bearing interest at a rate based upon the Adjusted Foreign Currency Rate.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Lender</w:t>
      </w:r>
      <w:r>
        <w:rPr>
          <w:rFonts w:ascii="Arial" w:cs="Arial" w:eastAsia="Arial" w:hAnsi="Arial"/>
          <w:sz w:val="20"/>
          <w:szCs w:val="20"/>
          <w:color w:val="auto"/>
        </w:rPr>
        <w:t>” means a Recipient that is not a U.S.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means any Subsidiary that is not a Domestic Subsidiary.</w:t>
      </w:r>
    </w:p>
    <w:p>
      <w:pPr>
        <w:spacing w:after="0" w:line="189" w:lineRule="exact"/>
        <w:rPr>
          <w:sz w:val="20"/>
          <w:szCs w:val="20"/>
          <w:color w:val="auto"/>
        </w:rPr>
      </w:pPr>
    </w:p>
    <w:p>
      <w:pPr>
        <w:ind w:right="3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FSHCO</w:t>
      </w:r>
      <w:r>
        <w:rPr>
          <w:rFonts w:ascii="Arial" w:cs="Arial" w:eastAsia="Arial" w:hAnsi="Arial"/>
          <w:sz w:val="20"/>
          <w:szCs w:val="20"/>
          <w:color w:val="auto"/>
        </w:rPr>
        <w:t>” means any Subsidiary substantially all of the assets of which consist of Equity Interests and/or Indebtedness of one or more Foreign Subsidiaries.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GAAP</w:t>
      </w:r>
      <w:r>
        <w:rPr>
          <w:rFonts w:ascii="Arial" w:cs="Arial" w:eastAsia="Arial" w:hAnsi="Arial"/>
          <w:sz w:val="20"/>
          <w:szCs w:val="20"/>
          <w:color w:val="auto"/>
        </w:rPr>
        <w:t>” means generally accepted accounting principles in the United States of America.</w:t>
      </w:r>
    </w:p>
    <w:p>
      <w:pPr>
        <w:spacing w:after="0" w:line="189" w:lineRule="exact"/>
        <w:rPr>
          <w:sz w:val="20"/>
          <w:szCs w:val="20"/>
          <w:color w:val="auto"/>
        </w:rPr>
      </w:pPr>
    </w:p>
    <w:p>
      <w:pPr>
        <w:ind w:right="4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w:t>
      </w:r>
    </w:p>
    <w:p>
      <w:pPr>
        <w:ind w:right="120"/>
        <w:spacing w:after="0" w:line="232" w:lineRule="auto"/>
        <w:rPr>
          <w:sz w:val="20"/>
          <w:szCs w:val="20"/>
          <w:color w:val="auto"/>
        </w:rPr>
      </w:pPr>
      <w:r>
        <w:rPr>
          <w:rFonts w:ascii="Arial" w:cs="Arial" w:eastAsia="Arial" w:hAnsi="Arial"/>
          <w:sz w:val="19"/>
          <w:szCs w:val="19"/>
          <w:color w:val="auto"/>
        </w:rPr>
        <w:t>executive, legislative, judicial, taxing, regulatory or administrative powers or functions of or pertaining to government (including any supra-national bodies exercising such powers or functions, such as the European Union or European Central Bank).</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 Obligation</w:t>
      </w:r>
      <w:r>
        <w:rPr>
          <w:rFonts w:ascii="Arial" w:cs="Arial" w:eastAsia="Arial" w:hAnsi="Arial"/>
          <w:sz w:val="19"/>
          <w:szCs w:val="19"/>
          <w:color w:val="auto"/>
        </w:rPr>
        <w:t>” of or by any Person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means any obligation, contingent or otherwise, of the guarantor</w:t>
      </w:r>
    </w:p>
    <w:p>
      <w:pPr>
        <w:ind w:right="60"/>
        <w:spacing w:after="0" w:line="255" w:lineRule="auto"/>
        <w:rPr>
          <w:sz w:val="20"/>
          <w:szCs w:val="20"/>
          <w:color w:val="auto"/>
        </w:rPr>
      </w:pPr>
      <w:r>
        <w:rPr>
          <w:rFonts w:ascii="Arial" w:cs="Arial" w:eastAsia="Arial" w:hAnsi="Arial"/>
          <w:sz w:val="16"/>
          <w:szCs w:val="16"/>
          <w:color w:val="auto"/>
        </w:rPr>
        <w:t>guaranteeing or having the economic effect of guaranteeing any Indebtedness or other obligation of any other Person (the “</w:t>
      </w:r>
      <w:r>
        <w:rPr>
          <w:rFonts w:ascii="Arial" w:cs="Arial" w:eastAsia="Arial" w:hAnsi="Arial"/>
          <w:sz w:val="16"/>
          <w:szCs w:val="16"/>
          <w:b w:val="1"/>
          <w:bCs w:val="1"/>
          <w:i w:val="1"/>
          <w:iCs w:val="1"/>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w:t>
      </w:r>
    </w:p>
    <w:p>
      <w:pPr>
        <w:spacing w:after="0" w:line="235" w:lineRule="auto"/>
        <w:rPr>
          <w:sz w:val="20"/>
          <w:szCs w:val="20"/>
          <w:color w:val="auto"/>
        </w:rPr>
      </w:pPr>
      <w:r>
        <w:rPr>
          <w:rFonts w:ascii="Arial" w:cs="Arial" w:eastAsia="Arial" w:hAnsi="Arial"/>
          <w:sz w:val="18"/>
          <w:szCs w:val="18"/>
          <w:color w:val="auto"/>
        </w:rPr>
        <w:t>advance or supply funds for the purchase or payment of) such Indebtedness or other obligation or to purchase (or to advance or supply funds</w:t>
      </w:r>
    </w:p>
    <w:p>
      <w:pPr>
        <w:ind w:right="180"/>
        <w:spacing w:after="0" w:line="255" w:lineRule="auto"/>
        <w:rPr>
          <w:sz w:val="20"/>
          <w:szCs w:val="20"/>
          <w:color w:val="auto"/>
        </w:rPr>
      </w:pPr>
      <w:r>
        <w:rPr>
          <w:rFonts w:ascii="Arial" w:cs="Arial" w:eastAsia="Arial" w:hAnsi="Arial"/>
          <w:sz w:val="16"/>
          <w:szCs w:val="16"/>
          <w:color w:val="auto"/>
        </w:rPr>
        <w:t>for the purchase of) any security for the payment thereof, (b) to purchase or lease property, securities or services for the purpose of assuring the owner of such Indebtedness or other obligation of the payment thereof, (c) to maintain working capital, equity capital or any other</w:t>
      </w:r>
    </w:p>
    <w:p>
      <w:pPr>
        <w:spacing w:after="0" w:line="223" w:lineRule="auto"/>
        <w:rPr>
          <w:sz w:val="20"/>
          <w:szCs w:val="20"/>
          <w:color w:val="auto"/>
        </w:rPr>
      </w:pPr>
      <w:r>
        <w:rPr>
          <w:rFonts w:ascii="Arial" w:cs="Arial" w:eastAsia="Arial" w:hAnsi="Arial"/>
          <w:sz w:val="19"/>
          <w:szCs w:val="19"/>
          <w:color w:val="auto"/>
        </w:rPr>
        <w:t>financial statement condition or liquidity of the primary obligor so as to enable the primary obligor to pay such Indebtedness or other</w:t>
      </w:r>
    </w:p>
    <w:p>
      <w:pPr>
        <w:ind w:right="200"/>
        <w:spacing w:after="0" w:line="312" w:lineRule="auto"/>
        <w:rPr>
          <w:sz w:val="20"/>
          <w:szCs w:val="20"/>
          <w:color w:val="auto"/>
        </w:rPr>
      </w:pPr>
      <w:r>
        <w:rPr>
          <w:rFonts w:ascii="Arial" w:cs="Arial" w:eastAsia="Arial" w:hAnsi="Arial"/>
          <w:sz w:val="16"/>
          <w:szCs w:val="16"/>
          <w:color w:val="auto"/>
        </w:rPr>
        <w:t xml:space="preserve">obligation or (d) as an account party in respect of any letter of credit or letter of guaranty issued to support such Indebtedness or obligation; </w:t>
      </w:r>
      <w:r>
        <w:rPr>
          <w:rFonts w:ascii="Arial" w:cs="Arial" w:eastAsia="Arial" w:hAnsi="Arial"/>
          <w:sz w:val="16"/>
          <w:szCs w:val="16"/>
          <w:i w:val="1"/>
          <w:iCs w:val="1"/>
          <w:color w:val="auto"/>
        </w:rPr>
        <w:t>provided</w:t>
      </w:r>
      <w:r>
        <w:rPr>
          <w:rFonts w:ascii="Arial" w:cs="Arial" w:eastAsia="Arial" w:hAnsi="Arial"/>
          <w:sz w:val="16"/>
          <w:szCs w:val="16"/>
          <w:color w:val="auto"/>
        </w:rPr>
        <w:t>, that the term Guaranty Obligation shall not include endorsements for collection or deposit in the ordinary course of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any material, substance or waste that is listed, regulated, or otherwise defined as hazardous, toxic or</w:t>
      </w:r>
    </w:p>
    <w:p>
      <w:pPr>
        <w:spacing w:after="0" w:line="12" w:lineRule="exact"/>
        <w:rPr>
          <w:sz w:val="20"/>
          <w:szCs w:val="20"/>
          <w:color w:val="auto"/>
        </w:rPr>
      </w:pPr>
    </w:p>
    <w:p>
      <w:pPr>
        <w:ind w:right="160"/>
        <w:spacing w:after="0" w:line="220" w:lineRule="auto"/>
        <w:rPr>
          <w:sz w:val="20"/>
          <w:szCs w:val="20"/>
          <w:color w:val="auto"/>
        </w:rPr>
      </w:pPr>
      <w:r>
        <w:rPr>
          <w:rFonts w:ascii="Arial" w:cs="Arial" w:eastAsia="Arial" w:hAnsi="Arial"/>
          <w:sz w:val="20"/>
          <w:szCs w:val="20"/>
          <w:color w:val="auto"/>
        </w:rPr>
        <w:t>radioactive (or words of similar regulatory intent or meaning) under applicable Environmental Law, or the exposure to which or the Release of which could give rise to liability under any Environmental Law.</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Hedge Agreement</w:t>
      </w:r>
      <w:r>
        <w:rPr>
          <w:rFonts w:ascii="Arial" w:cs="Arial" w:eastAsia="Arial" w:hAnsi="Arial"/>
          <w:sz w:val="20"/>
          <w:szCs w:val="20"/>
          <w:color w:val="auto"/>
        </w:rPr>
        <w:t>” means (i) any and all rate swap transactions, basis swaps, credit derivative transactions, forward rate</w:t>
      </w:r>
    </w:p>
    <w:p>
      <w:pPr>
        <w:ind w:right="300"/>
        <w:spacing w:after="0" w:line="220" w:lineRule="auto"/>
        <w:rPr>
          <w:sz w:val="20"/>
          <w:szCs w:val="20"/>
          <w:color w:val="auto"/>
        </w:rPr>
      </w:pPr>
      <w:r>
        <w:rPr>
          <w:rFonts w:ascii="Arial" w:cs="Arial" w:eastAsia="Arial" w:hAnsi="Arial"/>
          <w:sz w:val="20"/>
          <w:szCs w:val="20"/>
          <w:color w:val="auto"/>
        </w:rPr>
        <w:t>transactions, commodity swaps, commodity options, forward commodity contracts, equity or equity index swaps or options, bond or bond price or bond index swaps or options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forward bond or forward bond price or forward bond index transactions, interest rate options, forward foreign exchange transactions, cap</w:t>
      </w:r>
    </w:p>
    <w:p>
      <w:pPr>
        <w:spacing w:after="0" w:line="1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transactions, floor transactions, collar transactions, currency swap transactions, cross-currency rate swap transactions, currency options, spot contracts, or any other similar transactions or any combination of any of the foregoing (including any options to enter into any of the</w:t>
      </w:r>
    </w:p>
    <w:p>
      <w:pPr>
        <w:spacing w:after="0" w:line="236" w:lineRule="auto"/>
        <w:rPr>
          <w:sz w:val="20"/>
          <w:szCs w:val="20"/>
          <w:color w:val="auto"/>
        </w:rPr>
      </w:pPr>
      <w:r>
        <w:rPr>
          <w:rFonts w:ascii="Arial" w:cs="Arial" w:eastAsia="Arial" w:hAnsi="Arial"/>
          <w:sz w:val="18"/>
          <w:szCs w:val="18"/>
          <w:color w:val="auto"/>
        </w:rPr>
        <w:t>foregoing), whether or not any such transaction is governed by or subject to any master agreement and (ii) any and all transactions of any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kind, and the related confirmations, which are subject to the terms and conditions of, or governed by, any form of master agreement published by the International Swaps and Derivatives Association, Inc., any International Foreign Exchange Master Agreement, or any other</w:t>
      </w:r>
    </w:p>
    <w:p>
      <w:pPr>
        <w:spacing w:after="0" w:line="236" w:lineRule="auto"/>
        <w:rPr>
          <w:sz w:val="20"/>
          <w:szCs w:val="20"/>
          <w:color w:val="auto"/>
        </w:rPr>
      </w:pPr>
      <w:r>
        <w:rPr>
          <w:rFonts w:ascii="Arial" w:cs="Arial" w:eastAsia="Arial" w:hAnsi="Arial"/>
          <w:sz w:val="18"/>
          <w:szCs w:val="18"/>
          <w:color w:val="auto"/>
        </w:rPr>
        <w:t>master agreement (any such master agreement, together with any related schedules, a “</w:t>
      </w:r>
      <w:r>
        <w:rPr>
          <w:rFonts w:ascii="Arial" w:cs="Arial" w:eastAsia="Arial" w:hAnsi="Arial"/>
          <w:sz w:val="18"/>
          <w:szCs w:val="18"/>
          <w:b w:val="1"/>
          <w:bCs w:val="1"/>
          <w:i w:val="1"/>
          <w:iCs w:val="1"/>
          <w:color w:val="auto"/>
        </w:rPr>
        <w:t>Master Agreement</w:t>
      </w:r>
      <w:r>
        <w:rPr>
          <w:rFonts w:ascii="Arial" w:cs="Arial" w:eastAsia="Arial" w:hAnsi="Arial"/>
          <w:sz w:val="18"/>
          <w:szCs w:val="18"/>
          <w:color w:val="auto"/>
        </w:rPr>
        <w:t>”), including any such obligations</w:t>
      </w:r>
    </w:p>
    <w:p>
      <w:pPr>
        <w:spacing w:after="0" w:line="1" w:lineRule="exact"/>
        <w:rPr>
          <w:sz w:val="20"/>
          <w:szCs w:val="20"/>
          <w:color w:val="auto"/>
        </w:rPr>
      </w:pPr>
    </w:p>
    <w:p>
      <w:pPr>
        <w:ind w:right="540"/>
        <w:spacing w:after="0" w:line="220" w:lineRule="auto"/>
        <w:rPr>
          <w:sz w:val="20"/>
          <w:szCs w:val="20"/>
          <w:color w:val="auto"/>
        </w:rPr>
      </w:pPr>
      <w:r>
        <w:rPr>
          <w:rFonts w:ascii="Arial" w:cs="Arial" w:eastAsia="Arial" w:hAnsi="Arial"/>
          <w:sz w:val="20"/>
          <w:szCs w:val="20"/>
          <w:color w:val="auto"/>
        </w:rPr>
        <w:t>or liabilities under any Master Agreement, in each case for the purpose of hedging the foreign currency, interest rate or commodity risk associated with the operations of the Company and/or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Increased Amount Date</w:t>
      </w:r>
      <w:r>
        <w:rPr>
          <w:rFonts w:ascii="Arial" w:cs="Arial" w:eastAsia="Arial" w:hAnsi="Arial"/>
          <w:sz w:val="20"/>
          <w:szCs w:val="20"/>
          <w:color w:val="auto"/>
        </w:rPr>
        <w:t>” has the meaning assigned to such term in Section 2.04.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Commitments</w:t>
      </w:r>
      <w:r>
        <w:rPr>
          <w:rFonts w:ascii="Arial" w:cs="Arial" w:eastAsia="Arial" w:hAnsi="Arial"/>
          <w:sz w:val="20"/>
          <w:szCs w:val="20"/>
          <w:color w:val="auto"/>
        </w:rPr>
        <w:t>” has the meaning assigned to such term in Section 2.04.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Revolving Commitments</w:t>
      </w:r>
      <w:r>
        <w:rPr>
          <w:rFonts w:ascii="Arial" w:cs="Arial" w:eastAsia="Arial" w:hAnsi="Arial"/>
          <w:sz w:val="20"/>
          <w:szCs w:val="20"/>
          <w:color w:val="auto"/>
        </w:rPr>
        <w:t>” has the meaning assigned to such term in Section 2.04.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Revolving Loan Lender</w:t>
      </w:r>
      <w:r>
        <w:rPr>
          <w:rFonts w:ascii="Arial" w:cs="Arial" w:eastAsia="Arial" w:hAnsi="Arial"/>
          <w:sz w:val="20"/>
          <w:szCs w:val="20"/>
          <w:color w:val="auto"/>
        </w:rPr>
        <w:t>” has the meaning assigned to such term in Section 2.04.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w:t>
      </w:r>
      <w:r>
        <w:rPr>
          <w:rFonts w:ascii="Arial" w:cs="Arial" w:eastAsia="Arial" w:hAnsi="Arial"/>
          <w:sz w:val="20"/>
          <w:szCs w:val="20"/>
          <w:color w:val="auto"/>
        </w:rPr>
        <w:t>” has the meaning assigned to such term in Section 2.04.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 Commitments</w:t>
      </w:r>
      <w:r>
        <w:rPr>
          <w:rFonts w:ascii="Arial" w:cs="Arial" w:eastAsia="Arial" w:hAnsi="Arial"/>
          <w:sz w:val="20"/>
          <w:szCs w:val="20"/>
          <w:color w:val="auto"/>
        </w:rPr>
        <w:t>” has the meaning assigned to such term in Section 2.04.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 Lender</w:t>
      </w:r>
      <w:r>
        <w:rPr>
          <w:rFonts w:ascii="Arial" w:cs="Arial" w:eastAsia="Arial" w:hAnsi="Arial"/>
          <w:sz w:val="20"/>
          <w:szCs w:val="20"/>
          <w:color w:val="auto"/>
        </w:rPr>
        <w:t>” has the meaning assigned to such term in Section 2.04.</w:t>
      </w:r>
    </w:p>
    <w:p>
      <w:pPr>
        <w:spacing w:after="0" w:line="189"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w:t>
      </w:r>
    </w:p>
    <w:p>
      <w:pPr>
        <w:ind w:right="260"/>
        <w:spacing w:after="0" w:line="255" w:lineRule="auto"/>
        <w:rPr>
          <w:sz w:val="20"/>
          <w:szCs w:val="20"/>
          <w:color w:val="auto"/>
        </w:rPr>
      </w:pPr>
      <w:r>
        <w:rPr>
          <w:rFonts w:ascii="Arial" w:cs="Arial" w:eastAsia="Arial" w:hAnsi="Arial"/>
          <w:sz w:val="16"/>
          <w:szCs w:val="16"/>
          <w:color w:val="auto"/>
        </w:rPr>
        <w:t>obligations of such Person under conditional sale or other title retention agreements relating to property acquired by such Person, (d) all obligations of such Person in respect of the deferred purchase price of property or services (excluding current accounts payable incurred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ordinary course of business), (e) all Indebtedness of others secured by (or for which the holder of such Indebtedness has an existing right,</w:t>
      </w:r>
    </w:p>
    <w:p>
      <w:pPr>
        <w:spacing w:after="0" w:line="19"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contingent or otherwise, to be secured by) any Lien on property owned or acquired by such Person, whether or not the Indebtedness secured thereby has been assumed, (f) all Guaranty Obligations of such Person of Indebtedness of others, (g) all Capital Lease Obligations of such</w:t>
      </w:r>
    </w:p>
    <w:p>
      <w:pPr>
        <w:spacing w:after="0" w:line="235" w:lineRule="auto"/>
        <w:rPr>
          <w:sz w:val="20"/>
          <w:szCs w:val="20"/>
          <w:color w:val="auto"/>
        </w:rPr>
      </w:pPr>
      <w:r>
        <w:rPr>
          <w:rFonts w:ascii="Arial" w:cs="Arial" w:eastAsia="Arial" w:hAnsi="Arial"/>
          <w:sz w:val="18"/>
          <w:szCs w:val="18"/>
          <w:color w:val="auto"/>
        </w:rPr>
        <w:t>Person, (h) all obligations, contingent or otherwise, of such Person as an account party in respect of letters of credit and letters of guaranty,</w:t>
      </w:r>
    </w:p>
    <w:p>
      <w:pPr>
        <w:ind w:right="60" w:firstLine="8"/>
        <w:spacing w:after="0"/>
        <w:tabs>
          <w:tab w:leader="none" w:pos="2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in respect of bankers’ acceptances and (j) for purposes of Section 6.04 and Section 7.01(g) only, all net obligations of such Person under any Hedge Agreement. The Indebtedness of any Person shall include the Indebtedness of any partnership or joint venture (other than a joint venture that is itself a corporation or limited liability company) in which such Person is a general partner or joint venturer, unless such Indebtedness is expressly made non-recourse to such Person.</w:t>
      </w:r>
    </w:p>
    <w:p>
      <w:pPr>
        <w:spacing w:after="0" w:line="15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29" w:lineRule="exact"/>
        <w:rPr>
          <w:sz w:val="20"/>
          <w:szCs w:val="20"/>
          <w:color w:val="auto"/>
        </w:rPr>
      </w:pPr>
    </w:p>
    <w:p>
      <w:pPr>
        <w:ind w:right="7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Coverage Ratio</w:t>
      </w:r>
      <w:r>
        <w:rPr>
          <w:rFonts w:ascii="Arial" w:cs="Arial" w:eastAsia="Arial" w:hAnsi="Arial"/>
          <w:sz w:val="20"/>
          <w:szCs w:val="20"/>
          <w:color w:val="auto"/>
        </w:rPr>
        <w:t>” means, for any Testing Period, the ratio of (i) Consolidated EBITDA to (ii) Consolidated Interest Expense, calculated on a Pro Forma Basis.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Election Request</w:t>
      </w:r>
      <w:r>
        <w:rPr>
          <w:rFonts w:ascii="Arial" w:cs="Arial" w:eastAsia="Arial" w:hAnsi="Arial"/>
          <w:sz w:val="18"/>
          <w:szCs w:val="18"/>
          <w:color w:val="auto"/>
        </w:rPr>
        <w:t>” means a request by a Borrower to convert or continue a Borrowing in accordance with Section 2.08.</w:t>
      </w:r>
    </w:p>
    <w:p>
      <w:pPr>
        <w:spacing w:after="0" w:line="212"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xml:space="preserve">” means (a) with respect to any ABR Loan (other than a Swingline Loan) or any Foreign Currency Loan that is denominated in an RFR Currency, the last day of each March, June, September and December, (b) with respect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w:t>
      </w:r>
    </w:p>
    <w:p>
      <w:pPr>
        <w:spacing w:after="0"/>
        <w:rPr>
          <w:sz w:val="20"/>
          <w:szCs w:val="20"/>
          <w:color w:val="auto"/>
        </w:rPr>
      </w:pPr>
      <w:r>
        <w:rPr>
          <w:rFonts w:ascii="Arial" w:cs="Arial" w:eastAsia="Arial" w:hAnsi="Arial"/>
          <w:sz w:val="20"/>
          <w:szCs w:val="20"/>
          <w:u w:val="single" w:color="auto"/>
          <w:color w:val="0000FF"/>
        </w:rPr>
        <w:t>SOFR</w:t>
      </w:r>
      <w:r>
        <w:rPr>
          <w:rFonts w:ascii="Arial" w:cs="Arial" w:eastAsia="Arial" w:hAnsi="Arial"/>
          <w:sz w:val="20"/>
          <w:szCs w:val="20"/>
          <w:color w:val="0000FF"/>
        </w:rPr>
        <w:t xml:space="preserve"> </w:t>
      </w:r>
      <w:r>
        <w:rPr>
          <w:rFonts w:ascii="Arial" w:cs="Arial" w:eastAsia="Arial" w:hAnsi="Arial"/>
          <w:sz w:val="20"/>
          <w:szCs w:val="20"/>
          <w:color w:val="000000"/>
        </w:rPr>
        <w:t>Loan (other than a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Loan) or any Foreign Currency Loan that is not denominated in an RFR Currency, the last day of the Interest Period applicable to the</w:t>
      </w:r>
    </w:p>
    <w:p>
      <w:pPr>
        <w:ind w:right="440"/>
        <w:spacing w:after="0" w:line="255" w:lineRule="auto"/>
        <w:rPr>
          <w:sz w:val="20"/>
          <w:szCs w:val="20"/>
          <w:color w:val="auto"/>
        </w:rPr>
      </w:pPr>
      <w:r>
        <w:rPr>
          <w:rFonts w:ascii="Arial" w:cs="Arial" w:eastAsia="Arial" w:hAnsi="Arial"/>
          <w:sz w:val="16"/>
          <w:szCs w:val="16"/>
          <w:color w:val="auto"/>
        </w:rPr>
        <w:t xml:space="preserve">Borrowing of which such Loan is a part and, in the case of a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Borrowing or Foreign Currency Borrowing with an Interest Period of more than three months’ duration, each day prior to the last day of such Interest Period that occurs at intervals of three</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months’ duration after the first day of such Interest Period, and (c) with respect to any Swingline Loan, the day that such Loan is required to be repaid.</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or Foreign Currency Borrowing other than a Foreign Currency Borrowing denominated in an RFR Currency, the period commencing on the date of such Borrowing and ending on the numerically</w:t>
      </w:r>
    </w:p>
    <w:p>
      <w:pPr>
        <w:ind w:right="100"/>
        <w:spacing w:after="0" w:line="255" w:lineRule="auto"/>
        <w:rPr>
          <w:sz w:val="20"/>
          <w:szCs w:val="20"/>
          <w:color w:val="auto"/>
        </w:rPr>
      </w:pPr>
      <w:r>
        <w:rPr>
          <w:rFonts w:ascii="Arial" w:cs="Arial" w:eastAsia="Arial" w:hAnsi="Arial"/>
          <w:sz w:val="16"/>
          <w:szCs w:val="16"/>
          <w:color w:val="auto"/>
        </w:rPr>
        <w:t>corresponding day in the calendar month that is one, three or six months thereafter (or, if agreed to by the Administrative Agent, ending on a day that is less than one month thereafter), as the applicable Borrower may elect; provided, that (i) if any Interest Period would end on a day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than a Business Day, such Interest Period shall be extended to the next succeeding Business Day unless, in the case of a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w:t>
      </w:r>
    </w:p>
    <w:p>
      <w:pPr>
        <w:spacing w:after="0" w:line="1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u w:val="single" w:color="auto"/>
          <w:color w:val="0000FF"/>
        </w:rPr>
        <w:t>SOFR</w:t>
      </w:r>
      <w:r>
        <w:rPr>
          <w:rFonts w:ascii="Arial" w:cs="Arial" w:eastAsia="Arial" w:hAnsi="Arial"/>
          <w:sz w:val="16"/>
          <w:szCs w:val="16"/>
          <w:color w:val="0000FF"/>
        </w:rPr>
        <w:t xml:space="preserve"> </w:t>
      </w:r>
      <w:r>
        <w:rPr>
          <w:rFonts w:ascii="Arial" w:cs="Arial" w:eastAsia="Arial" w:hAnsi="Arial"/>
          <w:sz w:val="16"/>
          <w:szCs w:val="16"/>
          <w:color w:val="000000"/>
        </w:rPr>
        <w:t>Borrowing or Foreign Currency Borrowing only, such next succeeding Business Day would fall in the next calendar month, in which</w:t>
      </w:r>
      <w:r>
        <w:rPr>
          <w:rFonts w:ascii="Arial" w:cs="Arial" w:eastAsia="Arial" w:hAnsi="Arial"/>
          <w:sz w:val="16"/>
          <w:szCs w:val="16"/>
          <w:color w:val="0000FF"/>
        </w:rPr>
        <w:t xml:space="preserve"> </w:t>
      </w:r>
      <w:r>
        <w:rPr>
          <w:rFonts w:ascii="Arial" w:cs="Arial" w:eastAsia="Arial" w:hAnsi="Arial"/>
          <w:sz w:val="16"/>
          <w:szCs w:val="16"/>
          <w:color w:val="000000"/>
        </w:rPr>
        <w:t>case such Interest Period shall end on the immediately preceding Business Day, (ii) any Interest Period (other than an Interest Period having a</w:t>
      </w:r>
    </w:p>
    <w:p>
      <w:pPr>
        <w:spacing w:after="0" w:line="235" w:lineRule="auto"/>
        <w:rPr>
          <w:sz w:val="20"/>
          <w:szCs w:val="20"/>
          <w:color w:val="auto"/>
        </w:rPr>
      </w:pPr>
      <w:r>
        <w:rPr>
          <w:rFonts w:ascii="Arial" w:cs="Arial" w:eastAsia="Arial" w:hAnsi="Arial"/>
          <w:sz w:val="18"/>
          <w:szCs w:val="18"/>
          <w:color w:val="auto"/>
        </w:rPr>
        <w:t xml:space="preserve">duration of less than one month) pertaining to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or Foreign Currency Borrowing that commences on the</w:t>
      </w:r>
    </w:p>
    <w:p>
      <w:pPr>
        <w:ind w:right="180"/>
        <w:spacing w:after="0" w:line="255" w:lineRule="auto"/>
        <w:rPr>
          <w:sz w:val="20"/>
          <w:szCs w:val="20"/>
          <w:color w:val="auto"/>
        </w:rPr>
      </w:pPr>
      <w:r>
        <w:rPr>
          <w:rFonts w:ascii="Arial" w:cs="Arial" w:eastAsia="Arial" w:hAnsi="Arial"/>
          <w:sz w:val="16"/>
          <w:szCs w:val="16"/>
          <w:color w:val="auto"/>
        </w:rPr>
        <w:t>last Business Day of a calendar month (or on a day for which there is no numerically corresponding day in the last calendar month of such Interest Period) shall end on the last Business Day of the last calendar month of such Interest Period and (iii) no Interest Period shall extend</w:t>
      </w:r>
    </w:p>
    <w:p>
      <w:pPr>
        <w:spacing w:after="0" w:line="235" w:lineRule="auto"/>
        <w:rPr>
          <w:sz w:val="20"/>
          <w:szCs w:val="20"/>
          <w:color w:val="auto"/>
        </w:rPr>
      </w:pPr>
      <w:r>
        <w:rPr>
          <w:rFonts w:ascii="Arial" w:cs="Arial" w:eastAsia="Arial" w:hAnsi="Arial"/>
          <w:sz w:val="18"/>
          <w:szCs w:val="18"/>
          <w:color w:val="auto"/>
        </w:rPr>
        <w:t>beyond the then applicable Maturity Date for such Facility. For purposes hereof, the date of a Borrowing initially shall be the date on which</w:t>
      </w:r>
    </w:p>
    <w:p>
      <w:pPr>
        <w:ind w:right="820"/>
        <w:spacing w:after="0" w:line="220" w:lineRule="auto"/>
        <w:rPr>
          <w:sz w:val="20"/>
          <w:szCs w:val="20"/>
          <w:color w:val="auto"/>
        </w:rPr>
      </w:pPr>
      <w:r>
        <w:rPr>
          <w:rFonts w:ascii="Arial" w:cs="Arial" w:eastAsia="Arial" w:hAnsi="Arial"/>
          <w:sz w:val="20"/>
          <w:szCs w:val="20"/>
          <w:color w:val="auto"/>
        </w:rPr>
        <w:t>such Borrowing is made and, in the case of a Revolving or Term Borrowing, thereafter shall be the effective date of the most recent conversion or continuation of such Borrowing.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Rate Option</w:t>
      </w:r>
      <w:r>
        <w:rPr>
          <w:rFonts w:ascii="Arial" w:cs="Arial" w:eastAsia="Arial" w:hAnsi="Arial"/>
          <w:sz w:val="20"/>
          <w:szCs w:val="20"/>
          <w:color w:val="auto"/>
        </w:rPr>
        <w:t>” means each of the EURIBOR Option</w:t>
      </w:r>
      <w:r>
        <w:rPr>
          <w:rFonts w:ascii="Arial" w:cs="Arial" w:eastAsia="Arial" w:hAnsi="Arial"/>
          <w:sz w:val="20"/>
          <w:szCs w:val="20"/>
          <w:u w:val="single" w:color="auto"/>
          <w:color w:val="0000FF"/>
        </w:rPr>
        <w:t>, the CDOR Rate Option</w:t>
      </w:r>
      <w:r>
        <w:rPr>
          <w:rFonts w:ascii="Arial" w:cs="Arial" w:eastAsia="Arial" w:hAnsi="Arial"/>
          <w:sz w:val="20"/>
          <w:szCs w:val="20"/>
          <w:color w:val="auto"/>
        </w:rPr>
        <w:t xml:space="preserve"> and the Daily Simple RFR Option.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United States Internal Revenue Service.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Issuing Bank</w:t>
      </w:r>
      <w:r>
        <w:rPr>
          <w:rFonts w:ascii="Arial" w:cs="Arial" w:eastAsia="Arial" w:hAnsi="Arial"/>
          <w:sz w:val="19"/>
          <w:szCs w:val="19"/>
          <w:color w:val="auto"/>
        </w:rPr>
        <w:t>” means KeyBank National Association or any of its Affiliates, in its capacity as the issuer of Letters of Credit</w:t>
      </w:r>
    </w:p>
    <w:p>
      <w:pPr>
        <w:ind w:right="60"/>
        <w:spacing w:after="0" w:line="255" w:lineRule="auto"/>
        <w:rPr>
          <w:sz w:val="20"/>
          <w:szCs w:val="20"/>
          <w:color w:val="auto"/>
        </w:rPr>
      </w:pPr>
      <w:r>
        <w:rPr>
          <w:rFonts w:ascii="Arial" w:cs="Arial" w:eastAsia="Arial" w:hAnsi="Arial"/>
          <w:sz w:val="16"/>
          <w:szCs w:val="16"/>
          <w:color w:val="auto"/>
        </w:rPr>
        <w:t>hereunder, and its successors in such capacity as provided in Section 2.06(i). The Issuing Bank may, in its discretion, arrange for one or more Letters of Credit to be issued by Affiliates of the Issuing Bank, in which case the term “Issuing Bank” shall include any such Affiliate with</w:t>
      </w:r>
    </w:p>
    <w:p>
      <w:pPr>
        <w:spacing w:after="0" w:line="235" w:lineRule="auto"/>
        <w:rPr>
          <w:sz w:val="20"/>
          <w:szCs w:val="20"/>
          <w:color w:val="auto"/>
        </w:rPr>
      </w:pPr>
      <w:r>
        <w:rPr>
          <w:rFonts w:ascii="Arial" w:cs="Arial" w:eastAsia="Arial" w:hAnsi="Arial"/>
          <w:sz w:val="18"/>
          <w:szCs w:val="18"/>
          <w:color w:val="auto"/>
        </w:rPr>
        <w:t>respect to Letters of Credit issued by such Affiliate. The Revolving Borrowers, the Administrative Agent and any Lender may agree that such</w:t>
      </w:r>
    </w:p>
    <w:p>
      <w:pPr>
        <w:ind w:right="100"/>
        <w:spacing w:after="0" w:line="226" w:lineRule="auto"/>
        <w:rPr>
          <w:sz w:val="20"/>
          <w:szCs w:val="20"/>
          <w:color w:val="auto"/>
        </w:rPr>
      </w:pPr>
      <w:r>
        <w:rPr>
          <w:rFonts w:ascii="Arial" w:cs="Arial" w:eastAsia="Arial" w:hAnsi="Arial"/>
          <w:sz w:val="18"/>
          <w:szCs w:val="18"/>
          <w:color w:val="auto"/>
        </w:rPr>
        <w:t>Lender may issue Letters of Credit hereunder, in which case the term “Issuing Bank” shall include such Lender with respect to the Letters of Credit issued by such Lender, and each reference to “Issuing Bank” shall mean the applicable Issuing Bank or all Issuing Banks, as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context may require.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Joint Lead Arranger Fee Letters</w:t>
      </w:r>
      <w:r>
        <w:rPr>
          <w:rFonts w:ascii="Arial" w:cs="Arial" w:eastAsia="Arial" w:hAnsi="Arial"/>
          <w:sz w:val="16"/>
          <w:szCs w:val="16"/>
          <w:color w:val="auto"/>
        </w:rPr>
        <w:t>” means, collectively, each fee letter entered into between the Company and a Joint Lead Arranger.</w:t>
      </w:r>
    </w:p>
    <w:p>
      <w:pPr>
        <w:spacing w:after="0" w:line="221" w:lineRule="exact"/>
        <w:rPr>
          <w:sz w:val="20"/>
          <w:szCs w:val="20"/>
          <w:color w:val="auto"/>
        </w:rPr>
      </w:pPr>
    </w:p>
    <w:p>
      <w:pPr>
        <w:ind w:right="18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Joint Lead Arrangers</w:t>
      </w:r>
      <w:r>
        <w:rPr>
          <w:rFonts w:ascii="Arial" w:cs="Arial" w:eastAsia="Arial" w:hAnsi="Arial"/>
          <w:sz w:val="20"/>
          <w:szCs w:val="20"/>
          <w:color w:val="auto"/>
        </w:rPr>
        <w:t>” means, collectively, KeyBanc Capital Markets Inc., Bank of the West, Citizens Bank, N.A., Mizuho Bank, Ltd., PNC Capital Markets, LLC, The Bank of Nova Scotia, TD Securities (USA) LLC, U.S. Bank National Association and Wells Fargo Securities, LLC, as joint lead arrangers and joint bookrunners under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Disbursement</w:t>
      </w:r>
      <w:r>
        <w:rPr>
          <w:rFonts w:ascii="Arial" w:cs="Arial" w:eastAsia="Arial" w:hAnsi="Arial"/>
          <w:sz w:val="20"/>
          <w:szCs w:val="20"/>
          <w:color w:val="auto"/>
        </w:rPr>
        <w:t>” means a payment made by the Issuing Bank pursuant to a Letter of Credit.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LC Exposure</w:t>
      </w:r>
      <w:r>
        <w:rPr>
          <w:rFonts w:ascii="Arial" w:cs="Arial" w:eastAsia="Arial" w:hAnsi="Arial"/>
          <w:sz w:val="18"/>
          <w:szCs w:val="18"/>
          <w:color w:val="auto"/>
        </w:rPr>
        <w:t>” means, at any time, Dollar Equivalent of the sum of (a) the aggregate undrawn amount of all outstanding Letters of</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Credit at such time plus (b) the aggregate amount of all LC Disbursements that have not yet been reimbursed by or on behalf of the Revolving Borrowers at such time. The LC Exposure of any Lender at any time shall be its Revolving Percentage of the total LC Exposure 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Lender Notice Date</w:t>
      </w:r>
      <w:r>
        <w:rPr>
          <w:rFonts w:ascii="Arial" w:cs="Arial" w:eastAsia="Arial" w:hAnsi="Arial"/>
          <w:sz w:val="20"/>
          <w:szCs w:val="20"/>
          <w:color w:val="auto"/>
        </w:rPr>
        <w:t>” has the meaning assigned to such term in Section 2.22(b).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xml:space="preserve">” means, as of the Closing Date, the Persons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and, thereafter, any Person with a Commitment or</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Term Loan Exposure, including those that have become a party hereto pursuant to Section 2.04 or an Assignment and Assumption, other than any such Person that ceases to be a party hereto pursuant to an Assignment and Assumption. Unless the context otherwise requires, the term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“Lenders” includes the Swingline Lender and the Issuing Bank.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w:t>
      </w:r>
      <w:r>
        <w:rPr>
          <w:rFonts w:ascii="Arial" w:cs="Arial" w:eastAsia="Arial" w:hAnsi="Arial"/>
          <w:sz w:val="20"/>
          <w:szCs w:val="20"/>
          <w:color w:val="auto"/>
        </w:rPr>
        <w:t>” means any letter of credit issued pursuant to this Agreement.</w:t>
      </w:r>
    </w:p>
    <w:p>
      <w:pPr>
        <w:spacing w:after="0" w:line="175"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means this Agreement, including without limitation, schedules and exhibits hereto, the Notes (if any), the</w:t>
      </w:r>
    </w:p>
    <w:p>
      <w:pPr>
        <w:ind w:right="220"/>
        <w:spacing w:after="0" w:line="255" w:lineRule="auto"/>
        <w:rPr>
          <w:sz w:val="20"/>
          <w:szCs w:val="20"/>
          <w:color w:val="auto"/>
        </w:rPr>
      </w:pPr>
      <w:r>
        <w:rPr>
          <w:rFonts w:ascii="Arial" w:cs="Arial" w:eastAsia="Arial" w:hAnsi="Arial"/>
          <w:sz w:val="16"/>
          <w:szCs w:val="16"/>
          <w:color w:val="auto"/>
        </w:rPr>
        <w:t>Subsidiary Guaranty, the Administrative Agent Fee Letter, the Closing Fee Letter, the Joint Lead Arranger Fee Letters and any other agreements entered into in connection herewith or therewith, including any amendments, modifications or supplements hereto or thereto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waivers hereof or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Parties</w:t>
      </w:r>
      <w:r>
        <w:rPr>
          <w:rFonts w:ascii="Arial" w:cs="Arial" w:eastAsia="Arial" w:hAnsi="Arial"/>
          <w:sz w:val="19"/>
          <w:szCs w:val="19"/>
          <w:color w:val="auto"/>
        </w:rPr>
        <w:t>” means the Borrowers and the Subsidiary Guarantors, and “</w:t>
      </w:r>
      <w:r>
        <w:rPr>
          <w:rFonts w:ascii="Arial" w:cs="Arial" w:eastAsia="Arial" w:hAnsi="Arial"/>
          <w:sz w:val="19"/>
          <w:szCs w:val="19"/>
          <w:b w:val="1"/>
          <w:bCs w:val="1"/>
          <w:i w:val="1"/>
          <w:iCs w:val="1"/>
          <w:color w:val="auto"/>
        </w:rPr>
        <w:t>Loan Party</w:t>
      </w:r>
      <w:r>
        <w:rPr>
          <w:rFonts w:ascii="Arial" w:cs="Arial" w:eastAsia="Arial" w:hAnsi="Arial"/>
          <w:sz w:val="19"/>
          <w:szCs w:val="19"/>
          <w:color w:val="auto"/>
        </w:rPr>
        <w:t>” means any one of them individually.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Loans</w:t>
      </w:r>
      <w:r>
        <w:rPr>
          <w:rFonts w:ascii="Arial" w:cs="Arial" w:eastAsia="Arial" w:hAnsi="Arial"/>
          <w:sz w:val="20"/>
          <w:szCs w:val="20"/>
          <w:color w:val="auto"/>
        </w:rPr>
        <w:t>” means the loans made by the Lenders to the Borrowers pursuant to this Agreement.</w:t>
      </w:r>
    </w:p>
    <w:p>
      <w:pPr>
        <w:spacing w:after="0" w:line="189" w:lineRule="exact"/>
        <w:rPr>
          <w:sz w:val="20"/>
          <w:szCs w:val="20"/>
          <w:color w:val="auto"/>
        </w:rPr>
      </w:pPr>
    </w:p>
    <w:p>
      <w:pPr>
        <w:ind w:right="1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Lookback Days</w:t>
      </w:r>
      <w:r>
        <w:rPr>
          <w:rFonts w:ascii="Arial" w:cs="Arial" w:eastAsia="Arial" w:hAnsi="Arial"/>
          <w:sz w:val="20"/>
          <w:szCs w:val="20"/>
          <w:color w:val="auto"/>
        </w:rPr>
        <w:t>” means, collectively, a SONIA Lookback Day, a TONAR Lookback Day, and a SARON Lookback Day, and each individually is a Daily Simple RFR Lookback Day.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means a material adverse effect on (a) the business, operations, properties, financial condition or results of</w:t>
      </w:r>
    </w:p>
    <w:p>
      <w:pPr>
        <w:spacing w:after="0" w:line="35" w:lineRule="exact"/>
        <w:rPr>
          <w:sz w:val="20"/>
          <w:szCs w:val="20"/>
          <w:color w:val="auto"/>
        </w:rPr>
      </w:pPr>
    </w:p>
    <w:p>
      <w:pPr>
        <w:ind w:right="360"/>
        <w:spacing w:after="0" w:line="220" w:lineRule="auto"/>
        <w:rPr>
          <w:sz w:val="20"/>
          <w:szCs w:val="20"/>
          <w:color w:val="auto"/>
        </w:rPr>
      </w:pPr>
      <w:r>
        <w:rPr>
          <w:rFonts w:ascii="Arial" w:cs="Arial" w:eastAsia="Arial" w:hAnsi="Arial"/>
          <w:sz w:val="20"/>
          <w:szCs w:val="20"/>
          <w:color w:val="auto"/>
        </w:rPr>
        <w:t>operations of the Company and its Subsidiaries taken as a whole or (b) the validity or enforceability of any of the Loan Documents or the remedies of the Administrative Agent or the Lenders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Indebtedness</w:t>
      </w:r>
      <w:r>
        <w:rPr>
          <w:rFonts w:ascii="Arial" w:cs="Arial" w:eastAsia="Arial" w:hAnsi="Arial"/>
          <w:sz w:val="16"/>
          <w:szCs w:val="16"/>
          <w:color w:val="auto"/>
        </w:rPr>
        <w:t>” means Indebtedness (other than the Loans and Letters of Credit) of any one or more of the Company and its</w:t>
      </w:r>
    </w:p>
    <w:p>
      <w:pPr>
        <w:spacing w:after="0" w:line="35"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Subsidiaries in an aggregate principal amount exceeding the greater of (a) $150,000,000 (or the Dollar Equivalent thereof) and (b) 6.0% of Consolidated Total Tangible Assets. For purposes of determining Material Indebtedness, the “principal amount” of the obligations of the</w:t>
      </w:r>
    </w:p>
    <w:p>
      <w:pPr>
        <w:spacing w:after="0" w:line="2" w:lineRule="exact"/>
        <w:rPr>
          <w:sz w:val="20"/>
          <w:szCs w:val="20"/>
          <w:color w:val="auto"/>
        </w:rPr>
      </w:pPr>
    </w:p>
    <w:p>
      <w:pPr>
        <w:ind w:right="200"/>
        <w:spacing w:after="0" w:line="329" w:lineRule="auto"/>
        <w:rPr>
          <w:sz w:val="20"/>
          <w:szCs w:val="20"/>
          <w:color w:val="auto"/>
        </w:rPr>
      </w:pPr>
      <w:r>
        <w:rPr>
          <w:rFonts w:ascii="Arial" w:cs="Arial" w:eastAsia="Arial" w:hAnsi="Arial"/>
          <w:sz w:val="16"/>
          <w:szCs w:val="16"/>
          <w:color w:val="auto"/>
        </w:rPr>
        <w:t>Company or any Subsidiary in respect of any Hedge Agreement at any time shall be the maximum aggregate amount (giving effect to any netting agreements) that the Company or such Subsidiary would be required to pay if such Hedge Agreement were terminated at such time.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Subsidiary</w:t>
      </w:r>
      <w:r>
        <w:rPr>
          <w:rFonts w:ascii="Arial" w:cs="Arial" w:eastAsia="Arial" w:hAnsi="Arial"/>
          <w:sz w:val="20"/>
          <w:szCs w:val="20"/>
          <w:color w:val="auto"/>
        </w:rPr>
        <w:t>” means each Subsidiary of the Company that meets either of the following conditions:</w:t>
      </w:r>
    </w:p>
    <w:p>
      <w:pPr>
        <w:spacing w:after="0" w:line="189" w:lineRule="exact"/>
        <w:rPr>
          <w:sz w:val="20"/>
          <w:szCs w:val="20"/>
          <w:color w:val="auto"/>
        </w:rPr>
      </w:pPr>
    </w:p>
    <w:p>
      <w:pPr>
        <w:ind w:right="40" w:firstLine="656"/>
        <w:spacing w:after="0" w:line="220" w:lineRule="auto"/>
        <w:tabs>
          <w:tab w:leader="none" w:pos="106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such Subsidiary has assets (after eliminating assets related to intercompany transactions) that individually constitute at least 15% of Consolidated Total Assets as of the last day of the most recent period of four fiscal quarters of the Company for which audited annual financial statements or quarterly financial statements are required to be delivered pursuant to Section 5.01(a) or Section 5.01(b), respectively; or</w:t>
      </w:r>
    </w:p>
    <w:p>
      <w:pPr>
        <w:spacing w:after="0" w:line="169" w:lineRule="exact"/>
        <w:rPr>
          <w:rFonts w:ascii="Arial" w:cs="Arial" w:eastAsia="Arial" w:hAnsi="Arial"/>
          <w:sz w:val="20"/>
          <w:szCs w:val="20"/>
          <w:color w:val="auto"/>
        </w:rPr>
      </w:pPr>
    </w:p>
    <w:p>
      <w:pPr>
        <w:ind w:right="620" w:firstLine="656"/>
        <w:spacing w:after="0" w:line="252" w:lineRule="auto"/>
        <w:tabs>
          <w:tab w:leader="none" w:pos="107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Subsidiary’s net revenues (excluding intercompany revenues) were at least 15% of the Company’s consolidated net revenues for the most recent period of four fiscal quarters of the Company for which audited annual financial statements or quarterly financial statements are required to be delivered pursuant to Section 5.01(a) or Section 5.01(b),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Maturity Date</w:t>
      </w:r>
      <w:r>
        <w:rPr>
          <w:rFonts w:ascii="Arial" w:cs="Arial" w:eastAsia="Arial" w:hAnsi="Arial"/>
          <w:sz w:val="20"/>
          <w:szCs w:val="20"/>
          <w:color w:val="auto"/>
        </w:rPr>
        <w:t>” means the Revolving Maturity Date and/or the Term Loan Maturity Date, as the context may require.</w:t>
      </w:r>
    </w:p>
    <w:p>
      <w:pPr>
        <w:spacing w:after="0" w:line="189" w:lineRule="exact"/>
        <w:rPr>
          <w:sz w:val="20"/>
          <w:szCs w:val="20"/>
          <w:color w:val="auto"/>
        </w:rPr>
      </w:pPr>
    </w:p>
    <w:p>
      <w:pPr>
        <w:ind w:right="38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Maximum Total Leverage Ratio</w:t>
      </w:r>
      <w:r>
        <w:rPr>
          <w:rFonts w:ascii="Arial" w:cs="Arial" w:eastAsia="Arial" w:hAnsi="Arial"/>
          <w:sz w:val="16"/>
          <w:szCs w:val="16"/>
          <w:color w:val="auto"/>
        </w:rPr>
        <w:t xml:space="preserve">” means 3.75:1.00;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for the two consecutive fiscal quarters ended immediately following the consummation of any Qualified Acquisition (including the fiscal quarter in which such Qualified Acquisition occurs), the</w:t>
      </w:r>
    </w:p>
    <w:p>
      <w:pPr>
        <w:spacing w:after="0" w:line="236" w:lineRule="auto"/>
        <w:rPr>
          <w:sz w:val="20"/>
          <w:szCs w:val="20"/>
          <w:color w:val="auto"/>
        </w:rPr>
      </w:pPr>
      <w:r>
        <w:rPr>
          <w:rFonts w:ascii="Arial" w:cs="Arial" w:eastAsia="Arial" w:hAnsi="Arial"/>
          <w:sz w:val="18"/>
          <w:szCs w:val="18"/>
          <w:color w:val="auto"/>
        </w:rPr>
        <w:t>Maximum Total Leverage Ratio shall be 4.75:1.00; (b) for the fiscal quarter ended immediately after such two fiscal quarters referred to in</w:t>
      </w:r>
    </w:p>
    <w:p>
      <w:pPr>
        <w:spacing w:after="0" w:line="226" w:lineRule="auto"/>
        <w:rPr>
          <w:sz w:val="20"/>
          <w:szCs w:val="20"/>
          <w:color w:val="auto"/>
        </w:rPr>
      </w:pPr>
      <w:r>
        <w:rPr>
          <w:rFonts w:ascii="Arial" w:cs="Arial" w:eastAsia="Arial" w:hAnsi="Arial"/>
          <w:sz w:val="18"/>
          <w:szCs w:val="18"/>
          <w:color w:val="auto"/>
        </w:rPr>
        <w:t>clause (a), the Maximum Total Leverage Ratio shall be 4.50:1.00; (c) for the fiscal quarter ended immediately after the fiscal quarter referred to in clause (b), the Maximum Total Leverage Ratio shall be 4.25:1.00 and (d) for the fiscal quarter ended immediately after the fiscal quarter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referred to in clause (c), the Maximum Total Leverage Ratio shall be 4.00:1.00.</w:t>
      </w:r>
    </w:p>
    <w:p>
      <w:pPr>
        <w:spacing w:after="0" w:line="173"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MLI</w:t>
      </w:r>
      <w:r>
        <w:rPr>
          <w:rFonts w:ascii="Arial" w:cs="Arial" w:eastAsia="Arial" w:hAnsi="Arial"/>
          <w:sz w:val="20"/>
          <w:szCs w:val="20"/>
          <w:color w:val="auto"/>
        </w:rPr>
        <w:t>” means the Multilateral Convention to Implement Tax Treaty Related Measures to Prevent Base Erosion and Profit Shifting published on 24 November 2016 and entering into force on 1 July 2018.</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means a multiemployer plan as defined in Section 4001(a)(3) of ERISA.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Non-Extending Lender</w:t>
      </w:r>
      <w:r>
        <w:rPr>
          <w:rFonts w:ascii="Arial" w:cs="Arial" w:eastAsia="Arial" w:hAnsi="Arial"/>
          <w:sz w:val="20"/>
          <w:szCs w:val="20"/>
          <w:color w:val="auto"/>
        </w:rPr>
        <w:t>” has the meaning assigned to such term in Section 2.22(b).</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any promissory notes executed by any Borrower to evidence the Obligations in accordance with Section 2.10(e).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means the unpaid principal of and interest on (including interest accruing after the maturity of the Loans and LC</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Disbursements and interest accruing after the filing of any petition in bankruptcy, or the commencement of any insolvency, reorganization or like proceeding, relating to the Borrowers, whether or not a claim for post-filing or post-petition interest is allowed in such proceeding) the</w:t>
      </w:r>
    </w:p>
    <w:p>
      <w:pPr>
        <w:spacing w:after="0" w:line="236" w:lineRule="auto"/>
        <w:rPr>
          <w:sz w:val="20"/>
          <w:szCs w:val="20"/>
          <w:color w:val="auto"/>
        </w:rPr>
      </w:pPr>
      <w:r>
        <w:rPr>
          <w:rFonts w:ascii="Arial" w:cs="Arial" w:eastAsia="Arial" w:hAnsi="Arial"/>
          <w:sz w:val="18"/>
          <w:szCs w:val="18"/>
          <w:color w:val="auto"/>
        </w:rPr>
        <w:t>Loans and all other obligations and liabilities of the Borrowers to any Credit Party, whether direct or indirect, absolute or contingent, due or</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to become due, or now existing or hereafter incurred, which may arise under, out of, or in connection with, this Agreement, any other Loan Document, the Letters of Credit, any Designated Hedge Agreement or any other document made, delivered or given in connection herewith</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or therewith, whether on account of principal, interest, reimbursement obligations, fees, indemnities, costs, expenses (including all fees, charges and disbursements of counsel to the Credit Parties that are required to be paid by any Borrower pursuant hereto) or otherwise;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Obligations shall not include any Excluded Swap Obligations.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OFAC</w:t>
      </w:r>
      <w:r>
        <w:rPr>
          <w:rFonts w:ascii="Arial" w:cs="Arial" w:eastAsia="Arial" w:hAnsi="Arial"/>
          <w:sz w:val="20"/>
          <w:szCs w:val="20"/>
          <w:color w:val="auto"/>
        </w:rPr>
        <w:t>” means Office of Foreign Assets Control of the United States Department of the Treasury.</w:t>
      </w:r>
    </w:p>
    <w:p>
      <w:pPr>
        <w:spacing w:after="0" w:line="175" w:lineRule="exact"/>
        <w:rPr>
          <w:sz w:val="20"/>
          <w:szCs w:val="20"/>
          <w:color w:val="auto"/>
        </w:rPr>
      </w:pPr>
    </w:p>
    <w:p>
      <w:pPr>
        <w:ind w:right="36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Operating Lease</w:t>
      </w:r>
      <w:r>
        <w:rPr>
          <w:rFonts w:ascii="Arial" w:cs="Arial" w:eastAsia="Arial" w:hAnsi="Arial"/>
          <w:sz w:val="19"/>
          <w:szCs w:val="19"/>
          <w:color w:val="auto"/>
        </w:rPr>
        <w:t>” as applied to any Person means any lease of any property (whether real, personal or mixed) by that Person as lessee that, in conformity with GAAP, is not accounted for as a Capital Lease on the balance sheet of that Person.</w:t>
      </w:r>
    </w:p>
    <w:p>
      <w:pPr>
        <w:spacing w:after="0" w:line="153" w:lineRule="exact"/>
        <w:rPr>
          <w:sz w:val="20"/>
          <w:szCs w:val="20"/>
          <w:color w:val="auto"/>
        </w:rPr>
      </w:pPr>
    </w:p>
    <w:p>
      <w:pPr>
        <w:jc w:val="both"/>
        <w:ind w:right="62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w:t>
      </w:r>
    </w:p>
    <w:p>
      <w:pPr>
        <w:spacing w:after="0" w:line="236" w:lineRule="auto"/>
        <w:rPr>
          <w:sz w:val="20"/>
          <w:szCs w:val="20"/>
          <w:color w:val="auto"/>
        </w:rPr>
      </w:pPr>
      <w:r>
        <w:rPr>
          <w:rFonts w:ascii="Arial" w:cs="Arial" w:eastAsia="Arial" w:hAnsi="Arial"/>
          <w:sz w:val="18"/>
          <w:szCs w:val="18"/>
          <w:color w:val="auto"/>
        </w:rPr>
        <w:t>delivered, become a party to, performed its obligations under, received payments under, received or perfected a security interest under,</w:t>
      </w:r>
    </w:p>
    <w:p>
      <w:pPr>
        <w:ind w:right="940"/>
        <w:spacing w:after="0" w:line="220" w:lineRule="auto"/>
        <w:rPr>
          <w:sz w:val="20"/>
          <w:szCs w:val="20"/>
          <w:color w:val="auto"/>
        </w:rPr>
      </w:pPr>
      <w:r>
        <w:rPr>
          <w:rFonts w:ascii="Arial" w:cs="Arial" w:eastAsia="Arial" w:hAnsi="Arial"/>
          <w:sz w:val="20"/>
          <w:szCs w:val="20"/>
          <w:color w:val="auto"/>
        </w:rPr>
        <w:t>engaged in any other transaction pursuant to or enforced any Loan Document, or sold or assigned an interest in any Loan or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means all present or future stamp, court or documentary, intangible, recording, filing or similar Taxes that arise from</w:t>
      </w:r>
    </w:p>
    <w:p>
      <w:pPr>
        <w:spacing w:after="0" w:line="1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any payment made under, from the execution, delivery, performance, enforcement or registration of, from the receipt or perfection of a security interest under, or otherwise with respect to, any Loan Document, except any such Taxes that are Other Connection Taxes imposed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an assignment (other than an assignment made pursuant to Section 2.19).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has the meaning assigned to such term in Section 10.04.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40" w:right="379" w:bottom="1440" w:gutter="0" w:footer="0" w:header="0"/>
        </w:sectPr>
      </w:pPr>
    </w:p>
    <w:bookmarkStart w:id="149" w:name="page150"/>
    <w:bookmarkEnd w:id="149"/>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has the meaning assigned to such term in Section 10.04(c).</w:t>
      </w:r>
    </w:p>
    <w:p>
      <w:pPr>
        <w:spacing w:after="0" w:line="18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Participating Member State</w:t>
      </w:r>
      <w:r>
        <w:rPr>
          <w:rFonts w:ascii="Arial" w:cs="Arial" w:eastAsia="Arial" w:hAnsi="Arial"/>
          <w:sz w:val="20"/>
          <w:szCs w:val="20"/>
          <w:color w:val="auto"/>
        </w:rPr>
        <w:t>” means any member state of the European Union that has the Euro as its lawful currency in accordance with legislation of the European Union relating to Economic and Monetary Union.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Office</w:t>
      </w:r>
      <w:r>
        <w:rPr>
          <w:rFonts w:ascii="Arial" w:cs="Arial" w:eastAsia="Arial" w:hAnsi="Arial"/>
          <w:sz w:val="18"/>
          <w:szCs w:val="18"/>
          <w:color w:val="auto"/>
        </w:rPr>
        <w:t>” means the office of the Administrative Agent at 4900 Tiedeman Road, Brooklyn, Ohio 44144, Attention: Donna</w:t>
      </w:r>
    </w:p>
    <w:p>
      <w:pPr>
        <w:spacing w:after="0" w:line="12" w:lineRule="exact"/>
        <w:rPr>
          <w:sz w:val="20"/>
          <w:szCs w:val="20"/>
          <w:color w:val="auto"/>
        </w:rPr>
      </w:pPr>
    </w:p>
    <w:p>
      <w:pPr>
        <w:ind w:right="640"/>
        <w:spacing w:after="0" w:line="220" w:lineRule="auto"/>
        <w:rPr>
          <w:sz w:val="20"/>
          <w:szCs w:val="20"/>
          <w:color w:val="auto"/>
        </w:rPr>
      </w:pPr>
      <w:r>
        <w:rPr>
          <w:rFonts w:ascii="Arial" w:cs="Arial" w:eastAsia="Arial" w:hAnsi="Arial"/>
          <w:sz w:val="20"/>
          <w:szCs w:val="20"/>
          <w:color w:val="auto"/>
        </w:rPr>
        <w:t>Boening (facsimile: 216-370-5997; email: Agent_Servicing@keybank.com), or such other office(s), as the Administrative Agent may designate to the Company in writing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 Recipient</w:t>
      </w:r>
      <w:r>
        <w:rPr>
          <w:rFonts w:ascii="Arial" w:cs="Arial" w:eastAsia="Arial" w:hAnsi="Arial"/>
          <w:sz w:val="20"/>
          <w:szCs w:val="20"/>
          <w:color w:val="auto"/>
        </w:rPr>
        <w:t>” has the meaning assigned to it in Section 8.02.</w:t>
      </w:r>
    </w:p>
    <w:p>
      <w:pPr>
        <w:spacing w:after="0" w:line="189" w:lineRule="exact"/>
        <w:rPr>
          <w:sz w:val="20"/>
          <w:szCs w:val="20"/>
          <w:color w:val="auto"/>
        </w:rPr>
      </w:pPr>
    </w:p>
    <w:p>
      <w:pPr>
        <w:ind w:right="3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Lien</w:t>
      </w:r>
      <w:r>
        <w:rPr>
          <w:rFonts w:ascii="Arial" w:cs="Arial" w:eastAsia="Arial" w:hAnsi="Arial"/>
          <w:sz w:val="20"/>
          <w:szCs w:val="20"/>
          <w:color w:val="auto"/>
        </w:rPr>
        <w:t>” means any Lien permitted by Section 6.03 of this Agreement.</w:t>
      </w:r>
    </w:p>
    <w:p>
      <w:pPr>
        <w:spacing w:after="0" w:line="18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Securitization Transaction</w:t>
      </w:r>
      <w:r>
        <w:rPr>
          <w:rFonts w:ascii="Arial" w:cs="Arial" w:eastAsia="Arial" w:hAnsi="Arial"/>
          <w:sz w:val="18"/>
          <w:szCs w:val="18"/>
          <w:color w:val="auto"/>
        </w:rPr>
        <w:t>” means any transaction or series of transactions designated in writing by the Company to the Administrative Agent to be a “Permitted Securitization Transaction” which is entered into by the Company or any Subsidiary Guarantor</w:t>
      </w:r>
    </w:p>
    <w:p>
      <w:pPr>
        <w:spacing w:after="0" w:line="235" w:lineRule="auto"/>
        <w:rPr>
          <w:sz w:val="20"/>
          <w:szCs w:val="20"/>
          <w:color w:val="auto"/>
        </w:rPr>
      </w:pPr>
      <w:r>
        <w:rPr>
          <w:rFonts w:ascii="Arial" w:cs="Arial" w:eastAsia="Arial" w:hAnsi="Arial"/>
          <w:sz w:val="18"/>
          <w:szCs w:val="18"/>
          <w:color w:val="auto"/>
        </w:rPr>
        <w:t>pursuant to which the Company or any Subsidiary Guarantor, as applicable, may sell, convey or otherwise transfer to any other Person, or</w:t>
      </w:r>
    </w:p>
    <w:p>
      <w:pPr>
        <w:spacing w:after="0" w:line="255" w:lineRule="auto"/>
        <w:rPr>
          <w:sz w:val="20"/>
          <w:szCs w:val="20"/>
          <w:color w:val="auto"/>
        </w:rPr>
      </w:pPr>
      <w:r>
        <w:rPr>
          <w:rFonts w:ascii="Arial" w:cs="Arial" w:eastAsia="Arial" w:hAnsi="Arial"/>
          <w:sz w:val="16"/>
          <w:szCs w:val="16"/>
          <w:color w:val="auto"/>
        </w:rPr>
        <w:t>may grant a security interest in, any accounts receivable (whether now existing or arising in the future) of the Company or such Subsidiary Guarantor, and any assets related thereto, including all collateral securing such accounts receivable, all contracts and all Guaranty Obligations</w:t>
      </w:r>
    </w:p>
    <w:p>
      <w:pPr>
        <w:spacing w:after="0" w:line="235" w:lineRule="auto"/>
        <w:rPr>
          <w:sz w:val="20"/>
          <w:szCs w:val="20"/>
          <w:color w:val="auto"/>
        </w:rPr>
      </w:pPr>
      <w:r>
        <w:rPr>
          <w:rFonts w:ascii="Arial" w:cs="Arial" w:eastAsia="Arial" w:hAnsi="Arial"/>
          <w:sz w:val="18"/>
          <w:szCs w:val="18"/>
          <w:color w:val="auto"/>
        </w:rPr>
        <w:t>or other obligations in respect of such accounts receivable, and proceeds of such accounts receivable and other assets that are customarily</w:t>
      </w:r>
    </w:p>
    <w:p>
      <w:pPr>
        <w:ind w:right="320"/>
        <w:spacing w:after="0" w:line="220" w:lineRule="auto"/>
        <w:rPr>
          <w:sz w:val="20"/>
          <w:szCs w:val="20"/>
          <w:color w:val="auto"/>
        </w:rPr>
      </w:pPr>
      <w:r>
        <w:rPr>
          <w:rFonts w:ascii="Arial" w:cs="Arial" w:eastAsia="Arial" w:hAnsi="Arial"/>
          <w:sz w:val="20"/>
          <w:szCs w:val="20"/>
          <w:color w:val="auto"/>
        </w:rPr>
        <w:t>transferred, or in respect of which security interests are customarily granted, in connection with asset securitization transactions involving accounts receivable.</w:t>
      </w:r>
    </w:p>
    <w:p>
      <w:pPr>
        <w:spacing w:after="0" w:line="170"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any employee pension benefit plan (other than a Multiemployer Plan) subject to the provisions of Title IV of ERISA</w:t>
      </w:r>
    </w:p>
    <w:p>
      <w:pPr>
        <w:spacing w:after="0" w:line="12" w:lineRule="exact"/>
        <w:rPr>
          <w:sz w:val="20"/>
          <w:szCs w:val="20"/>
          <w:color w:val="auto"/>
        </w:rPr>
      </w:pPr>
    </w:p>
    <w:p>
      <w:pPr>
        <w:ind w:right="180"/>
        <w:spacing w:after="0" w:line="232" w:lineRule="auto"/>
        <w:rPr>
          <w:sz w:val="20"/>
          <w:szCs w:val="20"/>
          <w:color w:val="auto"/>
        </w:rPr>
      </w:pPr>
      <w:r>
        <w:rPr>
          <w:rFonts w:ascii="Arial" w:cs="Arial" w:eastAsia="Arial" w:hAnsi="Arial"/>
          <w:sz w:val="19"/>
          <w:szCs w:val="19"/>
          <w:color w:val="auto"/>
        </w:rPr>
        <w:t>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means the rate of interest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publicly announced from time to time by KeyBank National Association (or any</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replacement Administrative Agent) as its prime rate in effect at its office located at 127 Public Square, Cleveland, Ohio 44114-1306 (or the principal office of any such replacement Administrative Agent); each change in the Prime Rate shall be effective from and including the date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change is publicly announced as being effective.</w:t>
      </w:r>
    </w:p>
    <w:p>
      <w:pPr>
        <w:spacing w:after="0" w:line="173" w:lineRule="exact"/>
        <w:rPr>
          <w:sz w:val="20"/>
          <w:szCs w:val="20"/>
          <w:color w:val="auto"/>
        </w:rPr>
      </w:pPr>
    </w:p>
    <w:p>
      <w:pPr>
        <w:ind w:right="16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Forma Basis</w:t>
      </w:r>
      <w:r>
        <w:rPr>
          <w:rFonts w:ascii="Arial" w:cs="Arial" w:eastAsia="Arial" w:hAnsi="Arial"/>
          <w:sz w:val="16"/>
          <w:szCs w:val="16"/>
          <w:color w:val="auto"/>
        </w:rPr>
        <w:t>” means, with respect to any Testing Period during which any Acquisition or Asset Sale occurs (and for purposes of determining whether an acquisition is an Acquisition or whether the Company and its Subsidiaries may take any other actions requiring</w:t>
      </w:r>
    </w:p>
    <w:p>
      <w:pPr>
        <w:spacing w:after="0" w:line="236" w:lineRule="auto"/>
        <w:rPr>
          <w:sz w:val="20"/>
          <w:szCs w:val="20"/>
          <w:color w:val="auto"/>
        </w:rPr>
      </w:pPr>
      <w:r>
        <w:rPr>
          <w:rFonts w:ascii="Arial" w:cs="Arial" w:eastAsia="Arial" w:hAnsi="Arial"/>
          <w:sz w:val="18"/>
          <w:szCs w:val="18"/>
          <w:color w:val="auto"/>
        </w:rPr>
        <w:t>compliance with a specified ratio), the Total Leverage Ratio and Interest Coverage Ratio shall be calculated with respect to such Testing</w:t>
      </w:r>
    </w:p>
    <w:p>
      <w:pPr>
        <w:ind w:right="240"/>
        <w:spacing w:after="0" w:line="255" w:lineRule="auto"/>
        <w:rPr>
          <w:sz w:val="20"/>
          <w:szCs w:val="20"/>
          <w:color w:val="auto"/>
        </w:rPr>
      </w:pPr>
      <w:r>
        <w:rPr>
          <w:rFonts w:ascii="Arial" w:cs="Arial" w:eastAsia="Arial" w:hAnsi="Arial"/>
          <w:sz w:val="16"/>
          <w:szCs w:val="16"/>
          <w:color w:val="auto"/>
        </w:rPr>
        <w:t>Period on a pro forma basis after giving effect to such Acquisition or Asset Sale (and any related repayment or incurrence of Indebtedness) (including, without limitation or duplication, (a) additional add backs which are (i) determined on a basis consistent with Article 11 of</w:t>
      </w:r>
    </w:p>
    <w:p>
      <w:pPr>
        <w:spacing w:after="0" w:line="235" w:lineRule="auto"/>
        <w:rPr>
          <w:sz w:val="20"/>
          <w:szCs w:val="20"/>
          <w:color w:val="auto"/>
        </w:rPr>
      </w:pPr>
      <w:r>
        <w:rPr>
          <w:rFonts w:ascii="Arial" w:cs="Arial" w:eastAsia="Arial" w:hAnsi="Arial"/>
          <w:sz w:val="18"/>
          <w:szCs w:val="18"/>
          <w:color w:val="auto"/>
        </w:rPr>
        <w:t>Regulation S-X promulgated under the Exchange Act and as interpreted by the staff of the Securities and Exchange Commission (or any</w:t>
      </w:r>
    </w:p>
    <w:p>
      <w:pPr>
        <w:jc w:val="both"/>
        <w:spacing w:after="0" w:line="255" w:lineRule="auto"/>
        <w:rPr>
          <w:sz w:val="20"/>
          <w:szCs w:val="20"/>
          <w:color w:val="auto"/>
        </w:rPr>
      </w:pPr>
      <w:r>
        <w:rPr>
          <w:rFonts w:ascii="Arial" w:cs="Arial" w:eastAsia="Arial" w:hAnsi="Arial"/>
          <w:sz w:val="16"/>
          <w:szCs w:val="16"/>
          <w:color w:val="auto"/>
        </w:rPr>
        <w:t>successor agency), (ii) recommended by any due diligence quality of earnings report reasonably acceptable to the Administrative Agent (such acceptance not to be unreasonably withheld) conducted by (y) a firm of independent public accountants of recognized national standing or (z)</w:t>
      </w:r>
    </w:p>
    <w:p>
      <w:pPr>
        <w:spacing w:after="0" w:line="235" w:lineRule="auto"/>
        <w:rPr>
          <w:sz w:val="20"/>
          <w:szCs w:val="20"/>
          <w:color w:val="auto"/>
        </w:rPr>
      </w:pPr>
      <w:r>
        <w:rPr>
          <w:rFonts w:ascii="Arial" w:cs="Arial" w:eastAsia="Arial" w:hAnsi="Arial"/>
          <w:sz w:val="18"/>
          <w:szCs w:val="18"/>
          <w:color w:val="auto"/>
        </w:rPr>
        <w:t>any other accounting firm reasonably satisfactory to the Administrative Agent, selected by the Company and retained by the Company; or</w:t>
      </w:r>
    </w:p>
    <w:p>
      <w:pPr>
        <w:ind w:right="260" w:firstLine="8"/>
        <w:spacing w:after="0" w:line="217" w:lineRule="auto"/>
        <w:tabs>
          <w:tab w:leader="none" w:pos="34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otherwise determined in such other manner reasonably acceptable to the Administrative Agent and (b) pro forma adjustments, for cost savings and other operating efficiencies (net of continuing associated expenses) to the extent the actions underlying such cost savings and operating efficiencies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been or are reasonably expected to be implemented and such cost savings and operating efficiencies are factually supportable and are</w:t>
      </w:r>
    </w:p>
    <w:p>
      <w:pPr>
        <w:spacing w:after="0" w:line="1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expected to have a continuing impact), using, for purposes of making such calculations, the historical financial statements of the Company and its Subsidiaries which shall be reformulated as if such Acquisition or Asset Sale, and any other Acquisition or Asset Sale that has been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consummated during such Testing Period, had been consummated on the first day of such Testing Period.</w:t>
      </w:r>
    </w:p>
    <w:p>
      <w:pPr>
        <w:spacing w:after="0" w:line="173" w:lineRule="exact"/>
        <w:rPr>
          <w:sz w:val="20"/>
          <w:szCs w:val="20"/>
          <w:color w:val="auto"/>
        </w:rPr>
      </w:pPr>
    </w:p>
    <w:p>
      <w:pPr>
        <w:ind w:right="220"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Pro-Rata Share</w:t>
      </w:r>
      <w:r>
        <w:rPr>
          <w:rFonts w:ascii="Arial" w:cs="Arial" w:eastAsia="Arial" w:hAnsi="Arial"/>
          <w:sz w:val="16"/>
          <w:szCs w:val="16"/>
          <w:color w:val="auto"/>
        </w:rPr>
        <w:t>” means, with respect to any Lender, the percentage of the total Term Loan Exposure, Revolving Credit Exposure and unused Commitments represented by such Lender’s Term Loan Exposure, Revolving Credit Exposure and unused Commitments.</w:t>
      </w:r>
    </w:p>
    <w:p>
      <w:pPr>
        <w:spacing w:after="0" w:line="97" w:lineRule="exact"/>
        <w:rPr>
          <w:sz w:val="20"/>
          <w:szCs w:val="20"/>
          <w:color w:val="auto"/>
        </w:rPr>
      </w:pPr>
    </w:p>
    <w:p>
      <w:pPr>
        <w:ind w:right="2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Acquisition</w:t>
      </w:r>
      <w:r>
        <w:rPr>
          <w:rFonts w:ascii="Arial" w:cs="Arial" w:eastAsia="Arial" w:hAnsi="Arial"/>
          <w:sz w:val="20"/>
          <w:szCs w:val="20"/>
          <w:color w:val="auto"/>
        </w:rPr>
        <w:t>” means any Acquisition that has been designated to the Administrative Agent by a Financial Officer of the Company as a “Qualified Acquisition”.</w:t>
      </w:r>
    </w:p>
    <w:p>
      <w:pPr>
        <w:spacing w:after="0" w:line="155" w:lineRule="exact"/>
        <w:rPr>
          <w:sz w:val="20"/>
          <w:szCs w:val="20"/>
          <w:color w:val="auto"/>
        </w:rPr>
      </w:pPr>
    </w:p>
    <w:p>
      <w:pPr>
        <w:ind w:right="60"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Qualified ECP Guarantor</w:t>
      </w:r>
      <w:r>
        <w:rPr>
          <w:rFonts w:ascii="Arial" w:cs="Arial" w:eastAsia="Arial" w:hAnsi="Arial"/>
          <w:sz w:val="16"/>
          <w:szCs w:val="16"/>
          <w:color w:val="auto"/>
        </w:rPr>
        <w:t>” means, in respect of any Obligations with respect to a Designated Hedge Agreement, each Loan Party that has total assets exceeding $10,000,000 at the time the relevant guarantee or grant of the relevant security interest becomes effective with</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respect to such Obligations or such other person as constitutes an “eligible contract participant” under the Commodity Exchange Act or any regulations promulgated thereunder and can cause another person to qualify as an “eligible contract participant” at such time by entering into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 keepwell under Section 1a(18)(A)(v)(II) of the Commodity Exchange Act.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means (a) the Administrative Agent, (b) any Lender and (c) any Issuing Bank, as applicable.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has the meaning assigned to such term in Section 10.04.</w:t>
      </w:r>
    </w:p>
    <w:p>
      <w:pPr>
        <w:spacing w:after="0" w:line="189" w:lineRule="exact"/>
        <w:rPr>
          <w:sz w:val="20"/>
          <w:szCs w:val="20"/>
          <w:color w:val="auto"/>
        </w:rPr>
      </w:pPr>
    </w:p>
    <w:p>
      <w:pPr>
        <w:ind w:right="7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depositing, spilling, leaking, pumping, pouring, emitting, emptying, discharging, injecting, escaping, leaching,</w:t>
      </w:r>
    </w:p>
    <w:p>
      <w:pPr>
        <w:spacing w:after="0" w:line="12" w:lineRule="exact"/>
        <w:rPr>
          <w:sz w:val="20"/>
          <w:szCs w:val="20"/>
          <w:color w:val="auto"/>
        </w:rPr>
      </w:pPr>
    </w:p>
    <w:p>
      <w:pPr>
        <w:ind w:right="260"/>
        <w:spacing w:after="0" w:line="220" w:lineRule="auto"/>
        <w:rPr>
          <w:sz w:val="20"/>
          <w:szCs w:val="20"/>
          <w:color w:val="auto"/>
        </w:rPr>
      </w:pPr>
      <w:r>
        <w:rPr>
          <w:rFonts w:ascii="Arial" w:cs="Arial" w:eastAsia="Arial" w:hAnsi="Arial"/>
          <w:sz w:val="20"/>
          <w:szCs w:val="20"/>
          <w:color w:val="auto"/>
        </w:rPr>
        <w:t>seeping, dumping, placing, discarding, abandonment, or disposing into the environment (including abandonment or disposal of any barrel, container or other closed receptacle containing any Hazardous Materials).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Facility Lenders</w:t>
      </w:r>
      <w:r>
        <w:rPr>
          <w:rFonts w:ascii="Arial" w:cs="Arial" w:eastAsia="Arial" w:hAnsi="Arial"/>
          <w:sz w:val="18"/>
          <w:szCs w:val="18"/>
          <w:color w:val="auto"/>
        </w:rPr>
        <w:t>” means, with respect to any Facility, the holders of more than 50% of the total Term Loan Exposures or</w:t>
      </w:r>
    </w:p>
    <w:p>
      <w:pPr>
        <w:spacing w:after="0" w:line="1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 xml:space="preserve">the total Revolving Commitments, as the case may be, outstanding under such Facility (or, in the case of the Revolving Facility, after any termination of the Revolving Commitments, the holders of more than 50% of the total Revolving Credit Exposures);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w:t>
      </w:r>
    </w:p>
    <w:p>
      <w:pPr>
        <w:spacing w:after="0" w:line="236" w:lineRule="auto"/>
        <w:rPr>
          <w:sz w:val="20"/>
          <w:szCs w:val="20"/>
          <w:color w:val="auto"/>
        </w:rPr>
      </w:pPr>
      <w:r>
        <w:rPr>
          <w:rFonts w:ascii="Arial" w:cs="Arial" w:eastAsia="Arial" w:hAnsi="Arial"/>
          <w:sz w:val="18"/>
          <w:szCs w:val="18"/>
          <w:color w:val="auto"/>
        </w:rPr>
        <w:t>event any Lender shall be a Defaulting Lender, then for so long as such Lender is a Defaulting Lender, “Majority Facility Lenders” means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Lenders (excluding all Defaulting Lenders) having more than 50% of the total Term Loan Exposures or the total Revolving Commitments (or total Revolving Credit Exposures), as the case may be, outstanding under such Facility (excluding the Term Loan Exposures, Revolving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Commitments and Revolving Credit Exposures, as applicable, of all Defaulting Lenders).</w:t>
      </w:r>
    </w:p>
    <w:p>
      <w:pPr>
        <w:spacing w:after="0" w:line="173" w:lineRule="exact"/>
        <w:rPr>
          <w:sz w:val="20"/>
          <w:szCs w:val="20"/>
          <w:color w:val="auto"/>
        </w:rPr>
      </w:pPr>
    </w:p>
    <w:p>
      <w:pPr>
        <w:ind w:right="94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Lenders</w:t>
      </w:r>
      <w:r>
        <w:rPr>
          <w:rFonts w:ascii="Arial" w:cs="Arial" w:eastAsia="Arial" w:hAnsi="Arial"/>
          <w:sz w:val="16"/>
          <w:szCs w:val="16"/>
          <w:color w:val="auto"/>
        </w:rPr>
        <w:t>” means, at any time, Lenders having Term Loan Exposures, Revolving Credit Exposures and unused Commitments representing more than 50% of the sum of the total Term Loan Exposures, Revolving Credit Exposures and unused</w:t>
      </w:r>
    </w:p>
    <w:p>
      <w:pPr>
        <w:spacing w:after="0" w:line="236" w:lineRule="auto"/>
        <w:rPr>
          <w:sz w:val="20"/>
          <w:szCs w:val="20"/>
          <w:color w:val="auto"/>
        </w:rPr>
      </w:pPr>
      <w:r>
        <w:rPr>
          <w:rFonts w:ascii="Arial" w:cs="Arial" w:eastAsia="Arial" w:hAnsi="Arial"/>
          <w:sz w:val="18"/>
          <w:szCs w:val="18"/>
          <w:color w:val="auto"/>
        </w:rPr>
        <w:t xml:space="preserve">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any of the Lenders shall be a Defaulting Lender, then for so long as such Lender is a</w:t>
      </w:r>
    </w:p>
    <w:p>
      <w:pPr>
        <w:ind w:right="60"/>
        <w:spacing w:after="0" w:line="255" w:lineRule="auto"/>
        <w:rPr>
          <w:sz w:val="20"/>
          <w:szCs w:val="20"/>
          <w:color w:val="auto"/>
        </w:rPr>
      </w:pPr>
      <w:r>
        <w:rPr>
          <w:rFonts w:ascii="Arial" w:cs="Arial" w:eastAsia="Arial" w:hAnsi="Arial"/>
          <w:sz w:val="16"/>
          <w:szCs w:val="16"/>
          <w:color w:val="auto"/>
        </w:rPr>
        <w:t>Defaulting Lender, “Required Lenders” means Lenders (excluding all Defaulting Lenders) having Term Loan Exposures, Revolving Credit Exposures and unused Commitments representing more than 50% of the sum of the total Term Loan Exposures, Revolving Credit Exposures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unused Commitments of such Lenders (excluding all Defaulting Lenders) at such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Resolution Authority</w:t>
      </w:r>
      <w:r>
        <w:rPr>
          <w:rFonts w:ascii="Arial" w:cs="Arial" w:eastAsia="Arial" w:hAnsi="Arial"/>
          <w:sz w:val="20"/>
          <w:szCs w:val="20"/>
          <w:color w:val="auto"/>
        </w:rPr>
        <w:t>” means any body which has authority to exercise any Write-Down and Conversion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82" w:lineRule="exact"/>
        <w:rPr>
          <w:sz w:val="20"/>
          <w:szCs w:val="20"/>
          <w:color w:val="auto"/>
        </w:rPr>
      </w:pPr>
    </w:p>
    <w:p>
      <w:pPr>
        <w:ind w:right="1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Borrowers</w:t>
      </w:r>
      <w:r>
        <w:rPr>
          <w:rFonts w:ascii="Arial" w:cs="Arial" w:eastAsia="Arial" w:hAnsi="Arial"/>
          <w:sz w:val="20"/>
          <w:szCs w:val="20"/>
          <w:color w:val="auto"/>
        </w:rPr>
        <w:t>” means, collectively, (a) the Company, (b) Cooper UK, (c) CooperSurgical UK and (d) any other Additional Revolving Borrower, and “</w:t>
      </w:r>
      <w:r>
        <w:rPr>
          <w:rFonts w:ascii="Arial" w:cs="Arial" w:eastAsia="Arial" w:hAnsi="Arial"/>
          <w:sz w:val="20"/>
          <w:szCs w:val="20"/>
          <w:b w:val="1"/>
          <w:bCs w:val="1"/>
          <w:i w:val="1"/>
          <w:iCs w:val="1"/>
          <w:color w:val="auto"/>
        </w:rPr>
        <w:t>Revolving Borrower</w:t>
      </w:r>
      <w:r>
        <w:rPr>
          <w:rFonts w:ascii="Arial" w:cs="Arial" w:eastAsia="Arial" w:hAnsi="Arial"/>
          <w:sz w:val="20"/>
          <w:szCs w:val="20"/>
          <w:color w:val="auto"/>
        </w:rPr>
        <w:t>” means each of them individually.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Borrowing</w:t>
      </w:r>
      <w:r>
        <w:rPr>
          <w:rFonts w:ascii="Arial" w:cs="Arial" w:eastAsia="Arial" w:hAnsi="Arial"/>
          <w:sz w:val="20"/>
          <w:szCs w:val="20"/>
          <w:color w:val="auto"/>
        </w:rPr>
        <w:t>” means a Borrowing of Revolving Loans.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Commitment</w:t>
      </w:r>
      <w:r>
        <w:rPr>
          <w:rFonts w:ascii="Arial" w:cs="Arial" w:eastAsia="Arial" w:hAnsi="Arial"/>
          <w:sz w:val="18"/>
          <w:szCs w:val="18"/>
          <w:color w:val="auto"/>
        </w:rPr>
        <w:t>” means, with respect to each Lender, the commitment of such Lender to make Revolving Loans and to</w:t>
      </w:r>
    </w:p>
    <w:p>
      <w:pPr>
        <w:spacing w:after="0" w:line="12"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acquire participations in Letters of Credit and Swingline Loans hereunder, expressed as an amount representing the maximum aggregate amount of such Lender’s Revolving Credit Exposure hereunder, as such commitment may be (a) reduced from time to time pursuant to</w:t>
      </w:r>
    </w:p>
    <w:p>
      <w:pPr>
        <w:spacing w:after="0" w:line="223" w:lineRule="auto"/>
        <w:rPr>
          <w:sz w:val="20"/>
          <w:szCs w:val="20"/>
          <w:color w:val="auto"/>
        </w:rPr>
      </w:pPr>
      <w:r>
        <w:rPr>
          <w:rFonts w:ascii="Arial" w:cs="Arial" w:eastAsia="Arial" w:hAnsi="Arial"/>
          <w:sz w:val="19"/>
          <w:szCs w:val="19"/>
          <w:color w:val="auto"/>
        </w:rPr>
        <w:t>Section 2.09, (b) increased from time to time pursuant to Section 2.04, and (c) reduced or increased from time to time pursuant to</w:t>
      </w:r>
    </w:p>
    <w:p>
      <w:pPr>
        <w:ind w:right="20"/>
        <w:spacing w:after="0" w:line="226" w:lineRule="auto"/>
        <w:rPr>
          <w:sz w:val="20"/>
          <w:szCs w:val="20"/>
          <w:color w:val="auto"/>
        </w:rPr>
      </w:pPr>
      <w:r>
        <w:rPr>
          <w:rFonts w:ascii="Arial" w:cs="Arial" w:eastAsia="Arial" w:hAnsi="Arial"/>
          <w:sz w:val="18"/>
          <w:szCs w:val="18"/>
          <w:color w:val="auto"/>
        </w:rPr>
        <w:t xml:space="preserve">assignments by or to such Lender pursuant to Section 10.04. The initial amount of each Lender’s Revolving Commitment is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or in the Additional Credit Extension Amendment or the Assignment and Assumption pursuant to which such Lender shall</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have assumed its Revolving Commitment, as applicable. The initial aggregate amount of the Lenders’ Revolving Commitments is the Dollar Equivalent of $1,290,000,000.</w:t>
      </w:r>
    </w:p>
    <w:p>
      <w:pPr>
        <w:spacing w:after="0" w:line="156" w:lineRule="exact"/>
        <w:rPr>
          <w:sz w:val="20"/>
          <w:szCs w:val="20"/>
          <w:color w:val="auto"/>
        </w:rPr>
      </w:pPr>
    </w:p>
    <w:p>
      <w:pPr>
        <w:ind w:right="40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Credit Exposure</w:t>
      </w:r>
      <w:r>
        <w:rPr>
          <w:rFonts w:ascii="Arial" w:cs="Arial" w:eastAsia="Arial" w:hAnsi="Arial"/>
          <w:sz w:val="18"/>
          <w:szCs w:val="18"/>
          <w:color w:val="auto"/>
        </w:rPr>
        <w:t>” means, with respect to any Revolving Lender at any time, the Dollar Equivalent of the sum of the outstanding principal amount of such Lender’s Revolving Loans and its LC Exposure and Swingline Exposure at such time.</w:t>
      </w:r>
    </w:p>
    <w:p>
      <w:pPr>
        <w:spacing w:after="0" w:line="12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Facility</w:t>
      </w:r>
      <w:r>
        <w:rPr>
          <w:rFonts w:ascii="Arial" w:cs="Arial" w:eastAsia="Arial" w:hAnsi="Arial"/>
          <w:sz w:val="20"/>
          <w:szCs w:val="20"/>
          <w:color w:val="auto"/>
        </w:rPr>
        <w:t>” means the Revolving Commitments and the Revolving Loans and Swingline Loans made, and Letters of Credit issued, thereunder.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Lender</w:t>
      </w:r>
      <w:r>
        <w:rPr>
          <w:rFonts w:ascii="Arial" w:cs="Arial" w:eastAsia="Arial" w:hAnsi="Arial"/>
          <w:sz w:val="20"/>
          <w:szCs w:val="20"/>
          <w:color w:val="auto"/>
        </w:rPr>
        <w:t>” means a Lender with a Revolving Commitment or Revolving Credit Exposure.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w:t>
      </w:r>
      <w:r>
        <w:rPr>
          <w:rFonts w:ascii="Arial" w:cs="Arial" w:eastAsia="Arial" w:hAnsi="Arial"/>
          <w:sz w:val="20"/>
          <w:szCs w:val="20"/>
          <w:color w:val="auto"/>
        </w:rPr>
        <w:t>” means a Loan made pursuant to Section 2.01(a) and Section 2.03.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Maturity Date</w:t>
      </w:r>
      <w:r>
        <w:rPr>
          <w:rFonts w:ascii="Arial" w:cs="Arial" w:eastAsia="Arial" w:hAnsi="Arial"/>
          <w:sz w:val="20"/>
          <w:szCs w:val="20"/>
          <w:color w:val="auto"/>
        </w:rPr>
        <w:t>” means April 1, 2025.</w:t>
      </w:r>
    </w:p>
    <w:p>
      <w:pPr>
        <w:spacing w:after="0" w:line="189" w:lineRule="exact"/>
        <w:rPr>
          <w:sz w:val="20"/>
          <w:szCs w:val="20"/>
          <w:color w:val="auto"/>
        </w:rPr>
      </w:pPr>
    </w:p>
    <w:p>
      <w:pPr>
        <w:ind w:right="74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Revolving Percentage</w:t>
      </w:r>
      <w:r>
        <w:rPr>
          <w:rFonts w:ascii="Arial" w:cs="Arial" w:eastAsia="Arial" w:hAnsi="Arial"/>
          <w:sz w:val="16"/>
          <w:szCs w:val="16"/>
          <w:color w:val="auto"/>
        </w:rPr>
        <w:t>” means, with respect to any Revolving Lender, the percentage of the total Revolving Commitments represented by such Lender’s Revolving Commitment. If the Revolving Commitments have terminated or expired, the Revolving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Percentages shall be determined based upon the Revolving Commitments most recently in effect, giving effect to any assignments.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RFR</w:t>
      </w:r>
      <w:r>
        <w:rPr>
          <w:rFonts w:ascii="Arial" w:cs="Arial" w:eastAsia="Arial" w:hAnsi="Arial"/>
          <w:sz w:val="18"/>
          <w:szCs w:val="18"/>
          <w:color w:val="auto"/>
        </w:rPr>
        <w:t>” means, for any Obligations, interest, fees, commissions or other amounts denominated in, or calculated with respect to,</w:t>
      </w:r>
    </w:p>
    <w:p>
      <w:pPr>
        <w:spacing w:after="0"/>
        <w:rPr>
          <w:sz w:val="20"/>
          <w:szCs w:val="20"/>
          <w:color w:val="auto"/>
        </w:rPr>
      </w:pPr>
      <w:r>
        <w:rPr>
          <w:rFonts w:ascii="Arial" w:cs="Arial" w:eastAsia="Arial" w:hAnsi="Arial"/>
          <w:sz w:val="20"/>
          <w:szCs w:val="20"/>
          <w:color w:val="auto"/>
        </w:rPr>
        <w:t>(a) Sterling, SONIA, (b) Swiss Francs, SARON, and (c) Yen, TONAR.</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Adjustment</w:t>
      </w:r>
      <w:r>
        <w:rPr>
          <w:rFonts w:ascii="Arial" w:cs="Arial" w:eastAsia="Arial" w:hAnsi="Arial"/>
          <w:sz w:val="20"/>
          <w:szCs w:val="20"/>
          <w:color w:val="auto"/>
        </w:rPr>
        <w:t>” means with respect to RFR Loans or Letters of Credit denominated in an RFR Currency, the adjustment set forth in the table below corresponding to such RFR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20" w:top="1440" w:right="399" w:bottom="1440" w:gutter="0" w:footer="0" w:header="0"/>
        </w:sectPr>
      </w:pPr>
    </w:p>
    <w:bookmarkStart w:id="152" w:name="page153"/>
    <w:bookmarkEnd w:id="152"/>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929005</wp:posOffset>
            </wp:positionV>
            <wp:extent cx="4020185" cy="1911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020185" cy="1911985"/>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423"/>
        </w:trPr>
        <w:tc>
          <w:tcPr>
            <w:tcW w:w="2060" w:type="dxa"/>
            <w:vAlign w:val="bottom"/>
            <w:vMerge w:val="restart"/>
            <w:shd w:val="clear" w:color="auto" w:fill="D9D9D9"/>
          </w:tcPr>
          <w:p>
            <w:pPr>
              <w:ind w:left="720"/>
              <w:spacing w:after="0"/>
              <w:rPr>
                <w:sz w:val="20"/>
                <w:szCs w:val="20"/>
                <w:color w:val="auto"/>
              </w:rPr>
            </w:pPr>
            <w:r>
              <w:rPr>
                <w:rFonts w:ascii="Arial" w:cs="Arial" w:eastAsia="Arial" w:hAnsi="Arial"/>
                <w:sz w:val="20"/>
                <w:szCs w:val="20"/>
                <w:b w:val="1"/>
                <w:bCs w:val="1"/>
                <w:color w:val="auto"/>
              </w:rPr>
              <w:t>Currency</w:t>
            </w:r>
          </w:p>
        </w:tc>
        <w:tc>
          <w:tcPr>
            <w:tcW w:w="4260" w:type="dxa"/>
            <w:vAlign w:val="bottom"/>
            <w:shd w:val="clear" w:color="auto" w:fill="D9D9D9"/>
          </w:tcPr>
          <w:p>
            <w:pPr>
              <w:ind w:left="1180"/>
              <w:spacing w:after="0"/>
              <w:rPr>
                <w:sz w:val="20"/>
                <w:szCs w:val="20"/>
                <w:color w:val="auto"/>
              </w:rPr>
            </w:pPr>
            <w:r>
              <w:rPr>
                <w:rFonts w:ascii="Arial" w:cs="Arial" w:eastAsia="Arial" w:hAnsi="Arial"/>
                <w:sz w:val="20"/>
                <w:szCs w:val="20"/>
                <w:b w:val="1"/>
                <w:bCs w:val="1"/>
                <w:color w:val="auto"/>
              </w:rPr>
              <w:t>Adjustment to</w:t>
            </w:r>
          </w:p>
        </w:tc>
        <w:tc>
          <w:tcPr>
            <w:tcW w:w="0" w:type="dxa"/>
            <w:vAlign w:val="bottom"/>
          </w:tcPr>
          <w:p>
            <w:pPr>
              <w:spacing w:after="0"/>
              <w:rPr>
                <w:sz w:val="1"/>
                <w:szCs w:val="1"/>
                <w:color w:val="auto"/>
              </w:rPr>
            </w:pPr>
          </w:p>
        </w:tc>
      </w:tr>
      <w:tr>
        <w:trPr>
          <w:trHeight w:val="148"/>
        </w:trPr>
        <w:tc>
          <w:tcPr>
            <w:tcW w:w="2060" w:type="dxa"/>
            <w:vAlign w:val="bottom"/>
            <w:vMerge w:val="continue"/>
            <w:shd w:val="clear" w:color="auto" w:fill="D9D9D9"/>
          </w:tcPr>
          <w:p>
            <w:pPr>
              <w:spacing w:after="0"/>
              <w:rPr>
                <w:sz w:val="12"/>
                <w:szCs w:val="12"/>
                <w:color w:val="auto"/>
              </w:rPr>
            </w:pPr>
          </w:p>
        </w:tc>
        <w:tc>
          <w:tcPr>
            <w:tcW w:w="4260" w:type="dxa"/>
            <w:vAlign w:val="bottom"/>
            <w:vMerge w:val="restart"/>
            <w:shd w:val="clear" w:color="auto" w:fill="D9D9D9"/>
          </w:tcPr>
          <w:p>
            <w:pPr>
              <w:ind w:left="540"/>
              <w:spacing w:after="0"/>
              <w:rPr>
                <w:sz w:val="20"/>
                <w:szCs w:val="20"/>
                <w:color w:val="auto"/>
              </w:rPr>
            </w:pPr>
            <w:r>
              <w:rPr>
                <w:rFonts w:ascii="Arial" w:cs="Arial" w:eastAsia="Arial" w:hAnsi="Arial"/>
                <w:sz w:val="20"/>
                <w:szCs w:val="20"/>
                <w:b w:val="1"/>
                <w:bCs w:val="1"/>
                <w:color w:val="auto"/>
              </w:rPr>
              <w:t>Daily Simple RFR</w:t>
            </w:r>
          </w:p>
        </w:tc>
        <w:tc>
          <w:tcPr>
            <w:tcW w:w="0" w:type="dxa"/>
            <w:vAlign w:val="bottom"/>
          </w:tcPr>
          <w:p>
            <w:pPr>
              <w:spacing w:after="0"/>
              <w:rPr>
                <w:sz w:val="1"/>
                <w:szCs w:val="1"/>
                <w:color w:val="auto"/>
              </w:rPr>
            </w:pPr>
          </w:p>
        </w:tc>
      </w:tr>
      <w:tr>
        <w:trPr>
          <w:trHeight w:val="108"/>
        </w:trPr>
        <w:tc>
          <w:tcPr>
            <w:tcW w:w="2060" w:type="dxa"/>
            <w:vAlign w:val="bottom"/>
            <w:shd w:val="clear" w:color="auto" w:fill="D9D9D9"/>
          </w:tcPr>
          <w:p>
            <w:pPr>
              <w:spacing w:after="0"/>
              <w:rPr>
                <w:sz w:val="9"/>
                <w:szCs w:val="9"/>
                <w:color w:val="auto"/>
              </w:rPr>
            </w:pPr>
          </w:p>
        </w:tc>
        <w:tc>
          <w:tcPr>
            <w:tcW w:w="426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060" w:type="dxa"/>
            <w:vAlign w:val="bottom"/>
            <w:shd w:val="clear" w:color="auto" w:fill="D9D9D9"/>
          </w:tcPr>
          <w:p>
            <w:pPr>
              <w:spacing w:after="0"/>
              <w:rPr>
                <w:sz w:val="18"/>
                <w:szCs w:val="18"/>
                <w:color w:val="auto"/>
              </w:rPr>
            </w:pPr>
          </w:p>
        </w:tc>
        <w:tc>
          <w:tcPr>
            <w:tcW w:w="42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20"/>
        <w:spacing w:after="0"/>
        <w:tabs>
          <w:tab w:leader="none" w:pos="4520" w:val="left"/>
        </w:tabs>
        <w:rPr>
          <w:sz w:val="20"/>
          <w:szCs w:val="20"/>
          <w:color w:val="auto"/>
        </w:rPr>
      </w:pPr>
      <w:r>
        <w:rPr>
          <w:rFonts w:ascii="Arial" w:cs="Arial" w:eastAsia="Arial" w:hAnsi="Arial"/>
          <w:sz w:val="20"/>
          <w:szCs w:val="20"/>
          <w:color w:val="auto"/>
        </w:rPr>
        <w:t>Sterling</w:t>
      </w:r>
      <w:r>
        <w:rPr>
          <w:sz w:val="20"/>
          <w:szCs w:val="20"/>
          <w:color w:val="auto"/>
        </w:rPr>
        <w:tab/>
      </w:r>
      <w:r>
        <w:rPr>
          <w:rFonts w:ascii="Arial" w:cs="Arial" w:eastAsia="Arial" w:hAnsi="Arial"/>
          <w:sz w:val="20"/>
          <w:szCs w:val="20"/>
          <w:color w:val="auto"/>
        </w:rPr>
        <w:t>0.0326%</w:t>
      </w:r>
    </w:p>
    <w:p>
      <w:pPr>
        <w:spacing w:after="0" w:line="200" w:lineRule="exact"/>
        <w:rPr>
          <w:sz w:val="20"/>
          <w:szCs w:val="20"/>
          <w:color w:val="auto"/>
        </w:rPr>
      </w:pPr>
    </w:p>
    <w:p>
      <w:pPr>
        <w:spacing w:after="0" w:line="272" w:lineRule="exact"/>
        <w:rPr>
          <w:sz w:val="20"/>
          <w:szCs w:val="20"/>
          <w:color w:val="auto"/>
        </w:rPr>
      </w:pPr>
    </w:p>
    <w:tbl>
      <w:tblPr>
        <w:tblLayout w:type="fixed"/>
        <w:tblInd w:w="2020" w:type="dxa"/>
        <w:tblCellMar>
          <w:top w:w="0" w:type="dxa"/>
          <w:left w:w="0" w:type="dxa"/>
          <w:bottom w:w="0" w:type="dxa"/>
          <w:right w:w="0" w:type="dxa"/>
        </w:tblCellMar>
      </w:tblP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Swiss Francs</w:t>
            </w:r>
          </w:p>
        </w:tc>
        <w:tc>
          <w:tcPr>
            <w:tcW w:w="1580" w:type="dxa"/>
            <w:vAlign w:val="bottom"/>
          </w:tcPr>
          <w:p>
            <w:pPr>
              <w:jc w:val="right"/>
              <w:spacing w:after="0"/>
              <w:rPr>
                <w:sz w:val="20"/>
                <w:szCs w:val="20"/>
                <w:color w:val="auto"/>
              </w:rPr>
            </w:pPr>
            <w:r>
              <w:rPr>
                <w:rFonts w:ascii="Arial" w:cs="Arial" w:eastAsia="Arial" w:hAnsi="Arial"/>
                <w:sz w:val="20"/>
                <w:szCs w:val="20"/>
                <w:color w:val="auto"/>
              </w:rPr>
              <w:t>(0.0571%)</w:t>
            </w:r>
          </w:p>
        </w:tc>
      </w:tr>
    </w:tbl>
    <w:p>
      <w:pPr>
        <w:spacing w:after="0" w:line="200" w:lineRule="exact"/>
        <w:rPr>
          <w:sz w:val="20"/>
          <w:szCs w:val="20"/>
          <w:color w:val="auto"/>
        </w:rPr>
      </w:pPr>
    </w:p>
    <w:p>
      <w:pPr>
        <w:spacing w:after="0" w:line="252" w:lineRule="exact"/>
        <w:rPr>
          <w:sz w:val="20"/>
          <w:szCs w:val="20"/>
          <w:color w:val="auto"/>
        </w:rPr>
      </w:pPr>
    </w:p>
    <w:p>
      <w:pPr>
        <w:ind w:left="2020"/>
        <w:spacing w:after="0"/>
        <w:tabs>
          <w:tab w:leader="none" w:pos="4520" w:val="left"/>
        </w:tabs>
        <w:rPr>
          <w:sz w:val="20"/>
          <w:szCs w:val="20"/>
          <w:color w:val="auto"/>
        </w:rPr>
      </w:pPr>
      <w:r>
        <w:rPr>
          <w:rFonts w:ascii="Arial" w:cs="Arial" w:eastAsia="Arial" w:hAnsi="Arial"/>
          <w:sz w:val="20"/>
          <w:szCs w:val="20"/>
          <w:color w:val="auto"/>
        </w:rPr>
        <w:t>Yen</w:t>
      </w:r>
      <w:r>
        <w:rPr>
          <w:sz w:val="20"/>
          <w:szCs w:val="20"/>
          <w:color w:val="auto"/>
        </w:rPr>
        <w:tab/>
      </w:r>
      <w:r>
        <w:rPr>
          <w:rFonts w:ascii="Arial" w:cs="Arial" w:eastAsia="Arial" w:hAnsi="Arial"/>
          <w:sz w:val="20"/>
          <w:szCs w:val="20"/>
          <w:color w:val="auto"/>
        </w:rPr>
        <w:t>(0.02923%)</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RFR Administrator</w:t>
      </w:r>
      <w:r>
        <w:rPr>
          <w:rFonts w:ascii="Arial" w:cs="Arial" w:eastAsia="Arial" w:hAnsi="Arial"/>
          <w:sz w:val="18"/>
          <w:szCs w:val="18"/>
          <w:color w:val="auto"/>
        </w:rPr>
        <w:t>” means the SONIA Administrator, the TONAR Administrator, or the SARON Administrator, as applicable.</w:t>
      </w:r>
    </w:p>
    <w:p>
      <w:pPr>
        <w:spacing w:after="0" w:line="198" w:lineRule="exact"/>
        <w:rPr>
          <w:sz w:val="20"/>
          <w:szCs w:val="20"/>
          <w:color w:val="auto"/>
        </w:rPr>
      </w:pPr>
    </w:p>
    <w:p>
      <w:pPr>
        <w:ind w:right="2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Administrator’s Website</w:t>
      </w:r>
      <w:r>
        <w:rPr>
          <w:rFonts w:ascii="Arial" w:cs="Arial" w:eastAsia="Arial" w:hAnsi="Arial"/>
          <w:sz w:val="20"/>
          <w:szCs w:val="20"/>
          <w:color w:val="auto"/>
        </w:rPr>
        <w:t>” means the SONIA Administrator’s Website, the TONAR Administrator’s Website or the SARON Administrator’s Website, as applicable.</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RFR Business Day</w:t>
      </w:r>
      <w:r>
        <w:rPr>
          <w:rFonts w:ascii="Arial" w:cs="Arial" w:eastAsia="Arial" w:hAnsi="Arial"/>
          <w:sz w:val="16"/>
          <w:szCs w:val="16"/>
          <w:color w:val="auto"/>
        </w:rPr>
        <w:t>” means, as applicable, for any Obligations, interest, fees, commissions or other amounts denominated in, or calculated with respect to (i) Sterling, a day on which banks are open for general business in London, (ii) Swiss Francs, a day on which banks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are open for the settlement of payments and foreign exchange transactions in Zurich, and (iii) Yen, a day on which banks are open for general business in Japan.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Currency</w:t>
      </w:r>
      <w:r>
        <w:rPr>
          <w:rFonts w:ascii="Arial" w:cs="Arial" w:eastAsia="Arial" w:hAnsi="Arial"/>
          <w:sz w:val="20"/>
          <w:szCs w:val="20"/>
          <w:color w:val="auto"/>
        </w:rPr>
        <w:t>” means each of Sterling, Swiss Francs and Yen.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Loan</w:t>
      </w:r>
      <w:r>
        <w:rPr>
          <w:rFonts w:ascii="Arial" w:cs="Arial" w:eastAsia="Arial" w:hAnsi="Arial"/>
          <w:sz w:val="20"/>
          <w:szCs w:val="20"/>
          <w:color w:val="auto"/>
        </w:rPr>
        <w:t>” means a Loan that bears interest at a rate based on a Daily Simple RFR.</w:t>
      </w:r>
    </w:p>
    <w:p>
      <w:pPr>
        <w:spacing w:after="0" w:line="189"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RFR Reserve Percentage</w:t>
      </w:r>
      <w:r>
        <w:rPr>
          <w:rFonts w:ascii="Arial" w:cs="Arial" w:eastAsia="Arial" w:hAnsi="Arial"/>
          <w:sz w:val="18"/>
          <w:szCs w:val="18"/>
          <w:color w:val="auto"/>
        </w:rPr>
        <w:t xml:space="preserve">” means, as of any day, the maximum effective percentage in effect on such day, if any, as prescribed by the Board </w:t>
      </w:r>
      <w:r>
        <w:rPr>
          <w:rFonts w:ascii="Arial" w:cs="Arial" w:eastAsia="Arial" w:hAnsi="Arial"/>
          <w:sz w:val="18"/>
          <w:szCs w:val="18"/>
          <w:color w:val="FF0000"/>
          <w:strike w:val="1"/>
        </w:rPr>
        <w:t>of Governors of the Federal Reserve System</w:t>
      </w:r>
      <w:r>
        <w:rPr>
          <w:rFonts w:ascii="Arial" w:cs="Arial" w:eastAsia="Arial" w:hAnsi="Arial"/>
          <w:sz w:val="18"/>
          <w:szCs w:val="18"/>
          <w:color w:val="auto"/>
        </w:rPr>
        <w:t xml:space="preserve"> (or any successor) for determining the reserve requirements (including, without</w:t>
      </w:r>
    </w:p>
    <w:p>
      <w:pPr>
        <w:spacing w:after="0"/>
        <w:rPr>
          <w:sz w:val="20"/>
          <w:szCs w:val="20"/>
          <w:color w:val="auto"/>
        </w:rPr>
      </w:pPr>
      <w:r>
        <w:rPr>
          <w:rFonts w:ascii="Arial" w:cs="Arial" w:eastAsia="Arial" w:hAnsi="Arial"/>
          <w:sz w:val="20"/>
          <w:szCs w:val="20"/>
          <w:color w:val="auto"/>
        </w:rPr>
        <w:t>limitation, supplemental, marginal and emergency reserve requirements) with respect to RFR Loans.</w:t>
      </w:r>
    </w:p>
    <w:p>
      <w:pPr>
        <w:spacing w:after="0" w:line="17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Lease-Back Transaction</w:t>
      </w:r>
      <w:r>
        <w:rPr>
          <w:rFonts w:ascii="Arial" w:cs="Arial" w:eastAsia="Arial" w:hAnsi="Arial"/>
          <w:sz w:val="18"/>
          <w:szCs w:val="18"/>
          <w:color w:val="auto"/>
        </w:rPr>
        <w:t>” means any arrangement with any Person providing for the leasing by the Company or any Subsidiary of the Company of any property (except for temporary leases for a term, including any renewal thereof, of not more than one year</w:t>
      </w:r>
    </w:p>
    <w:p>
      <w:pPr>
        <w:ind w:right="160"/>
        <w:spacing w:after="0" w:line="227" w:lineRule="auto"/>
        <w:rPr>
          <w:sz w:val="20"/>
          <w:szCs w:val="20"/>
          <w:color w:val="auto"/>
        </w:rPr>
      </w:pPr>
      <w:r>
        <w:rPr>
          <w:rFonts w:ascii="Arial" w:cs="Arial" w:eastAsia="Arial" w:hAnsi="Arial"/>
          <w:sz w:val="20"/>
          <w:szCs w:val="20"/>
          <w:color w:val="auto"/>
        </w:rPr>
        <w:t>and except for leases between a Borrower and a Subsidiary or between Subsidiaries), which property has been or is to be sold or transferred by the Company or such Subsidiary to such Person.</w:t>
      </w:r>
    </w:p>
    <w:p>
      <w:pPr>
        <w:spacing w:after="0" w:line="156" w:lineRule="exact"/>
        <w:rPr>
          <w:sz w:val="20"/>
          <w:szCs w:val="20"/>
          <w:color w:val="auto"/>
        </w:rPr>
      </w:pPr>
    </w:p>
    <w:p>
      <w:pPr>
        <w:ind w:right="9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Sanctioned Country</w:t>
      </w:r>
      <w:r>
        <w:rPr>
          <w:rFonts w:ascii="Arial" w:cs="Arial" w:eastAsia="Arial" w:hAnsi="Arial"/>
          <w:sz w:val="20"/>
          <w:szCs w:val="20"/>
          <w:color w:val="auto"/>
        </w:rPr>
        <w:t>” means a country, region or territory which is itself the subject or target of any Sanctions Laws and Regulations.</w:t>
      </w:r>
    </w:p>
    <w:p>
      <w:pPr>
        <w:spacing w:after="0" w:line="155" w:lineRule="exact"/>
        <w:rPr>
          <w:sz w:val="20"/>
          <w:szCs w:val="20"/>
          <w:color w:val="auto"/>
        </w:rPr>
      </w:pPr>
    </w:p>
    <w:p>
      <w:pPr>
        <w:ind w:right="5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 Laws and Regulations</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economic or financial sanctions or trade embargoes, imposed, administered, or enforced from time to time by the U.S. government (including those administered by OFAC), the European Union, </w:t>
      </w:r>
      <w:r>
        <w:rPr>
          <w:rFonts w:ascii="Arial" w:cs="Arial" w:eastAsia="Arial" w:hAnsi="Arial"/>
          <w:sz w:val="18"/>
          <w:szCs w:val="18"/>
          <w:color w:val="FF0000"/>
          <w:strike w:val="1"/>
        </w:rPr>
        <w:t>Her</w:t>
      </w:r>
      <w:r>
        <w:rPr>
          <w:rFonts w:ascii="Arial" w:cs="Arial" w:eastAsia="Arial" w:hAnsi="Arial"/>
          <w:sz w:val="18"/>
          <w:szCs w:val="18"/>
          <w:u w:val="single" w:color="auto"/>
          <w:color w:val="0000FF"/>
        </w:rPr>
        <w:t>His</w:t>
      </w:r>
      <w:r>
        <w:rPr>
          <w:rFonts w:ascii="Arial" w:cs="Arial" w:eastAsia="Arial" w:hAnsi="Arial"/>
          <w:sz w:val="18"/>
          <w:szCs w:val="18"/>
          <w:color w:val="auto"/>
        </w:rPr>
        <w:t xml:space="preserve"> Majesty’s Treasury, the Government of Canada, the United Nations Security Council or other relevant sanctions authority.</w:t>
      </w:r>
    </w:p>
    <w:p>
      <w:pPr>
        <w:spacing w:after="0" w:line="140" w:lineRule="exact"/>
        <w:rPr>
          <w:sz w:val="20"/>
          <w:szCs w:val="20"/>
          <w:color w:val="auto"/>
        </w:rPr>
      </w:pPr>
    </w:p>
    <w:p>
      <w:pPr>
        <w:ind w:right="1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SARON</w:t>
      </w:r>
      <w:r>
        <w:rPr>
          <w:rFonts w:ascii="Arial" w:cs="Arial" w:eastAsia="Arial" w:hAnsi="Arial"/>
          <w:sz w:val="20"/>
          <w:szCs w:val="20"/>
          <w:color w:val="auto"/>
        </w:rPr>
        <w:t>” means, with respect to any Business Day, a rate per annum equal to the Swiss Average Rate Overnight for such Business Day published by the SARON Administrator on the SARON Administrator’s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SARON Administrator</w:t>
      </w:r>
      <w:r>
        <w:rPr>
          <w:rFonts w:ascii="Arial" w:cs="Arial" w:eastAsia="Arial" w:hAnsi="Arial"/>
          <w:sz w:val="16"/>
          <w:szCs w:val="16"/>
          <w:color w:val="auto"/>
        </w:rPr>
        <w:t>” means the SIX Swiss Exchange AG (or any successor administrator of the Swiss Average Rate Overnight).</w:t>
      </w:r>
    </w:p>
    <w:p>
      <w:pPr>
        <w:spacing w:after="0" w:line="235" w:lineRule="exact"/>
        <w:rPr>
          <w:sz w:val="20"/>
          <w:szCs w:val="20"/>
          <w:color w:val="auto"/>
        </w:rPr>
      </w:pPr>
    </w:p>
    <w:p>
      <w:pPr>
        <w:ind w:right="54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SARON Administrator’s Website</w:t>
      </w:r>
      <w:r>
        <w:rPr>
          <w:rFonts w:ascii="Arial" w:cs="Arial" w:eastAsia="Arial" w:hAnsi="Arial"/>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means the Securities and Exchange Commission of the United States of America.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w:t>
      </w:r>
      <w:r>
        <w:rPr>
          <w:rFonts w:ascii="Arial" w:cs="Arial" w:eastAsia="Arial" w:hAnsi="Arial"/>
          <w:sz w:val="20"/>
          <w:szCs w:val="20"/>
          <w:u w:val="single" w:color="auto"/>
          <w:color w:val="0000FF"/>
        </w:rPr>
        <w:t>” means a rate equal to the secured overnight financing rate as administered by the SOFR Administrator.</w:t>
      </w:r>
    </w:p>
    <w:p>
      <w:pPr>
        <w:spacing w:after="0" w:line="17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 Administrator</w:t>
      </w:r>
      <w:r>
        <w:rPr>
          <w:rFonts w:ascii="Arial" w:cs="Arial" w:eastAsia="Arial" w:hAnsi="Arial"/>
          <w:sz w:val="20"/>
          <w:szCs w:val="20"/>
          <w:u w:val="single" w:color="auto"/>
          <w:color w:val="0000FF"/>
        </w:rPr>
        <w:t xml:space="preserve">” means </w:t>
      </w:r>
      <w:r>
        <w:rPr>
          <w:rFonts w:ascii="Arial" w:cs="Arial" w:eastAsia="Arial" w:hAnsi="Arial"/>
          <w:sz w:val="20"/>
          <w:szCs w:val="20"/>
          <w:u w:val="single" w:color="auto"/>
          <w:color w:val="008000"/>
        </w:rPr>
        <w:t>the Federal Reserve Bank of New York (or a successor administrator of the secured overnight</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financing rate)</w:t>
      </w:r>
      <w:r>
        <w:rPr>
          <w:rFonts w:ascii="Arial" w:cs="Arial" w:eastAsia="Arial" w:hAnsi="Arial"/>
          <w:sz w:val="20"/>
          <w:szCs w:val="20"/>
          <w:u w:val="single" w:color="auto"/>
          <w:color w:val="0000FF"/>
        </w:rPr>
        <w:t>.</w:t>
      </w:r>
    </w:p>
    <w:p>
      <w:pPr>
        <w:spacing w:after="0" w:line="16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0000FF"/>
        </w:rPr>
        <w:t>“</w:t>
      </w:r>
      <w:r>
        <w:rPr>
          <w:rFonts w:ascii="Arial" w:cs="Arial" w:eastAsia="Arial" w:hAnsi="Arial"/>
          <w:sz w:val="20"/>
          <w:szCs w:val="20"/>
          <w:b w:val="1"/>
          <w:bCs w:val="1"/>
          <w:i w:val="1"/>
          <w:iCs w:val="1"/>
          <w:color w:val="0000FF"/>
        </w:rPr>
        <w:t>SOFR Administrator’s Website</w:t>
      </w:r>
      <w:r>
        <w:rPr>
          <w:rFonts w:ascii="Arial" w:cs="Arial" w:eastAsia="Arial" w:hAnsi="Arial"/>
          <w:sz w:val="20"/>
          <w:szCs w:val="20"/>
          <w:color w:val="0000FF"/>
        </w:rPr>
        <w:t xml:space="preserve">” means </w:t>
      </w:r>
      <w:r>
        <w:rPr>
          <w:rFonts w:ascii="Arial" w:cs="Arial" w:eastAsia="Arial" w:hAnsi="Arial"/>
          <w:sz w:val="20"/>
          <w:szCs w:val="20"/>
          <w:u w:val="single" w:color="auto"/>
          <w:color w:val="008000"/>
        </w:rPr>
        <w:t>the website of the Federal Reserve Bank of New York, currently at</w:t>
      </w:r>
      <w:r>
        <w:rPr>
          <w:rFonts w:ascii="Arial" w:cs="Arial" w:eastAsia="Arial" w:hAnsi="Arial"/>
          <w:sz w:val="20"/>
          <w:szCs w:val="20"/>
          <w:color w:val="0000FF"/>
        </w:rPr>
        <w:t xml:space="preserve"> </w:t>
      </w:r>
      <w:r>
        <w:rPr>
          <w:rFonts w:ascii="Arial" w:cs="Arial" w:eastAsia="Arial" w:hAnsi="Arial"/>
          <w:sz w:val="20"/>
          <w:szCs w:val="20"/>
          <w:u w:val="single" w:color="auto"/>
          <w:color w:val="008000"/>
        </w:rPr>
        <w:t>http://www.newyorkfed.org</w:t>
      </w:r>
      <w:r>
        <w:rPr>
          <w:rFonts w:ascii="Arial" w:cs="Arial" w:eastAsia="Arial" w:hAnsi="Arial"/>
          <w:sz w:val="20"/>
          <w:szCs w:val="20"/>
          <w:u w:val="single" w:color="auto"/>
          <w:color w:val="0000FF"/>
        </w:rPr>
        <w:t>, or any successor source for SOFR identified as such by the SOFR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-147320</wp:posOffset>
            </wp:positionV>
            <wp:extent cx="24193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419350" cy="8255"/>
                    </a:xfrm>
                    <a:prstGeom prst="rect">
                      <a:avLst/>
                    </a:prstGeom>
                    <a:noFill/>
                  </pic:spPr>
                </pic:pic>
              </a:graphicData>
            </a:graphic>
          </wp:anchor>
        </w:drawing>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SOFR Business Day</w:t>
      </w:r>
      <w:r>
        <w:rPr>
          <w:rFonts w:ascii="Arial" w:cs="Arial" w:eastAsia="Arial" w:hAnsi="Arial"/>
          <w:sz w:val="18"/>
          <w:szCs w:val="18"/>
          <w:u w:val="single" w:color="auto"/>
          <w:color w:val="0000FF"/>
        </w:rPr>
        <w:t>” means any day except for (i) a Saturday, (ii) a Sunday or (iii) a day on which the Securities Industry and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u w:val="single" w:color="auto"/>
          <w:color w:val="0000FF"/>
        </w:rPr>
        <w:t>Financial Markets Association recommends that the fixed income departments of its members be closed for the entire day for purposes of trading in United States government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 Index Adjustment</w:t>
      </w:r>
      <w:r>
        <w:rPr>
          <w:rFonts w:ascii="Arial" w:cs="Arial" w:eastAsia="Arial" w:hAnsi="Arial"/>
          <w:sz w:val="20"/>
          <w:szCs w:val="20"/>
          <w:u w:val="single" w:color="auto"/>
          <w:color w:val="0000FF"/>
        </w:rPr>
        <w:t>” means a rate per annum equal to 0.10%.</w:t>
      </w:r>
    </w:p>
    <w:p>
      <w:pPr>
        <w:spacing w:after="0" w:line="189"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Solvent</w:t>
      </w:r>
      <w:r>
        <w:rPr>
          <w:rFonts w:ascii="Arial" w:cs="Arial" w:eastAsia="Arial" w:hAnsi="Arial"/>
          <w:sz w:val="18"/>
          <w:szCs w:val="18"/>
          <w:color w:val="auto"/>
        </w:rPr>
        <w:t>” when used with respect to any Person, means that, as of any date of determination, (a) the fair saleable value of its assets is in excess of the total amount of its liabilities (including, without limitation, contingent liabilities); (b) the present fair saleable value of its</w:t>
      </w:r>
    </w:p>
    <w:p>
      <w:pPr>
        <w:spacing w:after="0"/>
        <w:rPr>
          <w:sz w:val="20"/>
          <w:szCs w:val="20"/>
          <w:color w:val="auto"/>
        </w:rPr>
      </w:pPr>
      <w:r>
        <w:rPr>
          <w:rFonts w:ascii="Arial" w:cs="Arial" w:eastAsia="Arial" w:hAnsi="Arial"/>
          <w:sz w:val="16"/>
          <w:szCs w:val="16"/>
          <w:color w:val="auto"/>
        </w:rPr>
        <w:t>assets is greater than the probable liability on its existing debts as such debts become absolute and matured; (c) it is then able and expects to</w:t>
      </w:r>
    </w:p>
    <w:p>
      <w:pPr>
        <w:spacing w:after="0" w:line="19" w:lineRule="exact"/>
        <w:rPr>
          <w:sz w:val="20"/>
          <w:szCs w:val="20"/>
          <w:color w:val="auto"/>
        </w:rPr>
      </w:pPr>
    </w:p>
    <w:p>
      <w:pPr>
        <w:ind w:right="740"/>
        <w:spacing w:after="0" w:line="220" w:lineRule="auto"/>
        <w:rPr>
          <w:sz w:val="20"/>
          <w:szCs w:val="20"/>
          <w:color w:val="auto"/>
        </w:rPr>
      </w:pPr>
      <w:r>
        <w:rPr>
          <w:rFonts w:ascii="Arial" w:cs="Arial" w:eastAsia="Arial" w:hAnsi="Arial"/>
          <w:sz w:val="20"/>
          <w:szCs w:val="20"/>
          <w:color w:val="auto"/>
        </w:rPr>
        <w:t>be able to pay its debts (including, without limitation, contingent debts and other commitments) as they mature; and (d) it has capital sufficient to carry on its business as conducted and as proposed to be conducted.</w:t>
      </w:r>
    </w:p>
    <w:p>
      <w:pPr>
        <w:spacing w:after="0" w:line="170" w:lineRule="exact"/>
        <w:rPr>
          <w:sz w:val="20"/>
          <w:szCs w:val="20"/>
          <w:color w:val="auto"/>
        </w:rPr>
      </w:pPr>
    </w:p>
    <w:p>
      <w:pPr>
        <w:ind w:right="7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SONIA</w:t>
      </w:r>
      <w:r>
        <w:rPr>
          <w:rFonts w:ascii="Arial" w:cs="Arial" w:eastAsia="Arial" w:hAnsi="Arial"/>
          <w:sz w:val="20"/>
          <w:szCs w:val="20"/>
          <w:color w:val="auto"/>
        </w:rPr>
        <w:t>” means, with respect to any Business Day, a rate per annum equal to the Sterling Overnight Index Average for such Business Day published by the SONIA Administrator on the SONIA Administrator’s Website.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12" w:lineRule="exact"/>
        <w:rPr>
          <w:sz w:val="20"/>
          <w:szCs w:val="20"/>
          <w:color w:val="auto"/>
        </w:rPr>
      </w:pPr>
    </w:p>
    <w:p>
      <w:pPr>
        <w:ind w:right="52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Permitted Lien</w:t>
      </w:r>
      <w:r>
        <w:rPr>
          <w:rFonts w:ascii="Arial" w:cs="Arial" w:eastAsia="Arial" w:hAnsi="Arial"/>
          <w:sz w:val="18"/>
          <w:szCs w:val="18"/>
          <w:color w:val="auto"/>
        </w:rPr>
        <w:t>” means any of the following: (i) Liens for Taxes not yet delinquent or Liens for Taxes, assessments or</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governmental charges being contested in good faith and by appropriate proceedings for which adequate reserves in accordance with GAAP have been established; (ii) Liens in respect of property or assets imposed by law that were incurred in the ordinary course of business, such as</w:t>
      </w:r>
    </w:p>
    <w:p>
      <w:pPr>
        <w:spacing w:after="0" w:line="235" w:lineRule="auto"/>
        <w:rPr>
          <w:sz w:val="20"/>
          <w:szCs w:val="20"/>
          <w:color w:val="auto"/>
        </w:rPr>
      </w:pPr>
      <w:r>
        <w:rPr>
          <w:rFonts w:ascii="Arial" w:cs="Arial" w:eastAsia="Arial" w:hAnsi="Arial"/>
          <w:sz w:val="18"/>
          <w:szCs w:val="18"/>
          <w:color w:val="auto"/>
        </w:rPr>
        <w:t>carriers’, suppliers’, warehousemen’s, materialmen’s and mechanics’ Liens and other similar Liens arising in the ordinary course of business,</w:t>
      </w:r>
    </w:p>
    <w:p>
      <w:pPr>
        <w:spacing w:after="0" w:line="255" w:lineRule="auto"/>
        <w:rPr>
          <w:sz w:val="20"/>
          <w:szCs w:val="20"/>
          <w:color w:val="auto"/>
        </w:rPr>
      </w:pPr>
      <w:r>
        <w:rPr>
          <w:rFonts w:ascii="Arial" w:cs="Arial" w:eastAsia="Arial" w:hAnsi="Arial"/>
          <w:sz w:val="16"/>
          <w:szCs w:val="16"/>
          <w:color w:val="auto"/>
        </w:rPr>
        <w:t>that do not in the aggregate materially detract from the value of such property or assets or materially impair the use thereof in the operation of the business of the Borrowers or any of their Subsidiaries and do not secure any Indebtedness; (iii) Liens arising from judgments, decrees or</w:t>
      </w:r>
    </w:p>
    <w:p>
      <w:pPr>
        <w:spacing w:after="0" w:line="235" w:lineRule="auto"/>
        <w:rPr>
          <w:sz w:val="20"/>
          <w:szCs w:val="20"/>
          <w:color w:val="auto"/>
        </w:rPr>
      </w:pPr>
      <w:r>
        <w:rPr>
          <w:rFonts w:ascii="Arial" w:cs="Arial" w:eastAsia="Arial" w:hAnsi="Arial"/>
          <w:sz w:val="18"/>
          <w:szCs w:val="18"/>
          <w:color w:val="auto"/>
        </w:rPr>
        <w:t>attachments in circumstances not constituting an Event of Default under Section 7.01(k); (iv) Liens (other than any Lien imposed by ERISA)</w:t>
      </w:r>
    </w:p>
    <w:p>
      <w:pPr>
        <w:ind w:right="220"/>
        <w:spacing w:after="0" w:line="232" w:lineRule="auto"/>
        <w:rPr>
          <w:sz w:val="20"/>
          <w:szCs w:val="20"/>
          <w:color w:val="auto"/>
        </w:rPr>
      </w:pPr>
      <w:r>
        <w:rPr>
          <w:rFonts w:ascii="Arial" w:cs="Arial" w:eastAsia="Arial" w:hAnsi="Arial"/>
          <w:sz w:val="19"/>
          <w:szCs w:val="19"/>
          <w:color w:val="auto"/>
        </w:rPr>
        <w:t>incurred or deposits made in the ordinary course of business in connection with workers compensation, unemployment insurance and other types of social security, and mechanic’s Liens, carrier’s Liens, and other Liens to secure the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tenders, statutory obligations, contract bids, government contracts, surety, appeal, customs, performance and return-of-money bonds and</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other similar obligations, incurred in the ordinary course of business (exclusive of obligations in respect of the payment for borrowed money), whether pursuant to statutory requirements, common law or consensual arrangements; (v) leases or subleases granted in the ordinary</w:t>
      </w:r>
    </w:p>
    <w:p>
      <w:pPr>
        <w:spacing w:after="0" w:line="236" w:lineRule="auto"/>
        <w:rPr>
          <w:sz w:val="20"/>
          <w:szCs w:val="20"/>
          <w:color w:val="auto"/>
        </w:rPr>
      </w:pPr>
      <w:r>
        <w:rPr>
          <w:rFonts w:ascii="Arial" w:cs="Arial" w:eastAsia="Arial" w:hAnsi="Arial"/>
          <w:sz w:val="18"/>
          <w:szCs w:val="18"/>
          <w:color w:val="auto"/>
        </w:rPr>
        <w:t>course of business to others not interfering in any material respect with the business of the Borrowers or any of their Subsidiaries and any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interest or title of a lessor under any lease not in violation of this Agreement; (vi) easements, rights-of-way, zoning or other restrictions, charges, encumbrances, defects in title, prior rights of other Persons, and obligations contained in similar instruments, in each case that do not</w:t>
      </w:r>
    </w:p>
    <w:p>
      <w:pPr>
        <w:spacing w:after="0" w:line="223" w:lineRule="auto"/>
        <w:rPr>
          <w:sz w:val="20"/>
          <w:szCs w:val="20"/>
          <w:color w:val="auto"/>
        </w:rPr>
      </w:pPr>
      <w:r>
        <w:rPr>
          <w:rFonts w:ascii="Arial" w:cs="Arial" w:eastAsia="Arial" w:hAnsi="Arial"/>
          <w:sz w:val="19"/>
          <w:szCs w:val="19"/>
          <w:color w:val="auto"/>
        </w:rPr>
        <w:t>secure Indebtedness and do not involve, and are not likely to involve at any future time, either individually or in the aggregate, (A) a</w:t>
      </w:r>
    </w:p>
    <w:p>
      <w:pPr>
        <w:ind w:right="40"/>
        <w:spacing w:after="0" w:line="226" w:lineRule="auto"/>
        <w:rPr>
          <w:sz w:val="20"/>
          <w:szCs w:val="20"/>
          <w:color w:val="auto"/>
        </w:rPr>
      </w:pPr>
      <w:r>
        <w:rPr>
          <w:rFonts w:ascii="Arial" w:cs="Arial" w:eastAsia="Arial" w:hAnsi="Arial"/>
          <w:sz w:val="18"/>
          <w:szCs w:val="18"/>
          <w:color w:val="auto"/>
        </w:rPr>
        <w:t>substantial and prolonged interruption or disruption of the business activities of the Borrowers and their Subsidiaries considered as an entirety, or (B) a Material Adverse Effect; (vii) Liens arising from the rights of lessors under leases (including financing statements regarding</w:t>
      </w:r>
    </w:p>
    <w:p>
      <w:pPr>
        <w:spacing w:after="0" w:line="236" w:lineRule="auto"/>
        <w:rPr>
          <w:sz w:val="20"/>
          <w:szCs w:val="20"/>
          <w:color w:val="auto"/>
        </w:rPr>
      </w:pPr>
      <w:r>
        <w:rPr>
          <w:rFonts w:ascii="Arial" w:cs="Arial" w:eastAsia="Arial" w:hAnsi="Arial"/>
          <w:sz w:val="18"/>
          <w:szCs w:val="18"/>
          <w:color w:val="auto"/>
        </w:rPr>
        <w:t xml:space="preserve">property subject to lease) not in violation of the requirements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only in respect of the property</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subject to, and secure only, the respective lease (and any other lease with the same or an affiliated lessor); (viii) rights of consignors of goods, whether or not perfected by the filing of a financing statement under the UCC; (ix) licenses of intellectual property of the Borrowers or any</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of their Subsidiaries granted in the ordinary course of business; and (x) any security interest or right to set off arising under the general terms and conditions (</w:t>
      </w:r>
      <w:r>
        <w:rPr>
          <w:rFonts w:ascii="Arial" w:cs="Arial" w:eastAsia="Arial" w:hAnsi="Arial"/>
          <w:sz w:val="18"/>
          <w:szCs w:val="18"/>
          <w:i w:val="1"/>
          <w:iCs w:val="1"/>
          <w:color w:val="auto"/>
        </w:rPr>
        <w:t>algemene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Sterling</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 the lawful currency of the United Kingdom.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at any date, any corporation, limited liability company, partnership,</w:t>
      </w:r>
    </w:p>
    <w:p>
      <w:pPr>
        <w:spacing w:after="0" w:line="12"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association or other entity the accounts of which would be consolidated with those of the parent in the parent’s consolidated financial statements if such financial statements were prepared in accordance with GAAP as of such date, as well as any other corporation, limited</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liability company, partnership, association or other entity (a) of which securities or other ownership interests representing more than 50% of the equity or more than 50% of the ordinary Voting Power or, in the case of a partnership, more than 50% of the general partnership interests</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are, as of such date, owned, controlled or held, or (b) that is, as of such date, otherwise Controlled, by the parent or one or more subsidiaries of the parent or by the parent and one or more subsidiaries of the parent.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subsidiary of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 Guarantors</w:t>
      </w:r>
      <w:r>
        <w:rPr>
          <w:rFonts w:ascii="Arial" w:cs="Arial" w:eastAsia="Arial" w:hAnsi="Arial"/>
          <w:sz w:val="18"/>
          <w:szCs w:val="18"/>
          <w:color w:val="auto"/>
        </w:rPr>
        <w:t>” means, collectively, each Domestic Subsidiary (other than an Excluded Subsidiary) and that is or hereafter</w:t>
      </w:r>
    </w:p>
    <w:p>
      <w:pPr>
        <w:spacing w:after="0" w:line="12"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color w:val="auto"/>
        </w:rPr>
        <w:t>becomes a party to the Subsidiary Guaranty, and “</w:t>
      </w:r>
      <w:r>
        <w:rPr>
          <w:rFonts w:ascii="Arial" w:cs="Arial" w:eastAsia="Arial" w:hAnsi="Arial"/>
          <w:sz w:val="20"/>
          <w:szCs w:val="20"/>
          <w:b w:val="1"/>
          <w:bCs w:val="1"/>
          <w:i w:val="1"/>
          <w:iCs w:val="1"/>
          <w:color w:val="auto"/>
        </w:rPr>
        <w:t>Subsidiary Guarantor</w:t>
      </w:r>
      <w:r>
        <w:rPr>
          <w:rFonts w:ascii="Arial" w:cs="Arial" w:eastAsia="Arial" w:hAnsi="Arial"/>
          <w:sz w:val="20"/>
          <w:szCs w:val="20"/>
          <w:color w:val="auto"/>
        </w:rPr>
        <w:t xml:space="preserve">” means any one of them individually.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hereto lists each Subsidiary Guarantor as of the Closing Date.</w:t>
      </w:r>
    </w:p>
    <w:p>
      <w:pPr>
        <w:spacing w:after="0" w:line="170" w:lineRule="exact"/>
        <w:rPr>
          <w:sz w:val="20"/>
          <w:szCs w:val="20"/>
          <w:color w:val="auto"/>
        </w:rPr>
      </w:pPr>
    </w:p>
    <w:p>
      <w:pPr>
        <w:ind w:right="6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Guaranty</w:t>
      </w:r>
      <w:r>
        <w:rPr>
          <w:rFonts w:ascii="Arial" w:cs="Arial" w:eastAsia="Arial" w:hAnsi="Arial"/>
          <w:sz w:val="20"/>
          <w:szCs w:val="20"/>
          <w:color w:val="auto"/>
        </w:rPr>
        <w:t>” means the Subsidiary Guaranty dated as of the date hereof, as supplemented from time to time, by the Subsidiary Guarantors in favor of the Administrative Agent.</w:t>
      </w:r>
    </w:p>
    <w:p>
      <w:pPr>
        <w:spacing w:after="0" w:line="155" w:lineRule="exact"/>
        <w:rPr>
          <w:sz w:val="20"/>
          <w:szCs w:val="20"/>
          <w:color w:val="auto"/>
        </w:rPr>
      </w:pPr>
    </w:p>
    <w:p>
      <w:pPr>
        <w:ind w:righ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Obligation</w:t>
      </w:r>
      <w:r>
        <w:rPr>
          <w:rFonts w:ascii="Arial" w:cs="Arial" w:eastAsia="Arial" w:hAnsi="Arial"/>
          <w:sz w:val="18"/>
          <w:szCs w:val="18"/>
          <w:color w:val="auto"/>
        </w:rPr>
        <w:t>” means, with respect to any Borrower or any Subsidiary Guarantor, any obligation to pay or perform under any agreement, contract or transaction that constitutes a “swap” within the meaning of Section 1a(47) of the Commodity Exchange Act.</w:t>
      </w:r>
    </w:p>
    <w:p>
      <w:pPr>
        <w:spacing w:after="0" w:line="129" w:lineRule="exact"/>
        <w:rPr>
          <w:sz w:val="20"/>
          <w:szCs w:val="20"/>
          <w:color w:val="auto"/>
        </w:rPr>
      </w:pPr>
    </w:p>
    <w:p>
      <w:pPr>
        <w:ind w:right="44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Revolving Percentage of the total Swingline Exposure at such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Lender</w:t>
      </w:r>
      <w:r>
        <w:rPr>
          <w:rFonts w:ascii="Arial" w:cs="Arial" w:eastAsia="Arial" w:hAnsi="Arial"/>
          <w:sz w:val="20"/>
          <w:szCs w:val="20"/>
          <w:color w:val="auto"/>
        </w:rPr>
        <w:t>” means KeyBank National Association, in its capacity as lender of Swingline Loans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“Swingline Loan</w:t>
      </w:r>
      <w:r>
        <w:rPr>
          <w:rFonts w:ascii="Arial" w:cs="Arial" w:eastAsia="Arial" w:hAnsi="Arial"/>
          <w:sz w:val="20"/>
          <w:szCs w:val="20"/>
          <w:color w:val="auto"/>
        </w:rPr>
        <w:t>” means a Loan made pursuant to Section 2.05.</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Swiss Franc</w:t>
      </w:r>
      <w:r>
        <w:rPr>
          <w:rFonts w:ascii="Arial" w:cs="Arial" w:eastAsia="Arial" w:hAnsi="Arial"/>
          <w:sz w:val="20"/>
          <w:szCs w:val="20"/>
          <w:color w:val="auto"/>
        </w:rPr>
        <w:t>” or “</w:t>
      </w:r>
      <w:r>
        <w:rPr>
          <w:rFonts w:ascii="Arial" w:cs="Arial" w:eastAsia="Arial" w:hAnsi="Arial"/>
          <w:sz w:val="20"/>
          <w:szCs w:val="20"/>
          <w:b w:val="1"/>
          <w:bCs w:val="1"/>
          <w:i w:val="1"/>
          <w:iCs w:val="1"/>
          <w:color w:val="auto"/>
        </w:rPr>
        <w:t>CHF</w:t>
      </w:r>
      <w:r>
        <w:rPr>
          <w:rFonts w:ascii="Arial" w:cs="Arial" w:eastAsia="Arial" w:hAnsi="Arial"/>
          <w:sz w:val="20"/>
          <w:szCs w:val="20"/>
          <w:color w:val="auto"/>
        </w:rPr>
        <w:t>” mean the lawful currency of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2" w:lineRule="exact"/>
        <w:rPr>
          <w:sz w:val="20"/>
          <w:szCs w:val="20"/>
          <w:color w:val="auto"/>
        </w:rPr>
      </w:pPr>
    </w:p>
    <w:p>
      <w:pPr>
        <w:ind w:right="8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Syndication Agent</w:t>
      </w:r>
      <w:r>
        <w:rPr>
          <w:rFonts w:ascii="Arial" w:cs="Arial" w:eastAsia="Arial" w:hAnsi="Arial"/>
          <w:sz w:val="20"/>
          <w:szCs w:val="20"/>
          <w:color w:val="auto"/>
        </w:rPr>
        <w:t>” means each of PNC Bank, National Association, and TD Bank, N.A., as syndication agents under this Agreement.</w:t>
      </w:r>
    </w:p>
    <w:p>
      <w:pPr>
        <w:spacing w:after="0" w:line="155" w:lineRule="exact"/>
        <w:rPr>
          <w:sz w:val="20"/>
          <w:szCs w:val="20"/>
          <w:color w:val="auto"/>
        </w:rPr>
      </w:pPr>
    </w:p>
    <w:p>
      <w:pPr>
        <w:ind w:right="3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Synthetic Lease</w:t>
      </w:r>
      <w:r>
        <w:rPr>
          <w:rFonts w:ascii="Arial" w:cs="Arial" w:eastAsia="Arial" w:hAnsi="Arial"/>
          <w:sz w:val="20"/>
          <w:szCs w:val="20"/>
          <w:color w:val="auto"/>
        </w:rPr>
        <w:t>” means any lease (i) that is accounted for by the lessee as an Operating Lease, and (ii) under which the lessee is intended to be the “owner” of the leased property for federal income tax purposes.</w:t>
      </w:r>
    </w:p>
    <w:p>
      <w:pPr>
        <w:spacing w:after="0" w:line="169" w:lineRule="exact"/>
        <w:rPr>
          <w:sz w:val="20"/>
          <w:szCs w:val="20"/>
          <w:color w:val="auto"/>
        </w:rPr>
      </w:pPr>
    </w:p>
    <w:p>
      <w:pPr>
        <w:ind w:right="5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TARGET2</w:t>
      </w:r>
      <w:r>
        <w:rPr>
          <w:rFonts w:ascii="Arial" w:cs="Arial" w:eastAsia="Arial" w:hAnsi="Arial"/>
          <w:sz w:val="20"/>
          <w:szCs w:val="20"/>
          <w:color w:val="auto"/>
        </w:rPr>
        <w:t>” means Trans-European Automated Real-time Gross Settlement Express Transfer payment system which utilizes a single shared platform and which was launched on November 19, 2007.</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Day</w:t>
      </w:r>
      <w:r>
        <w:rPr>
          <w:rFonts w:ascii="Arial" w:cs="Arial" w:eastAsia="Arial" w:hAnsi="Arial"/>
          <w:sz w:val="20"/>
          <w:szCs w:val="20"/>
          <w:color w:val="auto"/>
        </w:rPr>
        <w:t>” means any day on which TARGET2 is open for the settlement of payments in Euros.</w:t>
      </w:r>
    </w:p>
    <w:p>
      <w:pPr>
        <w:spacing w:after="0" w:line="189" w:lineRule="exact"/>
        <w:rPr>
          <w:sz w:val="20"/>
          <w:szCs w:val="20"/>
          <w:color w:val="auto"/>
        </w:rPr>
      </w:pPr>
    </w:p>
    <w:p>
      <w:pPr>
        <w:ind w:right="540"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similar charges imposed by any Governmental Authority, including any interest, additions to tax or penalties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applicable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Facility</w:t>
      </w:r>
      <w:r>
        <w:rPr>
          <w:rFonts w:ascii="Arial" w:cs="Arial" w:eastAsia="Arial" w:hAnsi="Arial"/>
          <w:sz w:val="20"/>
          <w:szCs w:val="20"/>
          <w:color w:val="auto"/>
        </w:rPr>
        <w:t>” means the Term Loan Commitments and the Term Loans made thereunder.</w:t>
      </w:r>
    </w:p>
    <w:p>
      <w:pPr>
        <w:spacing w:after="0" w:line="175" w:lineRule="exact"/>
        <w:rPr>
          <w:sz w:val="20"/>
          <w:szCs w:val="20"/>
          <w:color w:val="auto"/>
        </w:rPr>
      </w:pPr>
    </w:p>
    <w:p>
      <w:pPr>
        <w:ind w:right="4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w:t>
      </w:r>
      <w:r>
        <w:rPr>
          <w:rFonts w:ascii="Arial" w:cs="Arial" w:eastAsia="Arial" w:hAnsi="Arial"/>
          <w:sz w:val="20"/>
          <w:szCs w:val="20"/>
          <w:color w:val="auto"/>
        </w:rPr>
        <w:t>” means a Loan made pursuant to Section 2.01(b) and Section 2.03, and includes any Incremental Term Loans made pursuant to Section 2.04.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Borrower</w:t>
      </w:r>
      <w:r>
        <w:rPr>
          <w:rFonts w:ascii="Arial" w:cs="Arial" w:eastAsia="Arial" w:hAnsi="Arial"/>
          <w:sz w:val="20"/>
          <w:szCs w:val="20"/>
          <w:color w:val="auto"/>
        </w:rPr>
        <w:t>” means the Company.</w:t>
      </w:r>
    </w:p>
    <w:p>
      <w:pPr>
        <w:spacing w:after="0" w:line="175" w:lineRule="exact"/>
        <w:rPr>
          <w:sz w:val="20"/>
          <w:szCs w:val="20"/>
          <w:color w:val="auto"/>
        </w:rPr>
      </w:pPr>
    </w:p>
    <w:p>
      <w:pPr>
        <w:ind w:right="100"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Loan Commitment</w:t>
      </w:r>
      <w:r>
        <w:rPr>
          <w:rFonts w:ascii="Arial" w:cs="Arial" w:eastAsia="Arial" w:hAnsi="Arial"/>
          <w:sz w:val="19"/>
          <w:szCs w:val="19"/>
          <w:color w:val="auto"/>
        </w:rPr>
        <w:t xml:space="preserve">” means, with respect to each Term Loan Lender, the commitment of such Lender to make Term Loans hereunder, including any Incremental Term Loan Commitments. The initial amount of each Lender’s Term Loan Commitment is set forth on </w:t>
      </w:r>
      <w:r>
        <w:rPr>
          <w:rFonts w:ascii="Arial" w:cs="Arial" w:eastAsia="Arial" w:hAnsi="Arial"/>
          <w:sz w:val="19"/>
          <w:szCs w:val="19"/>
          <w:u w:val="single" w:color="auto"/>
          <w:color w:val="auto"/>
        </w:rPr>
        <w:t>Schedule 1.01(a)</w:t>
      </w:r>
      <w:r>
        <w:rPr>
          <w:rFonts w:ascii="Arial" w:cs="Arial" w:eastAsia="Arial" w:hAnsi="Arial"/>
          <w:sz w:val="19"/>
          <w:szCs w:val="19"/>
          <w:color w:val="auto"/>
        </w:rPr>
        <w:t>. The initial aggregate amount of the Lenders’ Term Loan Commitments is $850,000,000.</w:t>
      </w:r>
    </w:p>
    <w:p>
      <w:pPr>
        <w:spacing w:after="0" w:line="157" w:lineRule="exact"/>
        <w:rPr>
          <w:sz w:val="20"/>
          <w:szCs w:val="20"/>
          <w:color w:val="auto"/>
        </w:rPr>
      </w:pPr>
    </w:p>
    <w:p>
      <w:pPr>
        <w:ind w:right="7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Exposure</w:t>
      </w:r>
      <w:r>
        <w:rPr>
          <w:rFonts w:ascii="Arial" w:cs="Arial" w:eastAsia="Arial" w:hAnsi="Arial"/>
          <w:sz w:val="20"/>
          <w:szCs w:val="20"/>
          <w:color w:val="auto"/>
        </w:rPr>
        <w:t>” means, with respect to any Term Loan Lender at any time, the outstanding principal amount of such Lender’s Term Loans.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Lender</w:t>
      </w:r>
      <w:r>
        <w:rPr>
          <w:rFonts w:ascii="Arial" w:cs="Arial" w:eastAsia="Arial" w:hAnsi="Arial"/>
          <w:sz w:val="20"/>
          <w:szCs w:val="20"/>
          <w:color w:val="auto"/>
        </w:rPr>
        <w:t>” means a Lender with a Term Loan Commitment or Term Loan Exposure.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Maturity Date</w:t>
      </w:r>
      <w:r>
        <w:rPr>
          <w:rFonts w:ascii="Arial" w:cs="Arial" w:eastAsia="Arial" w:hAnsi="Arial"/>
          <w:sz w:val="20"/>
          <w:szCs w:val="20"/>
          <w:color w:val="auto"/>
        </w:rPr>
        <w:t>” means April 1, 2025.</w:t>
      </w:r>
    </w:p>
    <w:p>
      <w:pPr>
        <w:spacing w:after="0" w:line="189" w:lineRule="exact"/>
        <w:rPr>
          <w:sz w:val="20"/>
          <w:szCs w:val="20"/>
          <w:color w:val="auto"/>
        </w:rPr>
      </w:pPr>
    </w:p>
    <w:p>
      <w:pPr>
        <w:ind w:right="260" w:firstLine="648"/>
        <w:spacing w:after="0" w:line="265"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i w:val="1"/>
          <w:iCs w:val="1"/>
          <w:u w:val="single" w:color="auto"/>
          <w:color w:val="0000FF"/>
        </w:rPr>
        <w:t>Term SOFR</w:t>
      </w:r>
      <w:r>
        <w:rPr>
          <w:rFonts w:ascii="Arial" w:cs="Arial" w:eastAsia="Arial" w:hAnsi="Arial"/>
          <w:sz w:val="16"/>
          <w:szCs w:val="16"/>
          <w:u w:val="single" w:color="auto"/>
          <w:color w:val="0000FF"/>
        </w:rPr>
        <w:t>” means for any calculation with respect to a Term SOFR Loan, a rate per annum equal to the Term SOFR Reference Rate for a tenor comparable to the applicable Interest Period on the day (such day, the “</w:t>
      </w:r>
      <w:r>
        <w:rPr>
          <w:rFonts w:ascii="Arial" w:cs="Arial" w:eastAsia="Arial" w:hAnsi="Arial"/>
          <w:sz w:val="16"/>
          <w:szCs w:val="16"/>
          <w:b w:val="1"/>
          <w:bCs w:val="1"/>
          <w:i w:val="1"/>
          <w:iCs w:val="1"/>
          <w:u w:val="single" w:color="auto"/>
          <w:color w:val="0000FF"/>
        </w:rPr>
        <w:t>Term SOFR Lookback Day</w:t>
      </w:r>
      <w:r>
        <w:rPr>
          <w:rFonts w:ascii="Arial" w:cs="Arial" w:eastAsia="Arial" w:hAnsi="Arial"/>
          <w:sz w:val="16"/>
          <w:szCs w:val="16"/>
          <w:u w:val="single" w:color="auto"/>
          <w:color w:val="0000FF"/>
        </w:rPr>
        <w:t>”) that is two SOFR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Business Days prior to the first day of such Interest Period (and rounded to the nearest 1/100,000th (one hundred-thousandth) of a percentage</w:t>
      </w:r>
    </w:p>
    <w:p>
      <w:pPr>
        <w:spacing w:after="0" w:line="19"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u w:val="single" w:color="auto"/>
          <w:color w:val="0000FF"/>
        </w:rPr>
        <w:t xml:space="preserve">point (or five decimal points)), as such rate is published by the Term SOFR Administrator;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however</w:t>
      </w:r>
      <w:r>
        <w:rPr>
          <w:rFonts w:ascii="Arial" w:cs="Arial" w:eastAsia="Arial" w:hAnsi="Arial"/>
          <w:sz w:val="18"/>
          <w:szCs w:val="18"/>
          <w:u w:val="single" w:color="auto"/>
          <w:color w:val="0000FF"/>
        </w:rPr>
        <w:t>, that if as of 5:00 p.m. (New York City time) on any Term SOFR Lookback Day the Term SOFR Reference Rate for the applicable tenor has not been published by the</w:t>
      </w:r>
    </w:p>
    <w:p>
      <w:pPr>
        <w:spacing w:after="0" w:line="236" w:lineRule="auto"/>
        <w:rPr>
          <w:sz w:val="20"/>
          <w:szCs w:val="20"/>
          <w:color w:val="auto"/>
        </w:rPr>
      </w:pPr>
      <w:r>
        <w:rPr>
          <w:rFonts w:ascii="Arial" w:cs="Arial" w:eastAsia="Arial" w:hAnsi="Arial"/>
          <w:sz w:val="18"/>
          <w:szCs w:val="18"/>
          <w:u w:val="single" w:color="auto"/>
          <w:color w:val="0000FF"/>
        </w:rPr>
        <w:t>Term SOFR Administrator and a Benchmark Replacement Date with respect to the Term SOFR Reference Rate has not occurred, then Term</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u w:val="single" w:color="auto"/>
          <w:color w:val="0000FF"/>
        </w:rPr>
        <w:t>SOFR will be the Term SOFR Reference Rate for such tenor as published by the Term SOFR Administrator on the first preceding SOFR Business Day for which such Term SOFR Reference Rate for such tenor was published by the Term SOFR Administrator so long as such first</w:t>
      </w:r>
    </w:p>
    <w:p>
      <w:pPr>
        <w:spacing w:after="0" w:line="235" w:lineRule="auto"/>
        <w:rPr>
          <w:sz w:val="20"/>
          <w:szCs w:val="20"/>
          <w:color w:val="auto"/>
        </w:rPr>
      </w:pPr>
      <w:r>
        <w:rPr>
          <w:rFonts w:ascii="Arial" w:cs="Arial" w:eastAsia="Arial" w:hAnsi="Arial"/>
          <w:sz w:val="18"/>
          <w:szCs w:val="18"/>
          <w:u w:val="single" w:color="auto"/>
          <w:color w:val="0000FF"/>
        </w:rPr>
        <w:t>preceding SOFR Business Day is not more than three SOFR Business Days prior to such Term SOFR Lookback Day, and for any calculation</w:t>
      </w:r>
    </w:p>
    <w:p>
      <w:pPr>
        <w:ind w:right="280"/>
        <w:spacing w:after="0" w:line="220" w:lineRule="auto"/>
        <w:rPr>
          <w:sz w:val="20"/>
          <w:szCs w:val="20"/>
          <w:color w:val="auto"/>
        </w:rPr>
      </w:pPr>
      <w:r>
        <w:rPr>
          <w:rFonts w:ascii="Arial" w:cs="Arial" w:eastAsia="Arial" w:hAnsi="Arial"/>
          <w:sz w:val="20"/>
          <w:szCs w:val="20"/>
          <w:u w:val="single" w:color="auto"/>
          <w:color w:val="0000FF"/>
        </w:rPr>
        <w:t>with respect to a ABR Loan, the Term SOFR Reference Rate for a tenor of one month on the day that is two SOFR Business Days prior to the date the Alternate Base Rate is determined, subject to the proviso provided above.</w:t>
      </w:r>
    </w:p>
    <w:p>
      <w:pPr>
        <w:spacing w:after="0" w:line="170" w:lineRule="exact"/>
        <w:rPr>
          <w:sz w:val="20"/>
          <w:szCs w:val="20"/>
          <w:color w:val="auto"/>
        </w:rPr>
      </w:pPr>
    </w:p>
    <w:p>
      <w:pPr>
        <w:ind w:right="600" w:firstLine="648"/>
        <w:spacing w:after="0" w:line="23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SOFR Administrator</w:t>
      </w:r>
      <w:r>
        <w:rPr>
          <w:rFonts w:ascii="Arial" w:cs="Arial" w:eastAsia="Arial" w:hAnsi="Arial"/>
          <w:sz w:val="20"/>
          <w:szCs w:val="20"/>
          <w:u w:val="single" w:color="auto"/>
          <w:color w:val="0000FF"/>
        </w:rPr>
        <w:t xml:space="preserve">” means CME (or a successor administrator of the Term SOFR Reference Rate, as selected </w:t>
      </w:r>
      <w:r>
        <w:rPr>
          <w:rFonts w:ascii="Arial" w:cs="Arial" w:eastAsia="Arial" w:hAnsi="Arial"/>
          <w:sz w:val="20"/>
          <w:szCs w:val="20"/>
          <w:u w:val="single" w:color="auto"/>
          <w:color w:val="008000"/>
        </w:rPr>
        <w:t>by the</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Administrative Agent in its reasonable discretion</w:t>
      </w:r>
      <w:r>
        <w:rPr>
          <w:rFonts w:ascii="Arial" w:cs="Arial" w:eastAsia="Arial" w:hAnsi="Arial"/>
          <w:sz w:val="20"/>
          <w:szCs w:val="20"/>
          <w:u w:val="single" w:color="auto"/>
          <w:color w:val="0000FF"/>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SOFR Borrowing</w:t>
      </w:r>
      <w:r>
        <w:rPr>
          <w:rFonts w:ascii="Arial" w:cs="Arial" w:eastAsia="Arial" w:hAnsi="Arial"/>
          <w:sz w:val="20"/>
          <w:szCs w:val="20"/>
          <w:u w:val="single" w:color="auto"/>
          <w:color w:val="0000FF"/>
        </w:rPr>
        <w:t>” means a Borrowing comprised of Term 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2" w:lineRule="exact"/>
        <w:rPr>
          <w:sz w:val="20"/>
          <w:szCs w:val="20"/>
          <w:color w:val="auto"/>
        </w:rPr>
      </w:pPr>
    </w:p>
    <w:p>
      <w:pPr>
        <w:ind w:right="200" w:firstLine="648"/>
        <w:spacing w:after="0" w:line="236"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SOFR Loan</w:t>
      </w:r>
      <w:r>
        <w:rPr>
          <w:rFonts w:ascii="Arial" w:cs="Arial" w:eastAsia="Arial" w:hAnsi="Arial"/>
          <w:sz w:val="20"/>
          <w:szCs w:val="20"/>
          <w:u w:val="single" w:color="auto"/>
          <w:color w:val="0000FF"/>
        </w:rPr>
        <w:t>” means each Loan bearing interest at a rate based upon Adjusted Term SOFR (other than pursuant to clause (c) of the definition of “Alternate Base Rate”).</w:t>
      </w:r>
    </w:p>
    <w:p>
      <w:pPr>
        <w:spacing w:after="0" w:line="155" w:lineRule="exact"/>
        <w:rPr>
          <w:sz w:val="20"/>
          <w:szCs w:val="20"/>
          <w:color w:val="auto"/>
        </w:rPr>
      </w:pPr>
    </w:p>
    <w:p>
      <w:pPr>
        <w:ind w:left="660" w:right="2340"/>
        <w:spacing w:after="0" w:line="459"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Term SOFR Lookback Day</w:t>
      </w:r>
      <w:r>
        <w:rPr>
          <w:rFonts w:ascii="Arial" w:cs="Arial" w:eastAsia="Arial" w:hAnsi="Arial"/>
          <w:sz w:val="19"/>
          <w:szCs w:val="19"/>
          <w:u w:val="single" w:color="auto"/>
          <w:color w:val="0000FF"/>
        </w:rPr>
        <w:t>” has the meaning assigned to such term in the definition of “Term SOFR.” “</w:t>
      </w:r>
      <w:r>
        <w:rPr>
          <w:rFonts w:ascii="Arial" w:cs="Arial" w:eastAsia="Arial" w:hAnsi="Arial"/>
          <w:sz w:val="19"/>
          <w:szCs w:val="19"/>
          <w:b w:val="1"/>
          <w:bCs w:val="1"/>
          <w:i w:val="1"/>
          <w:iCs w:val="1"/>
          <w:u w:val="single" w:color="auto"/>
          <w:color w:val="0000FF"/>
        </w:rPr>
        <w:t>Term SOFR Reference Rate</w:t>
      </w:r>
      <w:r>
        <w:rPr>
          <w:rFonts w:ascii="Arial" w:cs="Arial" w:eastAsia="Arial" w:hAnsi="Arial"/>
          <w:sz w:val="19"/>
          <w:szCs w:val="19"/>
          <w:u w:val="single" w:color="auto"/>
          <w:color w:val="0000FF"/>
        </w:rPr>
        <w:t xml:space="preserve">” means </w:t>
      </w:r>
      <w:r>
        <w:rPr>
          <w:rFonts w:ascii="Arial" w:cs="Arial" w:eastAsia="Arial" w:hAnsi="Arial"/>
          <w:sz w:val="19"/>
          <w:szCs w:val="19"/>
          <w:u w:val="single" w:color="auto"/>
          <w:color w:val="008000"/>
        </w:rPr>
        <w:t>the forward-looking term rate based on SOFR</w:t>
      </w:r>
      <w:r>
        <w:rPr>
          <w:rFonts w:ascii="Arial" w:cs="Arial" w:eastAsia="Arial" w:hAnsi="Arial"/>
          <w:sz w:val="19"/>
          <w:szCs w:val="19"/>
          <w:u w:val="single" w:color="auto"/>
          <w:color w:val="0000FF"/>
        </w:rPr>
        <w:t>.</w:t>
      </w:r>
    </w:p>
    <w:p>
      <w:pPr>
        <w:spacing w:after="0" w:line="1"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Testing Period</w:t>
      </w:r>
      <w:r>
        <w:rPr>
          <w:rFonts w:ascii="Arial" w:cs="Arial" w:eastAsia="Arial" w:hAnsi="Arial"/>
          <w:sz w:val="18"/>
          <w:szCs w:val="18"/>
          <w:color w:val="auto"/>
        </w:rPr>
        <w:t>” means a single period consisting of the four consecutive fiscal quarters of the Company then last ended (whether or not such quarters are all within the same fiscal year), except that if a particular provision of this Agreement indicates that a Testing Period</w:t>
      </w:r>
    </w:p>
    <w:p>
      <w:pPr>
        <w:ind w:right="220"/>
        <w:spacing w:after="0" w:line="227" w:lineRule="auto"/>
        <w:rPr>
          <w:sz w:val="20"/>
          <w:szCs w:val="20"/>
          <w:color w:val="auto"/>
        </w:rPr>
      </w:pPr>
      <w:r>
        <w:rPr>
          <w:rFonts w:ascii="Arial" w:cs="Arial" w:eastAsia="Arial" w:hAnsi="Arial"/>
          <w:sz w:val="20"/>
          <w:szCs w:val="20"/>
          <w:color w:val="auto"/>
        </w:rPr>
        <w:t>shall be of a different specified duration, such Testing Period shall consist of the particular fiscal quarter or quarters then last ended that are so indicated in such provision.</w:t>
      </w:r>
    </w:p>
    <w:p>
      <w:pPr>
        <w:spacing w:after="0" w:line="156" w:lineRule="exact"/>
        <w:rPr>
          <w:sz w:val="20"/>
          <w:szCs w:val="20"/>
          <w:color w:val="auto"/>
        </w:rPr>
      </w:pPr>
    </w:p>
    <w:p>
      <w:pPr>
        <w:ind w:right="1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TONAR</w:t>
      </w:r>
      <w:r>
        <w:rPr>
          <w:rFonts w:ascii="Arial" w:cs="Arial" w:eastAsia="Arial" w:hAnsi="Arial"/>
          <w:sz w:val="20"/>
          <w:szCs w:val="20"/>
          <w:color w:val="auto"/>
        </w:rPr>
        <w:t>” means, with respect to any Business Day, a rate per annum equal to the Tokyo Overnight Average Rate for such Business Day published by the TONAR Administrator on the TONAR Administrator’s Website.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TONAR Administrator</w:t>
      </w:r>
      <w:r>
        <w:rPr>
          <w:rFonts w:ascii="Arial" w:cs="Arial" w:eastAsia="Arial" w:hAnsi="Arial"/>
          <w:sz w:val="19"/>
          <w:szCs w:val="19"/>
          <w:color w:val="auto"/>
        </w:rPr>
        <w:t>” means the Bank of Japan (or any successor administrator of the Tokyo Overnight Average Rate).</w:t>
      </w:r>
    </w:p>
    <w:p>
      <w:pPr>
        <w:spacing w:after="0" w:line="187"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TONAR Administrator’s Website</w:t>
      </w:r>
      <w:r>
        <w:rPr>
          <w:rFonts w:ascii="Arial" w:cs="Arial" w:eastAsia="Arial" w:hAnsi="Arial"/>
          <w:sz w:val="20"/>
          <w:szCs w:val="20"/>
          <w:color w:val="auto"/>
        </w:rPr>
        <w:t>” means the Bank of Japan’s website, currently at http://www.boj.or.jp, or any successor source for the Tokyo Overnight Average Rate identified as such by the TONAR Administrator from time to time.</w:t>
      </w:r>
    </w:p>
    <w:p>
      <w:pPr>
        <w:spacing w:after="0" w:line="169" w:lineRule="exact"/>
        <w:rPr>
          <w:sz w:val="20"/>
          <w:szCs w:val="20"/>
          <w:color w:val="auto"/>
        </w:rPr>
      </w:pPr>
    </w:p>
    <w:p>
      <w:pPr>
        <w:ind w:right="1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Leverage Ratio</w:t>
      </w:r>
      <w:r>
        <w:rPr>
          <w:rFonts w:ascii="Arial" w:cs="Arial" w:eastAsia="Arial" w:hAnsi="Arial"/>
          <w:sz w:val="20"/>
          <w:szCs w:val="20"/>
          <w:color w:val="auto"/>
        </w:rPr>
        <w:t>” means, for any Testing Period, the ratio of (i) Consolidated Net Indebtedness to (ii) Consolidated EBITDA, calculated on a Pro Forma Basis.</w:t>
      </w:r>
    </w:p>
    <w:p>
      <w:pPr>
        <w:spacing w:after="0" w:line="169" w:lineRule="exact"/>
        <w:rPr>
          <w:sz w:val="20"/>
          <w:szCs w:val="20"/>
          <w:color w:val="auto"/>
        </w:rPr>
      </w:pPr>
    </w:p>
    <w:p>
      <w:pPr>
        <w:ind w:right="20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means the execution, delivery and performance by the Borrowers and the other Loan Parties of this Agreement and the other Loan Documents, the borrowing of Loans, the use of the proceeds thereof and the issuance of Letters of Credit hereunder.</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when used in reference to any Loan or Borrowing, refers to whether the rate of interest on such Loan, or on the Loans</w:t>
      </w:r>
    </w:p>
    <w:p>
      <w:pPr>
        <w:ind w:right="440"/>
        <w:spacing w:after="0" w:line="220" w:lineRule="auto"/>
        <w:rPr>
          <w:sz w:val="20"/>
          <w:szCs w:val="20"/>
          <w:color w:val="auto"/>
        </w:rPr>
      </w:pPr>
      <w:r>
        <w:rPr>
          <w:rFonts w:ascii="Arial" w:cs="Arial" w:eastAsia="Arial" w:hAnsi="Arial"/>
          <w:sz w:val="20"/>
          <w:szCs w:val="20"/>
          <w:color w:val="auto"/>
        </w:rPr>
        <w:t xml:space="preserve">comprising such Borrowing, is determined by reference to </w:t>
      </w:r>
      <w:r>
        <w:rPr>
          <w:rFonts w:ascii="Arial" w:cs="Arial" w:eastAsia="Arial" w:hAnsi="Arial"/>
          <w:sz w:val="20"/>
          <w:szCs w:val="20"/>
          <w:color w:val="FF0000"/>
          <w:strike w:val="1"/>
        </w:rPr>
        <w:t>the</w:t>
      </w:r>
      <w:r>
        <w:rPr>
          <w:rFonts w:ascii="Arial" w:cs="Arial" w:eastAsia="Arial" w:hAnsi="Arial"/>
          <w:sz w:val="20"/>
          <w:szCs w:val="20"/>
          <w:color w:val="auto"/>
        </w:rPr>
        <w:t xml:space="preserve"> Adjusted </w:t>
      </w:r>
      <w:r>
        <w:rPr>
          <w:rFonts w:ascii="Arial" w:cs="Arial" w:eastAsia="Arial" w:hAnsi="Arial"/>
          <w:sz w:val="20"/>
          <w:szCs w:val="20"/>
          <w:color w:val="FF0000"/>
          <w:strike w:val="1"/>
        </w:rPr>
        <w:t>LIBO Rate</w:t>
      </w:r>
      <w:r>
        <w:rPr>
          <w:rFonts w:ascii="Arial" w:cs="Arial" w:eastAsia="Arial" w:hAnsi="Arial"/>
          <w:sz w:val="20"/>
          <w:szCs w:val="20"/>
          <w:u w:val="single" w:color="auto"/>
          <w:color w:val="0000FF"/>
        </w:rPr>
        <w:t>Term SOFR</w:t>
      </w:r>
      <w:r>
        <w:rPr>
          <w:rFonts w:ascii="Arial" w:cs="Arial" w:eastAsia="Arial" w:hAnsi="Arial"/>
          <w:sz w:val="20"/>
          <w:szCs w:val="20"/>
          <w:color w:val="auto"/>
        </w:rPr>
        <w:t>, the Alternate Base Rate or the Adjusted Foreign Currency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w:t>
      </w:r>
      <w:r>
        <w:rPr>
          <w:rFonts w:ascii="Arial" w:cs="Arial" w:eastAsia="Arial" w:hAnsi="Arial"/>
          <w:sz w:val="20"/>
          <w:szCs w:val="20"/>
          <w:color w:val="auto"/>
        </w:rPr>
        <w:t>” or “</w:t>
      </w:r>
      <w:r>
        <w:rPr>
          <w:rFonts w:ascii="Arial" w:cs="Arial" w:eastAsia="Arial" w:hAnsi="Arial"/>
          <w:sz w:val="20"/>
          <w:szCs w:val="20"/>
          <w:b w:val="1"/>
          <w:bCs w:val="1"/>
          <w:i w:val="1"/>
          <w:iCs w:val="1"/>
          <w:color w:val="auto"/>
        </w:rPr>
        <w:t>United Kingdom</w:t>
      </w:r>
      <w:r>
        <w:rPr>
          <w:rFonts w:ascii="Arial" w:cs="Arial" w:eastAsia="Arial" w:hAnsi="Arial"/>
          <w:sz w:val="20"/>
          <w:szCs w:val="20"/>
          <w:color w:val="auto"/>
        </w:rPr>
        <w:t>” means the United Kingdom of Great Britain and Northern Ireland.</w:t>
      </w:r>
    </w:p>
    <w:p>
      <w:pPr>
        <w:spacing w:after="0" w:line="189"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Bail-In Legislation</w:t>
      </w:r>
      <w:r>
        <w:rPr>
          <w:rFonts w:ascii="Arial" w:cs="Arial" w:eastAsia="Arial" w:hAnsi="Arial"/>
          <w:sz w:val="18"/>
          <w:szCs w:val="18"/>
          <w:color w:val="auto"/>
        </w:rPr>
        <w:t>” means (to the extent that the United Kingdom is not an EEA Member Country which has implemented, or implements, Article 55 BRRD) Part I of the UK Banking Act 2009 and any other law or regulation applicable in the United Kingdom relating</w:t>
      </w:r>
    </w:p>
    <w:p>
      <w:pPr>
        <w:ind w:right="640"/>
        <w:spacing w:after="0" w:line="227" w:lineRule="auto"/>
        <w:rPr>
          <w:sz w:val="20"/>
          <w:szCs w:val="20"/>
          <w:color w:val="auto"/>
        </w:rPr>
      </w:pPr>
      <w:r>
        <w:rPr>
          <w:rFonts w:ascii="Arial" w:cs="Arial" w:eastAsia="Arial" w:hAnsi="Arial"/>
          <w:sz w:val="20"/>
          <w:szCs w:val="20"/>
          <w:color w:val="auto"/>
        </w:rPr>
        <w:t>to the resolution of unsound or failing banks, investment firms or other financial institutions or their affiliates (otherwise than through liquidation, administration or other insolvency proceedings).</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w:t>
      </w:r>
    </w:p>
    <w:p>
      <w:pPr>
        <w:ind w:right="200"/>
        <w:spacing w:after="0" w:line="220" w:lineRule="auto"/>
        <w:rPr>
          <w:sz w:val="20"/>
          <w:szCs w:val="20"/>
          <w:color w:val="auto"/>
        </w:rPr>
      </w:pPr>
      <w:r>
        <w:rPr>
          <w:rFonts w:ascii="Arial" w:cs="Arial" w:eastAsia="Arial" w:hAnsi="Arial"/>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Cash</w:t>
      </w:r>
      <w:r>
        <w:rPr>
          <w:rFonts w:ascii="Arial" w:cs="Arial" w:eastAsia="Arial" w:hAnsi="Arial"/>
          <w:sz w:val="18"/>
          <w:szCs w:val="18"/>
          <w:color w:val="auto"/>
        </w:rPr>
        <w:t>” means, at any time of determination, the sum of (i) the aggregate amount of all cash deposits of the Company</w:t>
      </w:r>
    </w:p>
    <w:p>
      <w:pPr>
        <w:spacing w:after="0" w:line="12"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and its Subsidiaries maintained in any demand deposit account, and (ii) the aggregate monetary value of all money market funds of the Company and its Subsidiaries maintained in any account of a securities intermediary, to the extent such cash deposits and money market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funds are free of any Lien or other encumbrance (other than (x) customary Liens arising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2" w:lineRule="exact"/>
        <w:rPr>
          <w:sz w:val="20"/>
          <w:szCs w:val="20"/>
          <w:color w:val="auto"/>
        </w:rPr>
      </w:pPr>
    </w:p>
    <w:p>
      <w:pPr>
        <w:ind w:right="660"/>
        <w:spacing w:after="0" w:line="236" w:lineRule="auto"/>
        <w:rPr>
          <w:sz w:val="20"/>
          <w:szCs w:val="20"/>
          <w:color w:val="auto"/>
        </w:rPr>
      </w:pPr>
      <w:r>
        <w:rPr>
          <w:rFonts w:ascii="Arial" w:cs="Arial" w:eastAsia="Arial" w:hAnsi="Arial"/>
          <w:sz w:val="20"/>
          <w:szCs w:val="20"/>
          <w:color w:val="auto"/>
        </w:rPr>
        <w:t>course of business which the depository institution may have with respect to any right of offset against funds in such account, and (y) customary holds for uncollected deposits).</w:t>
      </w:r>
    </w:p>
    <w:p>
      <w:pPr>
        <w:spacing w:after="0" w:line="155" w:lineRule="exact"/>
        <w:rPr>
          <w:sz w:val="20"/>
          <w:szCs w:val="20"/>
          <w:color w:val="auto"/>
        </w:rPr>
      </w:pPr>
    </w:p>
    <w:p>
      <w:pPr>
        <w:ind w:right="2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Unused Total Revolving Commitment</w:t>
      </w:r>
      <w:r>
        <w:rPr>
          <w:rFonts w:ascii="Arial" w:cs="Arial" w:eastAsia="Arial" w:hAnsi="Arial"/>
          <w:sz w:val="20"/>
          <w:szCs w:val="20"/>
          <w:color w:val="auto"/>
        </w:rPr>
        <w:t>” means, at any time, the excess of (i) the sum of the Lenders’ Revolving Commitments at such time over (ii) the sum of the Lenders’ Revolving Credit Exposure at such time.</w:t>
      </w:r>
    </w:p>
    <w:p>
      <w:pPr>
        <w:spacing w:after="0" w:line="169" w:lineRule="exact"/>
        <w:rPr>
          <w:sz w:val="20"/>
          <w:szCs w:val="20"/>
          <w:color w:val="auto"/>
        </w:rPr>
      </w:pPr>
    </w:p>
    <w:p>
      <w:pPr>
        <w:ind w:right="26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 as amended or modified from time to</w:t>
      </w:r>
    </w:p>
    <w:p>
      <w:pPr>
        <w:spacing w:after="0"/>
        <w:rPr>
          <w:sz w:val="20"/>
          <w:szCs w:val="20"/>
          <w:color w:val="auto"/>
        </w:rPr>
      </w:pPr>
      <w:r>
        <w:rPr>
          <w:rFonts w:ascii="Arial" w:cs="Arial" w:eastAsia="Arial" w:hAnsi="Arial"/>
          <w:sz w:val="20"/>
          <w:szCs w:val="20"/>
          <w:color w:val="auto"/>
        </w:rPr>
        <w:t>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Person</w:t>
      </w:r>
      <w:r>
        <w:rPr>
          <w:rFonts w:ascii="Arial" w:cs="Arial" w:eastAsia="Arial" w:hAnsi="Arial"/>
          <w:sz w:val="20"/>
          <w:szCs w:val="20"/>
          <w:color w:val="auto"/>
        </w:rPr>
        <w:t>” means a “United States person” within the meaning of Section 7701(a)(30)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has the meaning assigned to such term in Section 2.17(f)(ii)(B)(3).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Power</w:t>
      </w:r>
      <w:r>
        <w:rPr>
          <w:rFonts w:ascii="Arial" w:cs="Arial" w:eastAsia="Arial" w:hAnsi="Arial"/>
          <w:sz w:val="18"/>
          <w:szCs w:val="18"/>
          <w:color w:val="auto"/>
        </w:rPr>
        <w:t>” means, with respect to any Person, the exclusive ability to control, through the ownership of shares of capital stock,</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partnership interests, membership interests or otherwise, the election of members of the board of directors or other similar governing body of such Person, and the holding of a designated percentage of Voting Power of a Person means the ownership of shares of capital stock,</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partnership interests, membership interests or other interests of such Person sufficient to control exclusively the election of that percentage of the members of the board of directors or similar governing body of such Person.</w:t>
      </w:r>
    </w:p>
    <w:p>
      <w:pPr>
        <w:spacing w:after="0" w:line="156" w:lineRule="exact"/>
        <w:rPr>
          <w:sz w:val="20"/>
          <w:szCs w:val="20"/>
          <w:color w:val="auto"/>
        </w:rPr>
      </w:pPr>
    </w:p>
    <w:p>
      <w:pPr>
        <w:ind w:right="9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Withholding Agent</w:t>
      </w:r>
      <w:r>
        <w:rPr>
          <w:rFonts w:ascii="Arial" w:cs="Arial" w:eastAsia="Arial" w:hAnsi="Arial"/>
          <w:sz w:val="20"/>
          <w:szCs w:val="20"/>
          <w:color w:val="auto"/>
        </w:rPr>
        <w:t>” means any Loan Party and the Administrative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Write-Down and Conversion Powers</w:t>
      </w:r>
      <w:r>
        <w:rPr>
          <w:rFonts w:ascii="Arial" w:cs="Arial" w:eastAsia="Arial" w:hAnsi="Arial"/>
          <w:sz w:val="18"/>
          <w:szCs w:val="18"/>
          <w:color w:val="auto"/>
        </w:rPr>
        <w:t>” means, (a) in relation to any Bail-In Legislation described in the EU Bail-In Legislation</w:t>
      </w:r>
    </w:p>
    <w:p>
      <w:pPr>
        <w:spacing w:after="0" w:line="1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Schedule, and (b) from time to time, the powers described as such in relation to that Bail-In Legislation in the EU Bail-In Legislation Schedule, (b) in relation to the UK Bail-In Legislation, any powers under that UK Bail-In Legislation to cancel, transfer or dilute shares</w:t>
      </w:r>
    </w:p>
    <w:p>
      <w:pPr>
        <w:spacing w:after="0" w:line="224" w:lineRule="auto"/>
        <w:rPr>
          <w:sz w:val="20"/>
          <w:szCs w:val="20"/>
          <w:color w:val="auto"/>
        </w:rPr>
      </w:pPr>
      <w:r>
        <w:rPr>
          <w:rFonts w:ascii="Arial" w:cs="Arial" w:eastAsia="Arial" w:hAnsi="Arial"/>
          <w:sz w:val="19"/>
          <w:szCs w:val="19"/>
          <w:color w:val="auto"/>
        </w:rPr>
        <w:t>issued by a person that is a bank or investment firm or other financial institution or affiliate of a bank, investment firm or other financial</w:t>
      </w:r>
    </w:p>
    <w:p>
      <w:pPr>
        <w:spacing w:after="0" w:line="226" w:lineRule="auto"/>
        <w:rPr>
          <w:sz w:val="20"/>
          <w:szCs w:val="20"/>
          <w:color w:val="auto"/>
        </w:rPr>
      </w:pPr>
      <w:r>
        <w:rPr>
          <w:rFonts w:ascii="Arial" w:cs="Arial" w:eastAsia="Arial" w:hAnsi="Arial"/>
          <w:sz w:val="18"/>
          <w:szCs w:val="18"/>
          <w:color w:val="auto"/>
        </w:rPr>
        <w:t>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w:t>
      </w:r>
    </w:p>
    <w:p>
      <w:pPr>
        <w:spacing w:after="0" w:line="236" w:lineRule="auto"/>
        <w:rPr>
          <w:sz w:val="20"/>
          <w:szCs w:val="20"/>
          <w:color w:val="auto"/>
        </w:rPr>
      </w:pPr>
      <w:r>
        <w:rPr>
          <w:rFonts w:ascii="Arial" w:cs="Arial" w:eastAsia="Arial" w:hAnsi="Arial"/>
          <w:sz w:val="18"/>
          <w:szCs w:val="18"/>
          <w:color w:val="auto"/>
        </w:rPr>
        <w:t>contract or instrument is to have effect as if a right had been exercised under it or to suspend any obligation in respect of that liability or any</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of the powers under that UK Bail-In Legislation that are related to or ancillary to any of those powers and (c) in relation to any other applicable Bail-In Legislation, (i) any powers under that Bail-In Legislation to cancel, transfer or dilute shares issued by a person that is a</w:t>
      </w:r>
    </w:p>
    <w:p>
      <w:pPr>
        <w:spacing w:after="0" w:line="236" w:lineRule="auto"/>
        <w:rPr>
          <w:sz w:val="20"/>
          <w:szCs w:val="20"/>
          <w:color w:val="auto"/>
        </w:rPr>
      </w:pPr>
      <w:r>
        <w:rPr>
          <w:rFonts w:ascii="Arial" w:cs="Arial" w:eastAsia="Arial" w:hAnsi="Arial"/>
          <w:sz w:val="18"/>
          <w:szCs w:val="18"/>
          <w:color w:val="auto"/>
        </w:rPr>
        <w:t>bank or investment firm or other financial institution or affiliate of a bank, investment firm or other financial institution, to cancel, reduce,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w:t>
      </w:r>
    </w:p>
    <w:p>
      <w:pPr>
        <w:spacing w:after="0" w:line="236" w:lineRule="auto"/>
        <w:rPr>
          <w:sz w:val="20"/>
          <w:szCs w:val="20"/>
          <w:color w:val="auto"/>
        </w:rPr>
      </w:pPr>
      <w:r>
        <w:rPr>
          <w:rFonts w:ascii="Arial" w:cs="Arial" w:eastAsia="Arial" w:hAnsi="Arial"/>
          <w:sz w:val="18"/>
          <w:szCs w:val="18"/>
          <w:color w:val="auto"/>
        </w:rPr>
        <w:t>have effect as if a right had been exercised under it or to suspend any obligation in respect of that liability or any of the powers under that</w:t>
      </w:r>
    </w:p>
    <w:p>
      <w:pPr>
        <w:spacing w:after="0" w:line="1" w:lineRule="exact"/>
        <w:rPr>
          <w:sz w:val="20"/>
          <w:szCs w:val="20"/>
          <w:color w:val="auto"/>
        </w:rPr>
      </w:pPr>
    </w:p>
    <w:p>
      <w:pPr>
        <w:ind w:right="780"/>
        <w:spacing w:after="0" w:line="220" w:lineRule="auto"/>
        <w:rPr>
          <w:sz w:val="20"/>
          <w:szCs w:val="20"/>
          <w:color w:val="auto"/>
        </w:rPr>
      </w:pPr>
      <w:r>
        <w:rPr>
          <w:rFonts w:ascii="Arial" w:cs="Arial" w:eastAsia="Arial" w:hAnsi="Arial"/>
          <w:sz w:val="20"/>
          <w:szCs w:val="20"/>
          <w:color w:val="auto"/>
        </w:rPr>
        <w:t>Bail-In Legislation that are related to or ancillary to any of those powers and (ii) any similar or analogous powers under that Bail-In Legislation.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Yen</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mean the lawful currency of Japan.</w:t>
      </w:r>
    </w:p>
    <w:p>
      <w:pPr>
        <w:spacing w:after="0" w:line="189" w:lineRule="exact"/>
        <w:rPr>
          <w:sz w:val="20"/>
          <w:szCs w:val="20"/>
          <w:color w:val="auto"/>
        </w:rPr>
      </w:pPr>
    </w:p>
    <w:p>
      <w:pPr>
        <w:ind w:right="140" w:firstLine="648"/>
        <w:spacing w:after="0" w:line="26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Classification of Loans and Borrowing</w:t>
      </w:r>
      <w:r>
        <w:rPr>
          <w:rFonts w:ascii="Arial" w:cs="Arial" w:eastAsia="Arial" w:hAnsi="Arial"/>
          <w:sz w:val="16"/>
          <w:szCs w:val="16"/>
          <w:color w:val="auto"/>
        </w:rPr>
        <w:t>. For purposes of this Agreement, Loans may be classified and referred to by Class (</w:t>
      </w:r>
      <w:r>
        <w:rPr>
          <w:rFonts w:ascii="Arial" w:cs="Arial" w:eastAsia="Arial" w:hAnsi="Arial"/>
          <w:sz w:val="16"/>
          <w:szCs w:val="16"/>
          <w:u w:val="single" w:color="auto"/>
          <w:color w:val="auto"/>
        </w:rPr>
        <w:t>e</w:t>
      </w:r>
      <w:r>
        <w:rPr>
          <w:rFonts w:ascii="Arial" w:cs="Arial" w:eastAsia="Arial" w:hAnsi="Arial"/>
          <w:sz w:val="16"/>
          <w:szCs w:val="16"/>
          <w:color w:val="auto"/>
        </w:rPr>
        <w:t>.</w:t>
      </w:r>
      <w:r>
        <w:rPr>
          <w:rFonts w:ascii="Arial" w:cs="Arial" w:eastAsia="Arial" w:hAnsi="Arial"/>
          <w:sz w:val="16"/>
          <w:szCs w:val="16"/>
          <w:u w:val="single" w:color="auto"/>
          <w:color w:val="auto"/>
        </w:rPr>
        <w:t>g</w:t>
      </w:r>
      <w:r>
        <w:rPr>
          <w:rFonts w:ascii="Arial" w:cs="Arial" w:eastAsia="Arial" w:hAnsi="Arial"/>
          <w:sz w:val="16"/>
          <w:szCs w:val="16"/>
          <w:color w:val="auto"/>
        </w:rPr>
        <w:t>., a “</w:t>
      </w:r>
      <w:r>
        <w:rPr>
          <w:rFonts w:ascii="Arial" w:cs="Arial" w:eastAsia="Arial" w:hAnsi="Arial"/>
          <w:sz w:val="16"/>
          <w:szCs w:val="16"/>
          <w:b w:val="1"/>
          <w:bCs w:val="1"/>
          <w:i w:val="1"/>
          <w:iCs w:val="1"/>
          <w:color w:val="auto"/>
        </w:rPr>
        <w:t>Revolving Loan</w:t>
      </w:r>
      <w:r>
        <w:rPr>
          <w:rFonts w:ascii="Arial" w:cs="Arial" w:eastAsia="Arial" w:hAnsi="Arial"/>
          <w:sz w:val="16"/>
          <w:szCs w:val="16"/>
          <w:color w:val="auto"/>
        </w:rPr>
        <w:t>”) or by Type (</w:t>
      </w:r>
      <w:r>
        <w:rPr>
          <w:rFonts w:ascii="Arial" w:cs="Arial" w:eastAsia="Arial" w:hAnsi="Arial"/>
          <w:sz w:val="16"/>
          <w:szCs w:val="16"/>
          <w:u w:val="single" w:color="auto"/>
          <w:color w:val="auto"/>
        </w:rPr>
        <w:t>e</w:t>
      </w:r>
      <w:r>
        <w:rPr>
          <w:rFonts w:ascii="Arial" w:cs="Arial" w:eastAsia="Arial" w:hAnsi="Arial"/>
          <w:sz w:val="16"/>
          <w:szCs w:val="16"/>
          <w:color w:val="auto"/>
        </w:rPr>
        <w:t>.</w:t>
      </w:r>
      <w:r>
        <w:rPr>
          <w:rFonts w:ascii="Arial" w:cs="Arial" w:eastAsia="Arial" w:hAnsi="Arial"/>
          <w:sz w:val="16"/>
          <w:szCs w:val="16"/>
          <w:u w:val="single" w:color="auto"/>
          <w:color w:val="auto"/>
        </w:rPr>
        <w:t>g</w:t>
      </w:r>
      <w:r>
        <w:rPr>
          <w:rFonts w:ascii="Arial" w:cs="Arial" w:eastAsia="Arial" w:hAnsi="Arial"/>
          <w:sz w:val="16"/>
          <w:szCs w:val="16"/>
          <w:color w:val="auto"/>
        </w:rPr>
        <w:t>., a “</w:t>
      </w:r>
      <w:r>
        <w:rPr>
          <w:rFonts w:ascii="Arial" w:cs="Arial" w:eastAsia="Arial" w:hAnsi="Arial"/>
          <w:sz w:val="16"/>
          <w:szCs w:val="16"/>
          <w:b w:val="1"/>
          <w:bCs w:val="1"/>
          <w:i w:val="1"/>
          <w:iCs w:val="1"/>
          <w:color w:val="FF0000"/>
          <w:strike w:val="1"/>
        </w:rPr>
        <w:t>Eurodollar</w:t>
      </w:r>
      <w:r>
        <w:rPr>
          <w:rFonts w:ascii="Arial" w:cs="Arial" w:eastAsia="Arial" w:hAnsi="Arial"/>
          <w:sz w:val="16"/>
          <w:szCs w:val="16"/>
          <w:b w:val="1"/>
          <w:bCs w:val="1"/>
          <w:i w:val="1"/>
          <w:iCs w:val="1"/>
          <w:u w:val="single" w:color="auto"/>
          <w:color w:val="0000FF"/>
        </w:rPr>
        <w:t>Term SOFR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Loan</w:t>
      </w:r>
      <w:r>
        <w:rPr>
          <w:rFonts w:ascii="Arial" w:cs="Arial" w:eastAsia="Arial" w:hAnsi="Arial"/>
          <w:sz w:val="16"/>
          <w:szCs w:val="16"/>
          <w:color w:val="auto"/>
        </w:rPr>
        <w:t>”) or by Class and Type (</w:t>
      </w:r>
      <w:r>
        <w:rPr>
          <w:rFonts w:ascii="Arial" w:cs="Arial" w:eastAsia="Arial" w:hAnsi="Arial"/>
          <w:sz w:val="16"/>
          <w:szCs w:val="16"/>
          <w:u w:val="single" w:color="auto"/>
          <w:color w:val="auto"/>
        </w:rPr>
        <w:t>e</w:t>
      </w:r>
      <w:r>
        <w:rPr>
          <w:rFonts w:ascii="Arial" w:cs="Arial" w:eastAsia="Arial" w:hAnsi="Arial"/>
          <w:sz w:val="16"/>
          <w:szCs w:val="16"/>
          <w:color w:val="auto"/>
        </w:rPr>
        <w:t>.</w:t>
      </w:r>
      <w:r>
        <w:rPr>
          <w:rFonts w:ascii="Arial" w:cs="Arial" w:eastAsia="Arial" w:hAnsi="Arial"/>
          <w:sz w:val="16"/>
          <w:szCs w:val="16"/>
          <w:u w:val="single" w:color="auto"/>
          <w:color w:val="auto"/>
        </w:rPr>
        <w:t>g</w:t>
      </w:r>
      <w:r>
        <w:rPr>
          <w:rFonts w:ascii="Arial" w:cs="Arial" w:eastAsia="Arial" w:hAnsi="Arial"/>
          <w:sz w:val="16"/>
          <w:szCs w:val="16"/>
          <w:color w:val="auto"/>
        </w:rPr>
        <w:t>., a “</w:t>
      </w:r>
      <w:r>
        <w:rPr>
          <w:rFonts w:ascii="Arial" w:cs="Arial" w:eastAsia="Arial" w:hAnsi="Arial"/>
          <w:sz w:val="16"/>
          <w:szCs w:val="16"/>
          <w:b w:val="1"/>
          <w:bCs w:val="1"/>
          <w:i w:val="1"/>
          <w:iCs w:val="1"/>
          <w:color w:val="FF0000"/>
          <w:strike w:val="1"/>
        </w:rPr>
        <w:t>Eurodollar</w:t>
      </w:r>
      <w:r>
        <w:rPr>
          <w:rFonts w:ascii="Arial" w:cs="Arial" w:eastAsia="Arial" w:hAnsi="Arial"/>
          <w:sz w:val="16"/>
          <w:szCs w:val="16"/>
          <w:b w:val="1"/>
          <w:bCs w:val="1"/>
          <w:i w:val="1"/>
          <w:iCs w:val="1"/>
          <w:u w:val="single" w:color="auto"/>
          <w:color w:val="0000FF"/>
        </w:rPr>
        <w:t>Term SOFR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Loan</w:t>
      </w:r>
      <w:r>
        <w:rPr>
          <w:rFonts w:ascii="Arial" w:cs="Arial" w:eastAsia="Arial" w:hAnsi="Arial"/>
          <w:sz w:val="20"/>
          <w:szCs w:val="20"/>
          <w:color w:val="auto"/>
        </w:rPr>
        <w:t>”). Borrowings also may be classified and referred to by Class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w:t>
      </w:r>
      <w:r>
        <w:rPr>
          <w:rFonts w:ascii="Arial" w:cs="Arial" w:eastAsia="Arial" w:hAnsi="Arial"/>
          <w:sz w:val="20"/>
          <w:szCs w:val="20"/>
          <w:b w:val="1"/>
          <w:bCs w:val="1"/>
          <w:i w:val="1"/>
          <w:iCs w:val="1"/>
          <w:color w:val="auto"/>
        </w:rPr>
        <w:t>Revolving Borrowing</w:t>
      </w:r>
      <w:r>
        <w:rPr>
          <w:rFonts w:ascii="Arial" w:cs="Arial" w:eastAsia="Arial" w:hAnsi="Arial"/>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by Type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Eurodollar</w:t>
      </w:r>
      <w:r>
        <w:rPr>
          <w:rFonts w:ascii="Arial" w:cs="Arial" w:eastAsia="Arial" w:hAnsi="Arial"/>
          <w:sz w:val="18"/>
          <w:szCs w:val="18"/>
          <w:b w:val="1"/>
          <w:bCs w:val="1"/>
          <w:i w:val="1"/>
          <w:iCs w:val="1"/>
          <w:u w:val="single" w:color="auto"/>
          <w:color w:val="0000FF"/>
        </w:rPr>
        <w:t>Term SOFR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w:t>
      </w:r>
      <w:r>
        <w:rPr>
          <w:rFonts w:ascii="Arial" w:cs="Arial" w:eastAsia="Arial" w:hAnsi="Arial"/>
          <w:sz w:val="18"/>
          <w:szCs w:val="18"/>
          <w:color w:val="auto"/>
        </w:rPr>
        <w:t>.</w:t>
      </w:r>
      <w:r>
        <w:rPr>
          <w:rFonts w:ascii="Arial" w:cs="Arial" w:eastAsia="Arial" w:hAnsi="Arial"/>
          <w:sz w:val="18"/>
          <w:szCs w:val="18"/>
          <w:u w:val="single" w:color="auto"/>
          <w:color w:val="auto"/>
        </w:rPr>
        <w:t>g</w:t>
      </w:r>
      <w:r>
        <w:rPr>
          <w:rFonts w:ascii="Arial" w:cs="Arial" w:eastAsia="Arial" w:hAnsi="Arial"/>
          <w:sz w:val="18"/>
          <w:szCs w:val="18"/>
          <w:color w:val="auto"/>
        </w:rPr>
        <w:t>., a “</w:t>
      </w:r>
      <w:r>
        <w:rPr>
          <w:rFonts w:ascii="Arial" w:cs="Arial" w:eastAsia="Arial" w:hAnsi="Arial"/>
          <w:sz w:val="18"/>
          <w:szCs w:val="18"/>
          <w:b w:val="1"/>
          <w:bCs w:val="1"/>
          <w:i w:val="1"/>
          <w:iCs w:val="1"/>
          <w:color w:val="FF0000"/>
          <w:strike w:val="1"/>
        </w:rPr>
        <w:t>Eurodollar</w:t>
      </w:r>
      <w:r>
        <w:rPr>
          <w:rFonts w:ascii="Arial" w:cs="Arial" w:eastAsia="Arial" w:hAnsi="Arial"/>
          <w:sz w:val="18"/>
          <w:szCs w:val="18"/>
          <w:b w:val="1"/>
          <w:bCs w:val="1"/>
          <w:i w:val="1"/>
          <w:iCs w:val="1"/>
          <w:u w:val="single" w:color="auto"/>
          <w:color w:val="0000FF"/>
        </w:rPr>
        <w:t>Term SOFR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Revolving Borrowing</w:t>
      </w:r>
      <w:r>
        <w:rPr>
          <w:rFonts w:ascii="Arial" w:cs="Arial" w:eastAsia="Arial" w:hAnsi="Arial"/>
          <w:sz w:val="18"/>
          <w:szCs w:val="18"/>
          <w:color w:val="auto"/>
        </w:rPr>
        <w:t>”).</w:t>
      </w:r>
    </w:p>
    <w:p>
      <w:pPr>
        <w:spacing w:after="0" w:line="212" w:lineRule="exact"/>
        <w:rPr>
          <w:sz w:val="20"/>
          <w:szCs w:val="20"/>
          <w:color w:val="auto"/>
        </w:rPr>
      </w:pPr>
    </w:p>
    <w:p>
      <w:pPr>
        <w:ind w:right="200" w:firstLine="648"/>
        <w:spacing w:after="0" w:line="265"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w:t>
      </w:r>
    </w:p>
    <w:p>
      <w:pPr>
        <w:spacing w:after="0" w:line="236" w:lineRule="auto"/>
        <w:rPr>
          <w:sz w:val="20"/>
          <w:szCs w:val="20"/>
          <w:color w:val="auto"/>
        </w:rPr>
      </w:pPr>
      <w:r>
        <w:rPr>
          <w:rFonts w:ascii="Arial" w:cs="Arial" w:eastAsia="Arial" w:hAnsi="Arial"/>
          <w:sz w:val="18"/>
          <w:szCs w:val="18"/>
          <w:color w:val="auto"/>
        </w:rPr>
        <w:t>“include”, “includes” and “including” shall be deemed to be followed by the phrase “without limitation”. The word “will” shall be construed</w:t>
      </w:r>
    </w:p>
    <w:p>
      <w:pPr>
        <w:spacing w:after="0" w:line="255" w:lineRule="auto"/>
        <w:rPr>
          <w:sz w:val="20"/>
          <w:szCs w:val="20"/>
          <w:color w:val="auto"/>
        </w:rPr>
      </w:pPr>
      <w:r>
        <w:rPr>
          <w:rFonts w:ascii="Arial" w:cs="Arial" w:eastAsia="Arial" w:hAnsi="Arial"/>
          <w:sz w:val="16"/>
          <w:szCs w:val="16"/>
          <w:color w:val="auto"/>
        </w:rPr>
        <w:t>to have the same meaning and effect as the word “shall”. Unless the context requires otherwise (a) any definition of or reference to any agreement, instrument or other document herein shall be construed as referring to such agreement, instrument or other document as from time</w:t>
      </w:r>
    </w:p>
    <w:p>
      <w:pPr>
        <w:spacing w:after="0" w:line="235" w:lineRule="auto"/>
        <w:rPr>
          <w:sz w:val="20"/>
          <w:szCs w:val="20"/>
          <w:color w:val="auto"/>
        </w:rPr>
      </w:pPr>
      <w:r>
        <w:rPr>
          <w:rFonts w:ascii="Arial" w:cs="Arial" w:eastAsia="Arial" w:hAnsi="Arial"/>
          <w:sz w:val="18"/>
          <w:szCs w:val="18"/>
          <w:color w:val="auto"/>
        </w:rPr>
        <w:t>to time amended, supplemented or otherwise modified (subject to any restrictions on such amendments, supplements or modifications set</w:t>
      </w:r>
    </w:p>
    <w:p>
      <w:pPr>
        <w:ind w:right="240"/>
        <w:spacing w:after="0" w:line="226" w:lineRule="auto"/>
        <w:rPr>
          <w:sz w:val="20"/>
          <w:szCs w:val="20"/>
          <w:color w:val="auto"/>
        </w:rPr>
      </w:pPr>
      <w:r>
        <w:rPr>
          <w:rFonts w:ascii="Arial" w:cs="Arial" w:eastAsia="Arial" w:hAnsi="Arial"/>
          <w:sz w:val="18"/>
          <w:szCs w:val="18"/>
          <w:color w:val="auto"/>
        </w:rPr>
        <w:t>forth herein), (b) any reference herein to any Person shall be construed to include such Person’s successors and assigns, (c) the words “herein”, “hereof” and “hereunder”, and words of similar import, shall be construed to refer to this Agreement in its entirety and not to any</w:t>
      </w:r>
    </w:p>
    <w:p>
      <w:pPr>
        <w:spacing w:after="0" w:line="236" w:lineRule="auto"/>
        <w:rPr>
          <w:sz w:val="20"/>
          <w:szCs w:val="20"/>
          <w:color w:val="auto"/>
        </w:rPr>
      </w:pPr>
      <w:r>
        <w:rPr>
          <w:rFonts w:ascii="Arial" w:cs="Arial" w:eastAsia="Arial" w:hAnsi="Arial"/>
          <w:sz w:val="18"/>
          <w:szCs w:val="18"/>
          <w:color w:val="auto"/>
        </w:rPr>
        <w:t>particular provision hereof, (d) all references herein to Articles, Sections, Exhibits and Schedules shall be construed to refer to Articles and</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Sections of, and Exhibits and Schedules to, this Agreement, (e) the words “asset” and “property” shall be construed to have the same meaning and effect and to refer to any and all tangible and intangible assets and properties, including cash, securities, accounts and contract</w:t>
      </w:r>
    </w:p>
    <w:p>
      <w:pPr>
        <w:spacing w:after="0" w:line="235" w:lineRule="auto"/>
        <w:rPr>
          <w:sz w:val="20"/>
          <w:szCs w:val="20"/>
          <w:color w:val="auto"/>
        </w:rPr>
      </w:pPr>
      <w:r>
        <w:rPr>
          <w:rFonts w:ascii="Arial" w:cs="Arial" w:eastAsia="Arial" w:hAnsi="Arial"/>
          <w:sz w:val="18"/>
          <w:szCs w:val="18"/>
          <w:color w:val="auto"/>
        </w:rPr>
        <w:t>rights and (f) the word “regulation” includes any regulation, rule, official directive, request or guideline (whether or not having the force of</w:t>
      </w:r>
    </w:p>
    <w:p>
      <w:pPr>
        <w:ind w:right="700"/>
        <w:spacing w:after="0" w:line="220" w:lineRule="auto"/>
        <w:rPr>
          <w:sz w:val="20"/>
          <w:szCs w:val="20"/>
          <w:color w:val="auto"/>
        </w:rPr>
      </w:pPr>
      <w:r>
        <w:rPr>
          <w:rFonts w:ascii="Arial" w:cs="Arial" w:eastAsia="Arial" w:hAnsi="Arial"/>
          <w:sz w:val="20"/>
          <w:szCs w:val="20"/>
          <w:color w:val="auto"/>
        </w:rPr>
        <w:t>law) of any governmental, intergovernmental or supranational body, agency, department or of any regulatory, self-regulatory or other authority or organization.</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 Except as otherwise expressly provided herein, all terms of an accounting or financial</w:t>
      </w:r>
    </w:p>
    <w:p>
      <w:pPr>
        <w:ind w:right="20"/>
        <w:spacing w:after="0" w:line="255" w:lineRule="auto"/>
        <w:rPr>
          <w:sz w:val="20"/>
          <w:szCs w:val="20"/>
          <w:color w:val="auto"/>
        </w:rPr>
      </w:pPr>
      <w:r>
        <w:rPr>
          <w:rFonts w:ascii="Arial" w:cs="Arial" w:eastAsia="Arial" w:hAnsi="Arial"/>
          <w:sz w:val="16"/>
          <w:szCs w:val="16"/>
          <w:color w:val="auto"/>
        </w:rPr>
        <w:t xml:space="preserve">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whether a lease constitutes a capital lease or an operating lease shall be determined based on GAAP as in effect on December 31, 2018, notwithstanding any modification or interpretative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change thereto after such date (including without giving effect to any treatment of leases under Accounting Standards Codification 842 (or any other Accounting Standards Codification or Financial Accounting Standard having or purporting to have a similar result or effect));</w:t>
      </w:r>
    </w:p>
    <w:p>
      <w:pPr>
        <w:spacing w:after="0" w:line="236"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if the Company notifies the Administrative Agent that the Borrowers request an amendment to any provision hereof to</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eliminate the effect of any change occurring after the date hereof in GAAP or in the application thereof on the operation of such provision (or if the Administrative Agent notifies the Company that the Required Lenders request an amendment to any provision hereof for such</w:t>
      </w:r>
    </w:p>
    <w:p>
      <w:pPr>
        <w:spacing w:after="0" w:line="224" w:lineRule="auto"/>
        <w:rPr>
          <w:sz w:val="20"/>
          <w:szCs w:val="20"/>
          <w:color w:val="auto"/>
        </w:rPr>
      </w:pPr>
      <w:r>
        <w:rPr>
          <w:rFonts w:ascii="Arial" w:cs="Arial" w:eastAsia="Arial" w:hAnsi="Arial"/>
          <w:sz w:val="19"/>
          <w:szCs w:val="19"/>
          <w:color w:val="auto"/>
        </w:rPr>
        <w:t>purpose), regardless of whether any such notice is given before or after such change in GAAP or in the application thereof, then such</w:t>
      </w:r>
    </w:p>
    <w:p>
      <w:pPr>
        <w:ind w:right="380"/>
        <w:spacing w:after="0" w:line="255" w:lineRule="auto"/>
        <w:rPr>
          <w:sz w:val="20"/>
          <w:szCs w:val="20"/>
          <w:color w:val="auto"/>
        </w:rPr>
      </w:pPr>
      <w:r>
        <w:rPr>
          <w:rFonts w:ascii="Arial" w:cs="Arial" w:eastAsia="Arial" w:hAnsi="Arial"/>
          <w:sz w:val="16"/>
          <w:szCs w:val="16"/>
          <w:color w:val="auto"/>
        </w:rPr>
        <w:t>provision shall be interpreted on the basis of GAAP as in effect and applied immediately before such change shall have become effective until such notice shall have been withdrawn or such provision amended in accordance herewith. Notwithstanding any other provision</w:t>
      </w:r>
    </w:p>
    <w:p>
      <w:pPr>
        <w:spacing w:after="0" w:line="235" w:lineRule="auto"/>
        <w:rPr>
          <w:sz w:val="20"/>
          <w:szCs w:val="20"/>
          <w:color w:val="auto"/>
        </w:rPr>
      </w:pPr>
      <w:r>
        <w:rPr>
          <w:rFonts w:ascii="Arial" w:cs="Arial" w:eastAsia="Arial" w:hAnsi="Arial"/>
          <w:sz w:val="18"/>
          <w:szCs w:val="18"/>
          <w:color w:val="auto"/>
        </w:rPr>
        <w:t>contained herein, all terms of an accounting or financial nature used herein shall be construed, and all computations of amounts and ratios</w:t>
      </w:r>
    </w:p>
    <w:p>
      <w:pPr>
        <w:ind w:right="160"/>
        <w:spacing w:after="0" w:line="226" w:lineRule="auto"/>
        <w:rPr>
          <w:sz w:val="20"/>
          <w:szCs w:val="20"/>
          <w:color w:val="auto"/>
        </w:rPr>
      </w:pPr>
      <w:r>
        <w:rPr>
          <w:rFonts w:ascii="Arial" w:cs="Arial" w:eastAsia="Arial" w:hAnsi="Arial"/>
          <w:sz w:val="18"/>
          <w:szCs w:val="18"/>
          <w:color w:val="auto"/>
        </w:rPr>
        <w:t>referred to herein shall be made, without giving effect to any election under Financial Accounting Standards Board Accounting Standards Codification 825 (or any other Financial Accounting Standard having a similar result or effect) to value any Indebtedness or other liabilities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any Borrower or any Subsidiary at “fair value”, as defined therein.</w:t>
      </w:r>
    </w:p>
    <w:p>
      <w:pPr>
        <w:spacing w:after="0" w:line="173"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Section 1.05 Currency Equivalents. Except as otherwise specified herein, all references herein or in any other Loan Document to a Dollar amount shall mean such amount in dollars or, if the context so requires, the Dollar Equivalent of such amount in any Designated</w:t>
      </w:r>
    </w:p>
    <w:p>
      <w:pPr>
        <w:spacing w:after="0" w:line="222" w:lineRule="auto"/>
        <w:rPr>
          <w:sz w:val="20"/>
          <w:szCs w:val="20"/>
          <w:color w:val="auto"/>
        </w:rPr>
      </w:pPr>
      <w:r>
        <w:rPr>
          <w:rFonts w:ascii="Arial" w:cs="Arial" w:eastAsia="Arial" w:hAnsi="Arial"/>
          <w:sz w:val="19"/>
          <w:szCs w:val="19"/>
          <w:color w:val="auto"/>
        </w:rPr>
        <w:t>Foreign Currency. The Dollar Equivalent of any amount shall be determined in accordance with the definition of “Dollar Equivalent”;</w:t>
      </w:r>
    </w:p>
    <w:p>
      <w:pPr>
        <w:spacing w:after="0" w:line="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the foregoing or anything elsewhere in this Agreement to the contrary, in calculating the Dollar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of any amount for purposes of determining (i) a Borrower’s obligation to prepay Loans or cash collateralize Letters of Credit</w:t>
      </w:r>
    </w:p>
    <w:p>
      <w:pPr>
        <w:spacing w:after="0" w:line="236" w:lineRule="auto"/>
        <w:rPr>
          <w:sz w:val="20"/>
          <w:szCs w:val="20"/>
          <w:color w:val="auto"/>
        </w:rPr>
      </w:pPr>
      <w:r>
        <w:rPr>
          <w:rFonts w:ascii="Arial" w:cs="Arial" w:eastAsia="Arial" w:hAnsi="Arial"/>
          <w:sz w:val="18"/>
          <w:szCs w:val="18"/>
          <w:color w:val="auto"/>
        </w:rPr>
        <w:t>pursuant to Section 2.06(j), or (ii) a Borrower’s ability to request additional Loans or Letters of Credit pursuant to the Commitments,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Administrative Agent shall calculate the Dollar Equivalent of each such amount on the date of each Borrowing, conversion or continuation of any Borrowing or issuance of any Letter of Credit hereunder and on the date of any payment or prepayment of any Loans or reimbursement</w:t>
      </w:r>
    </w:p>
    <w:p>
      <w:pPr>
        <w:spacing w:after="0" w:line="2" w:lineRule="exact"/>
        <w:rPr>
          <w:sz w:val="20"/>
          <w:szCs w:val="20"/>
          <w:color w:val="auto"/>
        </w:rPr>
      </w:pPr>
    </w:p>
    <w:p>
      <w:pPr>
        <w:ind w:right="300"/>
        <w:spacing w:after="0" w:line="239" w:lineRule="auto"/>
        <w:rPr>
          <w:sz w:val="20"/>
          <w:szCs w:val="20"/>
          <w:color w:val="auto"/>
        </w:rPr>
      </w:pPr>
      <w:r>
        <w:rPr>
          <w:rFonts w:ascii="Arial" w:cs="Arial" w:eastAsia="Arial" w:hAnsi="Arial"/>
          <w:sz w:val="19"/>
          <w:szCs w:val="19"/>
          <w:color w:val="auto"/>
        </w:rPr>
        <w:t>of any Letter of Credit and, in addition, the Administrative Agent may, in the case of either of the foregoing, in its discretion, calculate the Dollar Equivalent of any such amount on any other proximate Business Day selected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59" w:name="page160"/>
    <w:bookmarkEnd w:id="159"/>
    <w:p>
      <w:pPr>
        <w:ind w:left="660"/>
        <w:spacing w:after="0"/>
        <w:tabs>
          <w:tab w:leader="none" w:pos="1820" w:val="left"/>
        </w:tabs>
        <w:rPr>
          <w:sz w:val="20"/>
          <w:szCs w:val="20"/>
          <w:color w:val="auto"/>
        </w:rPr>
      </w:pPr>
      <w:r>
        <w:rPr>
          <w:rFonts w:ascii="Arial" w:cs="Arial" w:eastAsia="Arial" w:hAnsi="Arial"/>
          <w:sz w:val="20"/>
          <w:szCs w:val="20"/>
          <w:color w:val="FF0000"/>
          <w:strike w:val="1"/>
        </w:rPr>
        <w:t>Section 1.06</w:t>
      </w:r>
      <w:r>
        <w:rPr>
          <w:sz w:val="20"/>
          <w:szCs w:val="20"/>
          <w:color w:val="auto"/>
        </w:rPr>
        <w:tab/>
      </w:r>
      <w:r>
        <w:rPr>
          <w:rFonts w:ascii="Arial" w:cs="Arial" w:eastAsia="Arial" w:hAnsi="Arial"/>
          <w:sz w:val="18"/>
          <w:szCs w:val="18"/>
          <w:u w:val="single" w:color="auto"/>
          <w:color w:val="FF0000"/>
          <w:strike w:val="1"/>
        </w:rPr>
        <w:t>LIBOR Notification</w:t>
      </w:r>
      <w:r>
        <w:rPr>
          <w:rFonts w:ascii="Arial" w:cs="Arial" w:eastAsia="Arial" w:hAnsi="Arial"/>
          <w:sz w:val="18"/>
          <w:szCs w:val="18"/>
          <w:color w:val="FF0000"/>
          <w:strike w:val="1"/>
        </w:rPr>
        <w:t>. The interest rate on Eurodollar Loans is determined by reference to the Adjusted LIBO Rate,</w:t>
      </w:r>
    </w:p>
    <w:p>
      <w:pPr>
        <w:ind w:right="460"/>
        <w:spacing w:after="0" w:line="226" w:lineRule="auto"/>
        <w:rPr>
          <w:sz w:val="20"/>
          <w:szCs w:val="20"/>
          <w:color w:val="auto"/>
        </w:rPr>
      </w:pPr>
      <w:r>
        <w:rPr>
          <w:rFonts w:ascii="Arial" w:cs="Arial" w:eastAsia="Arial" w:hAnsi="Arial"/>
          <w:sz w:val="18"/>
          <w:szCs w:val="18"/>
          <w:color w:val="FF0000"/>
          <w:strike w:val="1"/>
        </w:rPr>
        <w:t>which is derived from the London interbank offered rate. The London interbank offered rate is intended to represent the rate at which contributing banks may obtain short-term borrowings from each other in the London interbank market. In July 2017, the U.K. Financial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Conduct Authority announced that, after the end of 2021, it would no longer persuade or compel contributing banks to make rate submissions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to the ICE Benchmark Administration (together with any successor to the ICE Benchmark Administrator, the “</w:t>
      </w:r>
      <w:r>
        <w:rPr>
          <w:rFonts w:ascii="Arial" w:cs="Arial" w:eastAsia="Arial" w:hAnsi="Arial"/>
          <w:sz w:val="18"/>
          <w:szCs w:val="18"/>
          <w:b w:val="1"/>
          <w:bCs w:val="1"/>
          <w:i w:val="1"/>
          <w:iCs w:val="1"/>
          <w:color w:val="FF0000"/>
          <w:strike w:val="1"/>
        </w:rPr>
        <w:t>IBA</w:t>
      </w:r>
      <w:r>
        <w:rPr>
          <w:rFonts w:ascii="Arial" w:cs="Arial" w:eastAsia="Arial" w:hAnsi="Arial"/>
          <w:sz w:val="18"/>
          <w:szCs w:val="18"/>
          <w:color w:val="FF0000"/>
          <w:strike w:val="1"/>
        </w:rPr>
        <w:t>”) for purposes of the IBA setting the London interbank offered rate. As a result, it is possible that commencing in 2022, the London interbank offered rate may no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longer be available or may no longer be deemed an appropriate reference rate upon which to determine the interest rate on Eurodollar Loans.</w:t>
      </w:r>
    </w:p>
    <w:p>
      <w:pPr>
        <w:spacing w:after="0" w:line="19"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FF0000"/>
          <w:strike w:val="1"/>
        </w:rPr>
        <w:t>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w:t>
      </w:r>
    </w:p>
    <w:p>
      <w:pPr>
        <w:spacing w:after="0" w:line="236" w:lineRule="auto"/>
        <w:rPr>
          <w:sz w:val="20"/>
          <w:szCs w:val="20"/>
          <w:color w:val="auto"/>
        </w:rPr>
      </w:pPr>
      <w:r>
        <w:rPr>
          <w:rFonts w:ascii="Arial" w:cs="Arial" w:eastAsia="Arial" w:hAnsi="Arial"/>
          <w:sz w:val="18"/>
          <w:szCs w:val="18"/>
          <w:color w:val="FF0000"/>
          <w:strike w:val="1"/>
        </w:rPr>
        <w:t>certain other circumstances as set forth in Section 2.23 of this Agreement, such Section 2.23 provides a mechanism for determining an</w:t>
      </w:r>
    </w:p>
    <w:p>
      <w:pPr>
        <w:spacing w:after="0" w:line="1" w:lineRule="exact"/>
        <w:rPr>
          <w:sz w:val="20"/>
          <w:szCs w:val="20"/>
          <w:color w:val="auto"/>
        </w:rPr>
      </w:pPr>
    </w:p>
    <w:p>
      <w:pPr>
        <w:ind w:right="400"/>
        <w:spacing w:after="0" w:line="220" w:lineRule="auto"/>
        <w:rPr>
          <w:sz w:val="20"/>
          <w:szCs w:val="20"/>
          <w:color w:val="auto"/>
        </w:rPr>
      </w:pPr>
      <w:r>
        <w:rPr>
          <w:rFonts w:ascii="Arial" w:cs="Arial" w:eastAsia="Arial" w:hAnsi="Arial"/>
          <w:sz w:val="20"/>
          <w:szCs w:val="20"/>
          <w:color w:val="FF0000"/>
          <w:strike w:val="1"/>
        </w:rPr>
        <w:t>alternative rate of interest. The Administrative Agent will notify the Company, pursuant to Section 2.23, in advance of any change to the reference rate upon which the interest rate on Eurodollar Loans is based.</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0000FF"/>
        </w:rPr>
        <w:t>Section 1.06</w:t>
      </w:r>
      <w:r>
        <w:rPr>
          <w:sz w:val="20"/>
          <w:szCs w:val="20"/>
          <w:color w:val="auto"/>
        </w:rPr>
        <w:tab/>
      </w:r>
      <w:r>
        <w:rPr>
          <w:rFonts w:ascii="Arial" w:cs="Arial" w:eastAsia="Arial" w:hAnsi="Arial"/>
          <w:sz w:val="16"/>
          <w:szCs w:val="16"/>
          <w:u w:val="single" w:color="auto"/>
          <w:color w:val="0000FF"/>
        </w:rPr>
        <w:t>Rates. The interest rate on Loans may be determined by reference to a benchmark rate that is, or may in the future</w:t>
      </w:r>
    </w:p>
    <w:p>
      <w:pPr>
        <w:ind w:right="180"/>
        <w:spacing w:after="0" w:line="226" w:lineRule="auto"/>
        <w:rPr>
          <w:sz w:val="20"/>
          <w:szCs w:val="20"/>
          <w:color w:val="auto"/>
        </w:rPr>
      </w:pPr>
      <w:r>
        <w:rPr>
          <w:rFonts w:ascii="Arial" w:cs="Arial" w:eastAsia="Arial" w:hAnsi="Arial"/>
          <w:sz w:val="18"/>
          <w:szCs w:val="18"/>
          <w:u w:val="single" w:color="auto"/>
          <w:color w:val="0000FF"/>
        </w:rPr>
        <w:t>become, the subject of regulatory reform or cessation</w:t>
      </w:r>
      <w:r>
        <w:rPr>
          <w:rFonts w:ascii="Arial" w:cs="Arial" w:eastAsia="Arial" w:hAnsi="Arial"/>
          <w:sz w:val="18"/>
          <w:szCs w:val="18"/>
          <w:u w:val="single" w:color="auto"/>
          <w:color w:val="008000"/>
        </w:rPr>
        <w:t>. The Administrative Agent does not warrant or accept responsibility for, and shall not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have any liability with respect to </w:t>
      </w:r>
      <w:r>
        <w:rPr>
          <w:rFonts w:ascii="Arial" w:cs="Arial" w:eastAsia="Arial" w:hAnsi="Arial"/>
          <w:sz w:val="18"/>
          <w:szCs w:val="18"/>
          <w:u w:val="single" w:color="auto"/>
          <w:color w:val="0000FF"/>
        </w:rPr>
        <w:t>(a) the continuation of, administration of, submission of, calculation of</w:t>
      </w:r>
      <w:r>
        <w:rPr>
          <w:rFonts w:ascii="Arial" w:cs="Arial" w:eastAsia="Arial" w:hAnsi="Arial"/>
          <w:sz w:val="18"/>
          <w:szCs w:val="18"/>
          <w:u w:val="single" w:color="auto"/>
          <w:color w:val="008000"/>
        </w:rPr>
        <w:t xml:space="preserve"> or any other matter related to the</w:t>
      </w:r>
    </w:p>
    <w:p>
      <w:pPr>
        <w:spacing w:after="0" w:line="236" w:lineRule="auto"/>
        <w:rPr>
          <w:sz w:val="20"/>
          <w:szCs w:val="20"/>
          <w:color w:val="auto"/>
        </w:rPr>
      </w:pPr>
      <w:r>
        <w:rPr>
          <w:rFonts w:ascii="Arial" w:cs="Arial" w:eastAsia="Arial" w:hAnsi="Arial"/>
          <w:sz w:val="18"/>
          <w:szCs w:val="18"/>
          <w:u w:val="single" w:color="auto"/>
          <w:color w:val="0000FF"/>
        </w:rPr>
        <w:t>Alternate Base Rate, Adjusted Term SOFR, any Daily Simple RFR, EURIBOR, the CDOR Rate or any Adjusted Foreign Currency Rate, or,</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u w:val="single" w:color="auto"/>
          <w:color w:val="0000FF"/>
        </w:rPr>
        <w:t xml:space="preserve">in each case, any component definition thereof or rates referred to in the definition thereof, or any alternative, successor or replacement rate thereto (including any Benchmark Replacement), including </w:t>
      </w:r>
      <w:r>
        <w:rPr>
          <w:rFonts w:ascii="Arial" w:cs="Arial" w:eastAsia="Arial" w:hAnsi="Arial"/>
          <w:sz w:val="16"/>
          <w:szCs w:val="16"/>
          <w:u w:val="single" w:color="auto"/>
          <w:color w:val="008000"/>
        </w:rPr>
        <w:t>whether the composition or characteristics of any such alternative, successor or</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u w:val="single" w:color="auto"/>
          <w:color w:val="008000"/>
        </w:rPr>
        <w:t xml:space="preserve">replacement </w:t>
      </w:r>
      <w:r>
        <w:rPr>
          <w:rFonts w:ascii="Arial" w:cs="Arial" w:eastAsia="Arial" w:hAnsi="Arial"/>
          <w:sz w:val="16"/>
          <w:szCs w:val="16"/>
          <w:u w:val="single" w:color="auto"/>
          <w:color w:val="0000FF"/>
        </w:rPr>
        <w:t>rate (including any Benchmark Replacement)</w:t>
      </w:r>
      <w:r>
        <w:rPr>
          <w:rFonts w:ascii="Arial" w:cs="Arial" w:eastAsia="Arial" w:hAnsi="Arial"/>
          <w:sz w:val="16"/>
          <w:szCs w:val="16"/>
          <w:u w:val="single" w:color="auto"/>
          <w:color w:val="008000"/>
        </w:rPr>
        <w:t xml:space="preserve"> will be similar to, or produce the same value or economic equivalence of, or have the same volume or liquidity as</w:t>
      </w:r>
      <w:r>
        <w:rPr>
          <w:rFonts w:ascii="Arial" w:cs="Arial" w:eastAsia="Arial" w:hAnsi="Arial"/>
          <w:sz w:val="16"/>
          <w:szCs w:val="16"/>
          <w:u w:val="single" w:color="auto"/>
          <w:color w:val="0000FF"/>
        </w:rPr>
        <w:t>, the Alternate Base Rate, Adjusted Term SOFR, any Daily Simple RFR, EURIBOR, the CDOR Rate, any</w:t>
      </w:r>
    </w:p>
    <w:p>
      <w:pPr>
        <w:spacing w:after="0" w:line="235" w:lineRule="auto"/>
        <w:rPr>
          <w:sz w:val="20"/>
          <w:szCs w:val="20"/>
          <w:color w:val="auto"/>
        </w:rPr>
      </w:pPr>
      <w:r>
        <w:rPr>
          <w:rFonts w:ascii="Arial" w:cs="Arial" w:eastAsia="Arial" w:hAnsi="Arial"/>
          <w:sz w:val="18"/>
          <w:szCs w:val="18"/>
          <w:u w:val="single" w:color="auto"/>
          <w:color w:val="0000FF"/>
        </w:rPr>
        <w:t xml:space="preserve">Adjusted Foreign Currency Rate or any other Benchmark </w:t>
      </w:r>
      <w:r>
        <w:rPr>
          <w:rFonts w:ascii="Arial" w:cs="Arial" w:eastAsia="Arial" w:hAnsi="Arial"/>
          <w:sz w:val="18"/>
          <w:szCs w:val="18"/>
          <w:u w:val="single" w:color="auto"/>
          <w:color w:val="008000"/>
        </w:rPr>
        <w:t>prior to its discontinuance or unavailability</w:t>
      </w:r>
      <w:r>
        <w:rPr>
          <w:rFonts w:ascii="Arial" w:cs="Arial" w:eastAsia="Arial" w:hAnsi="Arial"/>
          <w:sz w:val="18"/>
          <w:szCs w:val="18"/>
          <w:u w:val="single" w:color="auto"/>
          <w:color w:val="0000FF"/>
        </w:rPr>
        <w:t>, or (b) the effect, implementation or</w:t>
      </w:r>
    </w:p>
    <w:p>
      <w:pPr>
        <w:ind w:right="80"/>
        <w:spacing w:after="0" w:line="226" w:lineRule="auto"/>
        <w:rPr>
          <w:sz w:val="20"/>
          <w:szCs w:val="20"/>
          <w:color w:val="auto"/>
        </w:rPr>
      </w:pPr>
      <w:r>
        <w:rPr>
          <w:rFonts w:ascii="Arial" w:cs="Arial" w:eastAsia="Arial" w:hAnsi="Arial"/>
          <w:sz w:val="18"/>
          <w:szCs w:val="18"/>
          <w:u w:val="single" w:color="auto"/>
          <w:color w:val="0000FF"/>
        </w:rPr>
        <w:t>composition of any Benchmark Replacement Conforming Changes. The Administrative Agent and its Affiliates or other related entities may engage in transactions that affect the calculation of the Alternate Base Rate, Adjusted Term SOFR, any Daily Simple RFR, EURIBOR, the</w:t>
      </w:r>
    </w:p>
    <w:p>
      <w:pPr>
        <w:spacing w:after="0" w:line="224" w:lineRule="auto"/>
        <w:rPr>
          <w:sz w:val="20"/>
          <w:szCs w:val="20"/>
          <w:color w:val="auto"/>
        </w:rPr>
      </w:pPr>
      <w:r>
        <w:rPr>
          <w:rFonts w:ascii="Arial" w:cs="Arial" w:eastAsia="Arial" w:hAnsi="Arial"/>
          <w:sz w:val="19"/>
          <w:szCs w:val="19"/>
          <w:u w:val="single" w:color="auto"/>
          <w:color w:val="0000FF"/>
        </w:rPr>
        <w:t>CDOR Rate or any Adjusted Foreign Currency Rate, or, in each case, any alternative, successor or replacement rate (including any</w:t>
      </w:r>
    </w:p>
    <w:p>
      <w:pPr>
        <w:ind w:right="20"/>
        <w:spacing w:after="0" w:line="255" w:lineRule="auto"/>
        <w:rPr>
          <w:sz w:val="20"/>
          <w:szCs w:val="20"/>
          <w:color w:val="auto"/>
        </w:rPr>
      </w:pPr>
      <w:r>
        <w:rPr>
          <w:rFonts w:ascii="Arial" w:cs="Arial" w:eastAsia="Arial" w:hAnsi="Arial"/>
          <w:sz w:val="16"/>
          <w:szCs w:val="16"/>
          <w:u w:val="single" w:color="auto"/>
          <w:color w:val="0000FF"/>
        </w:rPr>
        <w:t>Benchmark Replacement) or any relevant adjustments thereto, in each case, in a manner adverse to the Borrowers. The Administrative Agent may select information sources or services in its reasonable discretion to ascertain the Alternate Base Rate, Adjusted Term SOFR, any Daily</w:t>
      </w:r>
    </w:p>
    <w:p>
      <w:pPr>
        <w:spacing w:after="0" w:line="235" w:lineRule="auto"/>
        <w:rPr>
          <w:sz w:val="20"/>
          <w:szCs w:val="20"/>
          <w:color w:val="auto"/>
        </w:rPr>
      </w:pPr>
      <w:r>
        <w:rPr>
          <w:rFonts w:ascii="Arial" w:cs="Arial" w:eastAsia="Arial" w:hAnsi="Arial"/>
          <w:sz w:val="18"/>
          <w:szCs w:val="18"/>
          <w:u w:val="single" w:color="auto"/>
          <w:color w:val="0000FF"/>
        </w:rPr>
        <w:t>Simple RFR, EURIBOR, the CDOR Rate, any Adjusted Foreign Currency Rate or any other Benchmark, in each case pursuant to the terms</w:t>
      </w:r>
    </w:p>
    <w:p>
      <w:pPr>
        <w:ind w:right="100"/>
        <w:spacing w:after="0" w:line="255" w:lineRule="auto"/>
        <w:rPr>
          <w:sz w:val="20"/>
          <w:szCs w:val="20"/>
          <w:color w:val="auto"/>
        </w:rPr>
      </w:pPr>
      <w:r>
        <w:rPr>
          <w:rFonts w:ascii="Arial" w:cs="Arial" w:eastAsia="Arial" w:hAnsi="Arial"/>
          <w:sz w:val="16"/>
          <w:szCs w:val="16"/>
          <w:u w:val="single" w:color="auto"/>
          <w:color w:val="0000FF"/>
        </w:rPr>
        <w:t>of this Agreement, and shall have no liability to the Borrowers, any Lender or any other person or entity for damages of any kind, including direct or indirect, special, punitive, incidental or consequential damages, costs, losses or expenses (whether in tort, contract or otherwise and</w:t>
      </w:r>
    </w:p>
    <w:p>
      <w:pPr>
        <w:spacing w:after="0" w:line="223" w:lineRule="auto"/>
        <w:rPr>
          <w:sz w:val="20"/>
          <w:szCs w:val="20"/>
          <w:color w:val="auto"/>
        </w:rPr>
      </w:pPr>
      <w:r>
        <w:rPr>
          <w:rFonts w:ascii="Arial" w:cs="Arial" w:eastAsia="Arial" w:hAnsi="Arial"/>
          <w:sz w:val="19"/>
          <w:szCs w:val="19"/>
          <w:u w:val="single" w:color="auto"/>
          <w:color w:val="0000FF"/>
        </w:rPr>
        <w:t>whether at law or in equity), for any error or calculation of any such benchmark rate (or component thereof) provided by any such</w:t>
      </w:r>
    </w:p>
    <w:p>
      <w:pPr>
        <w:ind w:right="100"/>
        <w:spacing w:after="0" w:line="226" w:lineRule="auto"/>
        <w:rPr>
          <w:sz w:val="20"/>
          <w:szCs w:val="20"/>
          <w:color w:val="auto"/>
        </w:rPr>
      </w:pPr>
      <w:r>
        <w:rPr>
          <w:rFonts w:ascii="Arial" w:cs="Arial" w:eastAsia="Arial" w:hAnsi="Arial"/>
          <w:sz w:val="18"/>
          <w:szCs w:val="18"/>
          <w:u w:val="single" w:color="auto"/>
          <w:color w:val="0000FF"/>
        </w:rPr>
        <w:t>information source or service. In connection with the use or administration of Adjusted Term SOFR, any Daily Simple RFR, EURIBOR, the CDOR Rate or any Adjusted Foreign Currency Rate the Administrative Agent will have the right to make Benchmark Replacement</w:t>
      </w:r>
    </w:p>
    <w:p>
      <w:pPr>
        <w:spacing w:after="0" w:line="224" w:lineRule="auto"/>
        <w:rPr>
          <w:sz w:val="20"/>
          <w:szCs w:val="20"/>
          <w:color w:val="auto"/>
        </w:rPr>
      </w:pPr>
      <w:r>
        <w:rPr>
          <w:rFonts w:ascii="Arial" w:cs="Arial" w:eastAsia="Arial" w:hAnsi="Arial"/>
          <w:sz w:val="19"/>
          <w:szCs w:val="19"/>
          <w:u w:val="single" w:color="auto"/>
          <w:color w:val="0000FF"/>
        </w:rPr>
        <w:t>Conforming Changes from time to time and, notwithstanding anything to the contrary herein or in any other Loan Document, any</w:t>
      </w:r>
    </w:p>
    <w:p>
      <w:pPr>
        <w:ind w:right="120"/>
        <w:spacing w:after="0" w:line="226" w:lineRule="auto"/>
        <w:rPr>
          <w:sz w:val="20"/>
          <w:szCs w:val="20"/>
          <w:color w:val="auto"/>
        </w:rPr>
      </w:pPr>
      <w:r>
        <w:rPr>
          <w:rFonts w:ascii="Arial" w:cs="Arial" w:eastAsia="Arial" w:hAnsi="Arial"/>
          <w:sz w:val="18"/>
          <w:szCs w:val="18"/>
          <w:u w:val="single" w:color="auto"/>
          <w:color w:val="0000FF"/>
        </w:rPr>
        <w:t>amendments implementing such Benchmark Replacement Conforming Changes will become effective without any further action or consent of any other party to this Agreement or any other Loan Document. The Administrative Agent will promptly notify the Company and the</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9"/>
          <w:szCs w:val="19"/>
          <w:u w:val="single" w:color="auto"/>
          <w:color w:val="0000FF"/>
        </w:rPr>
        <w:t>Lenders of the effectiveness of any Benchmark Replacement Conforming Changes in connection with the use or administration of Adjusted Term SOFR, any Daily Simple RFR, EURIBOR, the CDOR Rate or any Adjusted Foreign Currency Rate.</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6"/>
          <w:szCs w:val="16"/>
          <w:u w:val="single" w:color="auto"/>
          <w:color w:val="auto"/>
        </w:rPr>
        <w:t>Dutch Terms</w:t>
      </w:r>
      <w:r>
        <w:rPr>
          <w:rFonts w:ascii="Arial" w:cs="Arial" w:eastAsia="Arial" w:hAnsi="Arial"/>
          <w:sz w:val="16"/>
          <w:szCs w:val="16"/>
          <w:color w:val="auto"/>
        </w:rPr>
        <w:t>. In this Agreement, where it relates to an entity incorporated in the Netherlands, a reference to:</w:t>
      </w:r>
    </w:p>
    <w:p>
      <w:pPr>
        <w:spacing w:after="0" w:line="177" w:lineRule="exact"/>
        <w:rPr>
          <w:sz w:val="20"/>
          <w:szCs w:val="20"/>
          <w:color w:val="auto"/>
        </w:rPr>
      </w:pPr>
    </w:p>
    <w:p>
      <w:pPr>
        <w:ind w:left="1960"/>
        <w:spacing w:after="0"/>
        <w:tabs>
          <w:tab w:leader="none" w:pos="232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a “director” means a managing director (</w:t>
      </w:r>
      <w:r>
        <w:rPr>
          <w:rFonts w:ascii="Arial" w:cs="Arial" w:eastAsia="Arial" w:hAnsi="Arial"/>
          <w:sz w:val="18"/>
          <w:szCs w:val="18"/>
          <w:i w:val="1"/>
          <w:iCs w:val="1"/>
          <w:color w:val="auto"/>
        </w:rPr>
        <w:t>bestuurder</w:t>
      </w:r>
      <w:r>
        <w:rPr>
          <w:rFonts w:ascii="Arial" w:cs="Arial" w:eastAsia="Arial" w:hAnsi="Arial"/>
          <w:sz w:val="18"/>
          <w:szCs w:val="18"/>
          <w:color w:val="auto"/>
        </w:rPr>
        <w:t>) and “board of directors” means its managing board</w:t>
      </w: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bestuur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394" w:right="359" w:bottom="1440" w:gutter="0" w:footer="0" w:header="0"/>
        </w:sectPr>
      </w:pPr>
    </w:p>
    <w:bookmarkStart w:id="160" w:name="page161"/>
    <w:bookmarkEnd w:id="160"/>
    <w:p>
      <w:pPr>
        <w:ind w:left="640" w:firstLine="1292"/>
        <w:spacing w:after="0" w:line="236" w:lineRule="auto"/>
        <w:tabs>
          <w:tab w:leader="none" w:pos="2376"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 “action to authorize” or “duly authorized”, where applicable, includes without limitation any action required to comply with the Dutch Works Council Act (</w:t>
      </w:r>
      <w:r>
        <w:rPr>
          <w:rFonts w:ascii="Arial" w:cs="Arial" w:eastAsia="Arial" w:hAnsi="Arial"/>
          <w:sz w:val="20"/>
          <w:szCs w:val="20"/>
          <w:i w:val="1"/>
          <w:iCs w:val="1"/>
          <w:color w:val="auto"/>
        </w:rPr>
        <w:t>Wet op de ondernemingsraden</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640" w:right="480" w:firstLine="1292"/>
        <w:spacing w:after="0" w:line="236" w:lineRule="auto"/>
        <w:tabs>
          <w:tab w:leader="none" w:pos="243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“proceeding under any bankruptcy or insolvency law”, “bankruptcy”, “insolvency”, or “dissolution” includes a Dutch entity being declared bankrupt (</w:t>
      </w:r>
      <w:r>
        <w:rPr>
          <w:rFonts w:ascii="Arial" w:cs="Arial" w:eastAsia="Arial" w:hAnsi="Arial"/>
          <w:sz w:val="20"/>
          <w:szCs w:val="20"/>
          <w:i w:val="1"/>
          <w:iCs w:val="1"/>
          <w:color w:val="auto"/>
        </w:rPr>
        <w:t>failliet verklaard</w:t>
      </w:r>
      <w:r>
        <w:rPr>
          <w:rFonts w:ascii="Arial" w:cs="Arial" w:eastAsia="Arial" w:hAnsi="Arial"/>
          <w:sz w:val="20"/>
          <w:szCs w:val="20"/>
          <w:color w:val="auto"/>
        </w:rPr>
        <w:t>) or dissolved (</w:t>
      </w:r>
      <w:r>
        <w:rPr>
          <w:rFonts w:ascii="Arial" w:cs="Arial" w:eastAsia="Arial" w:hAnsi="Arial"/>
          <w:sz w:val="20"/>
          <w:szCs w:val="20"/>
          <w:i w:val="1"/>
          <w:iCs w:val="1"/>
          <w:color w:val="auto"/>
        </w:rPr>
        <w:t>ontbonden</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ind w:left="640" w:right="100" w:firstLine="1292"/>
        <w:spacing w:after="0" w:line="252" w:lineRule="auto"/>
        <w:tabs>
          <w:tab w:leader="none" w:pos="2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“bankruptcy, insolvency, receivership or similar proceeding” or “liquidation proceeding” (or words of similar import) includes an application for moratorium (</w:t>
      </w:r>
      <w:r>
        <w:rPr>
          <w:rFonts w:ascii="Arial" w:cs="Arial" w:eastAsia="Arial" w:hAnsi="Arial"/>
          <w:sz w:val="18"/>
          <w:szCs w:val="18"/>
          <w:i w:val="1"/>
          <w:iCs w:val="1"/>
          <w:color w:val="auto"/>
        </w:rPr>
        <w:t>surseance van betaling</w:t>
      </w:r>
      <w:r>
        <w:rPr>
          <w:rFonts w:ascii="Arial" w:cs="Arial" w:eastAsia="Arial" w:hAnsi="Arial"/>
          <w:sz w:val="18"/>
          <w:szCs w:val="18"/>
          <w:color w:val="auto"/>
        </w:rPr>
        <w:t>) and the appointment of a receiver, liquidator, custodian, trustee includes the appointment of an administrator and that a moratorium has been granted (</w:t>
      </w:r>
      <w:r>
        <w:rPr>
          <w:rFonts w:ascii="Arial" w:cs="Arial" w:eastAsia="Arial" w:hAnsi="Arial"/>
          <w:sz w:val="18"/>
          <w:szCs w:val="18"/>
          <w:i w:val="1"/>
          <w:iCs w:val="1"/>
          <w:color w:val="auto"/>
        </w:rPr>
        <w:t>surseance verleend</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640" w:right="300" w:firstLine="1292"/>
        <w:spacing w:after="0" w:line="220" w:lineRule="auto"/>
        <w:tabs>
          <w:tab w:leader="none" w:pos="236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procedure or step taken in connection with an insolvency proceeding includes such Dutch entity having filed a notice under Section 36 of the Tax Collection Act of the Netherlands (</w:t>
      </w:r>
      <w:r>
        <w:rPr>
          <w:rFonts w:ascii="Arial" w:cs="Arial" w:eastAsia="Arial" w:hAnsi="Arial"/>
          <w:sz w:val="20"/>
          <w:szCs w:val="20"/>
          <w:i w:val="1"/>
          <w:iCs w:val="1"/>
          <w:color w:val="auto"/>
        </w:rPr>
        <w:t>Invorderingswet 1990</w:t>
      </w:r>
      <w:r>
        <w:rPr>
          <w:rFonts w:ascii="Arial" w:cs="Arial" w:eastAsia="Arial" w:hAnsi="Arial"/>
          <w:sz w:val="20"/>
          <w:szCs w:val="20"/>
          <w:color w:val="auto"/>
        </w:rPr>
        <w:t>) or Section 60 of the Social Insurance Financing Act of the Netherlands (</w:t>
      </w:r>
      <w:r>
        <w:rPr>
          <w:rFonts w:ascii="Arial" w:cs="Arial" w:eastAsia="Arial" w:hAnsi="Arial"/>
          <w:sz w:val="20"/>
          <w:szCs w:val="20"/>
          <w:i w:val="1"/>
          <w:iCs w:val="1"/>
          <w:color w:val="auto"/>
        </w:rPr>
        <w:t>Wet Financiering Sociale Verzekeringe</w:t>
      </w:r>
      <w:r>
        <w:rPr>
          <w:rFonts w:ascii="Arial" w:cs="Arial" w:eastAsia="Arial" w:hAnsi="Arial"/>
          <w:sz w:val="20"/>
          <w:szCs w:val="20"/>
          <w:color w:val="auto"/>
        </w:rPr>
        <w:t>n) in conjunction with Section 36 of the Tax Collection Act of the Netherlands (</w:t>
      </w:r>
      <w:r>
        <w:rPr>
          <w:rFonts w:ascii="Arial" w:cs="Arial" w:eastAsia="Arial" w:hAnsi="Arial"/>
          <w:sz w:val="20"/>
          <w:szCs w:val="20"/>
          <w:i w:val="1"/>
          <w:iCs w:val="1"/>
          <w:color w:val="auto"/>
        </w:rPr>
        <w:t>Invorderingswet 1990</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2420" w:hanging="488"/>
        <w:spacing w:after="0"/>
        <w:tabs>
          <w:tab w:leader="none" w:pos="24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 “trustee” in any bankruptcy or insolvency proceeding includes a </w:t>
      </w:r>
      <w:r>
        <w:rPr>
          <w:rFonts w:ascii="Arial" w:cs="Arial" w:eastAsia="Arial" w:hAnsi="Arial"/>
          <w:sz w:val="20"/>
          <w:szCs w:val="20"/>
          <w:i w:val="1"/>
          <w:iCs w:val="1"/>
          <w:color w:val="auto"/>
        </w:rPr>
        <w:t>curator</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480" w:hanging="548"/>
        <w:spacing w:after="0"/>
        <w:tabs>
          <w:tab w:leader="none" w:pos="24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 “administrator” includes a </w:t>
      </w:r>
      <w:r>
        <w:rPr>
          <w:rFonts w:ascii="Arial" w:cs="Arial" w:eastAsia="Arial" w:hAnsi="Arial"/>
          <w:sz w:val="20"/>
          <w:szCs w:val="20"/>
          <w:i w:val="1"/>
          <w:iCs w:val="1"/>
          <w:color w:val="auto"/>
        </w:rPr>
        <w:t>bewindvoerder</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520" w:hanging="588"/>
        <w:spacing w:after="0"/>
        <w:tabs>
          <w:tab w:leader="none" w:pos="25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an “attachment” includes a </w:t>
      </w:r>
      <w:r>
        <w:rPr>
          <w:rFonts w:ascii="Arial" w:cs="Arial" w:eastAsia="Arial" w:hAnsi="Arial"/>
          <w:sz w:val="20"/>
          <w:szCs w:val="20"/>
          <w:i w:val="1"/>
          <w:iCs w:val="1"/>
          <w:color w:val="auto"/>
        </w:rPr>
        <w:t>beslag</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420" w:hanging="488"/>
        <w:spacing w:after="0"/>
        <w:tabs>
          <w:tab w:leader="none" w:pos="24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“gross negligence” means </w:t>
      </w:r>
      <w:r>
        <w:rPr>
          <w:rFonts w:ascii="Arial" w:cs="Arial" w:eastAsia="Arial" w:hAnsi="Arial"/>
          <w:sz w:val="20"/>
          <w:szCs w:val="20"/>
          <w:i w:val="1"/>
          <w:iCs w:val="1"/>
          <w:color w:val="auto"/>
        </w:rPr>
        <w:t>grove schuld</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360" w:hanging="428"/>
        <w:spacing w:after="0"/>
        <w:tabs>
          <w:tab w:leader="none" w:pos="23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“indemnify” means </w:t>
      </w:r>
      <w:r>
        <w:rPr>
          <w:rFonts w:ascii="Arial" w:cs="Arial" w:eastAsia="Arial" w:hAnsi="Arial"/>
          <w:sz w:val="20"/>
          <w:szCs w:val="20"/>
          <w:i w:val="1"/>
          <w:iCs w:val="1"/>
          <w:color w:val="auto"/>
        </w:rPr>
        <w:t>vrijwaren</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420" w:hanging="488"/>
        <w:spacing w:after="0"/>
        <w:tabs>
          <w:tab w:leader="none" w:pos="24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“negligence” means </w:t>
      </w:r>
      <w:r>
        <w:rPr>
          <w:rFonts w:ascii="Arial" w:cs="Arial" w:eastAsia="Arial" w:hAnsi="Arial"/>
          <w:sz w:val="20"/>
          <w:szCs w:val="20"/>
          <w:i w:val="1"/>
          <w:iCs w:val="1"/>
          <w:color w:val="auto"/>
        </w:rPr>
        <w:t>schuld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480" w:hanging="548"/>
        <w:spacing w:after="0"/>
        <w:tabs>
          <w:tab w:leader="none" w:pos="24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“bad faith” means </w:t>
      </w:r>
      <w:r>
        <w:rPr>
          <w:rFonts w:ascii="Arial" w:cs="Arial" w:eastAsia="Arial" w:hAnsi="Arial"/>
          <w:sz w:val="20"/>
          <w:szCs w:val="20"/>
          <w:i w:val="1"/>
          <w:iCs w:val="1"/>
          <w:color w:val="auto"/>
        </w:rPr>
        <w:t>kwade trouw</w:t>
      </w:r>
      <w:r>
        <w:rPr>
          <w:rFonts w:ascii="Arial" w:cs="Arial" w:eastAsia="Arial" w:hAnsi="Arial"/>
          <w:sz w:val="20"/>
          <w:szCs w:val="20"/>
          <w:color w:val="auto"/>
        </w:rPr>
        <w:t>; and</w:t>
      </w:r>
    </w:p>
    <w:p>
      <w:pPr>
        <w:spacing w:after="0" w:line="188" w:lineRule="exact"/>
        <w:rPr>
          <w:rFonts w:ascii="Arial" w:cs="Arial" w:eastAsia="Arial" w:hAnsi="Arial"/>
          <w:sz w:val="20"/>
          <w:szCs w:val="20"/>
          <w:color w:val="auto"/>
        </w:rPr>
      </w:pPr>
    </w:p>
    <w:p>
      <w:pPr>
        <w:ind w:left="2520" w:hanging="588"/>
        <w:spacing w:after="0"/>
        <w:tabs>
          <w:tab w:leader="none" w:pos="25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“willful misconduct” means </w:t>
      </w:r>
      <w:r>
        <w:rPr>
          <w:rFonts w:ascii="Arial" w:cs="Arial" w:eastAsia="Arial" w:hAnsi="Arial"/>
          <w:sz w:val="20"/>
          <w:szCs w:val="20"/>
          <w:i w:val="1"/>
          <w:iCs w:val="1"/>
          <w:color w:val="auto"/>
        </w:rPr>
        <w:t>opzet</w:t>
      </w:r>
      <w:r>
        <w:rPr>
          <w:rFonts w:ascii="Arial" w:cs="Arial" w:eastAsia="Arial" w:hAnsi="Arial"/>
          <w:sz w:val="20"/>
          <w:szCs w:val="20"/>
          <w:color w:val="auto"/>
        </w:rPr>
        <w:t>.</w:t>
      </w:r>
    </w:p>
    <w:p>
      <w:pPr>
        <w:spacing w:after="0" w:line="175"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6"/>
          <w:szCs w:val="16"/>
          <w:u w:val="single" w:color="auto"/>
          <w:color w:val="auto"/>
        </w:rPr>
        <w:t>Hungarian Terms</w:t>
      </w:r>
      <w:r>
        <w:rPr>
          <w:rFonts w:ascii="Arial" w:cs="Arial" w:eastAsia="Arial" w:hAnsi="Arial"/>
          <w:sz w:val="16"/>
          <w:szCs w:val="16"/>
          <w:color w:val="auto"/>
        </w:rPr>
        <w:t>. In this Agreement, where it relates to an entity incorporated in Hungary, a reference to:</w:t>
      </w:r>
    </w:p>
    <w:p>
      <w:pPr>
        <w:spacing w:after="0" w:line="151" w:lineRule="exact"/>
        <w:rPr>
          <w:sz w:val="20"/>
          <w:szCs w:val="20"/>
          <w:color w:val="auto"/>
        </w:rPr>
      </w:pPr>
    </w:p>
    <w:p>
      <w:pPr>
        <w:ind w:left="2320" w:hanging="388"/>
        <w:spacing w:after="0" w:line="230" w:lineRule="exact"/>
        <w:tabs>
          <w:tab w:leader="none" w:pos="23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 “director” means a managing director (</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gyvezető</w:t>
      </w:r>
      <w:r>
        <w:rPr>
          <w:rFonts w:ascii="Arial" w:cs="Arial" w:eastAsia="Arial" w:hAnsi="Arial"/>
          <w:sz w:val="20"/>
          <w:szCs w:val="20"/>
          <w:color w:val="auto"/>
        </w:rPr>
        <w:t>);</w:t>
      </w:r>
    </w:p>
    <w:p>
      <w:pPr>
        <w:spacing w:after="0" w:line="225" w:lineRule="exact"/>
        <w:rPr>
          <w:rFonts w:ascii="Arial" w:cs="Arial" w:eastAsia="Arial" w:hAnsi="Arial"/>
          <w:sz w:val="20"/>
          <w:szCs w:val="20"/>
          <w:color w:val="auto"/>
        </w:rPr>
      </w:pPr>
    </w:p>
    <w:p>
      <w:pPr>
        <w:ind w:left="640" w:right="540" w:firstLine="1292"/>
        <w:spacing w:after="0" w:line="227" w:lineRule="auto"/>
        <w:tabs>
          <w:tab w:leader="none" w:pos="237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any “proceeding under any bankruptcy or insolvency law”, “bankruptcy”, “insolvency”, “dissolution”, “bankruptcy, insolvency, receivership or similar proceeding” or “liquidation proceeding” (or words of similar import) includes </w:t>
      </w:r>
      <w:r>
        <w:rPr>
          <w:rFonts w:ascii="Arial" w:cs="Arial" w:eastAsia="Arial" w:hAnsi="Arial"/>
          <w:sz w:val="19"/>
          <w:szCs w:val="19"/>
          <w:i w:val="1"/>
          <w:iCs w:val="1"/>
          <w:color w:val="auto"/>
        </w:rPr>
        <w:t xml:space="preserve">csődeljárás </w:t>
      </w:r>
      <w:r>
        <w:rPr>
          <w:rFonts w:ascii="Arial" w:cs="Arial" w:eastAsia="Arial" w:hAnsi="Arial"/>
          <w:sz w:val="19"/>
          <w:szCs w:val="19"/>
          <w:color w:val="auto"/>
        </w:rPr>
        <w:t>(bankruptcy),</w:t>
      </w:r>
      <w:r>
        <w:rPr>
          <w:rFonts w:ascii="Arial" w:cs="Arial" w:eastAsia="Arial" w:hAnsi="Arial"/>
          <w:sz w:val="19"/>
          <w:szCs w:val="19"/>
          <w:i w:val="1"/>
          <w:iCs w:val="1"/>
          <w:color w:val="auto"/>
        </w:rPr>
        <w:t xml:space="preserve"> fizetési haladék </w:t>
      </w:r>
      <w:r>
        <w:rPr>
          <w:rFonts w:ascii="Arial" w:cs="Arial" w:eastAsia="Arial" w:hAnsi="Arial"/>
          <w:sz w:val="19"/>
          <w:szCs w:val="19"/>
          <w:color w:val="auto"/>
        </w:rPr>
        <w:t>(payment suspension),</w:t>
      </w:r>
      <w:r>
        <w:rPr>
          <w:rFonts w:ascii="Arial" w:cs="Arial" w:eastAsia="Arial" w:hAnsi="Arial"/>
          <w:sz w:val="19"/>
          <w:szCs w:val="19"/>
          <w:i w:val="1"/>
          <w:iCs w:val="1"/>
          <w:color w:val="auto"/>
        </w:rPr>
        <w:t xml:space="preserve"> ideiglenes fizetési haladék </w:t>
      </w:r>
      <w:r>
        <w:rPr>
          <w:rFonts w:ascii="Arial" w:cs="Arial" w:eastAsia="Arial" w:hAnsi="Arial"/>
          <w:sz w:val="19"/>
          <w:szCs w:val="19"/>
          <w:color w:val="auto"/>
        </w:rPr>
        <w:t>(temporary payment suspension),</w:t>
      </w:r>
      <w:r>
        <w:rPr>
          <w:rFonts w:ascii="Arial" w:cs="Arial" w:eastAsia="Arial" w:hAnsi="Arial"/>
          <w:sz w:val="19"/>
          <w:szCs w:val="19"/>
          <w:i w:val="1"/>
          <w:iCs w:val="1"/>
          <w:color w:val="auto"/>
        </w:rPr>
        <w:t xml:space="preserve"> felszámolási eljárás </w:t>
      </w:r>
      <w:r>
        <w:rPr>
          <w:rFonts w:ascii="Arial" w:cs="Arial" w:eastAsia="Arial" w:hAnsi="Arial"/>
          <w:sz w:val="19"/>
          <w:szCs w:val="19"/>
          <w:color w:val="auto"/>
        </w:rPr>
        <w:t>(liquidation), végelszámolás (voluntary solvent winding-up),</w:t>
      </w:r>
      <w:r>
        <w:rPr>
          <w:rFonts w:ascii="Arial" w:cs="Arial" w:eastAsia="Arial" w:hAnsi="Arial"/>
          <w:sz w:val="19"/>
          <w:szCs w:val="19"/>
          <w:i w:val="1"/>
          <w:iCs w:val="1"/>
          <w:color w:val="auto"/>
        </w:rPr>
        <w:t xml:space="preserve"> kényszertörlési eljárás </w:t>
      </w:r>
      <w:r>
        <w:rPr>
          <w:rFonts w:ascii="Arial" w:cs="Arial" w:eastAsia="Arial" w:hAnsi="Arial"/>
          <w:sz w:val="19"/>
          <w:szCs w:val="19"/>
          <w:color w:val="auto"/>
        </w:rPr>
        <w:t>(involuntary deletion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proceeding) and </w:t>
      </w:r>
      <w:r>
        <w:rPr>
          <w:rFonts w:ascii="Arial" w:cs="Arial" w:eastAsia="Arial" w:hAnsi="Arial"/>
          <w:sz w:val="19"/>
          <w:szCs w:val="19"/>
          <w:i w:val="1"/>
          <w:iCs w:val="1"/>
          <w:color w:val="auto"/>
        </w:rPr>
        <w:t>megszűntnek nyilvánítás</w:t>
      </w:r>
      <w:r>
        <w:rPr>
          <w:rFonts w:ascii="Arial" w:cs="Arial" w:eastAsia="Arial" w:hAnsi="Arial"/>
          <w:sz w:val="19"/>
          <w:szCs w:val="19"/>
          <w:color w:val="auto"/>
        </w:rPr>
        <w:t xml:space="preserve"> (declaration of termination);</w:t>
      </w:r>
    </w:p>
    <w:p>
      <w:pPr>
        <w:spacing w:after="0" w:line="168" w:lineRule="exact"/>
        <w:rPr>
          <w:rFonts w:ascii="Arial" w:cs="Arial" w:eastAsia="Arial" w:hAnsi="Arial"/>
          <w:sz w:val="19"/>
          <w:szCs w:val="19"/>
          <w:color w:val="auto"/>
        </w:rPr>
      </w:pPr>
    </w:p>
    <w:p>
      <w:pPr>
        <w:ind w:left="640" w:right="300" w:firstLine="1292"/>
        <w:spacing w:after="0" w:line="214" w:lineRule="exact"/>
        <w:tabs>
          <w:tab w:leader="none" w:pos="243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a “liquidator”, a “trustee”, an “administrator” and a “receiver” in any bankruptcy or insolvency proceeding includes a or other similar officer includes without limitation </w:t>
      </w:r>
      <w:r>
        <w:rPr>
          <w:rFonts w:ascii="Arial" w:cs="Arial" w:eastAsia="Arial" w:hAnsi="Arial"/>
          <w:sz w:val="20"/>
          <w:szCs w:val="20"/>
          <w:i w:val="1"/>
          <w:iCs w:val="1"/>
          <w:color w:val="auto"/>
        </w:rPr>
        <w:t>ideiglenes vagyonfel</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gyelő, vagyonfel</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gyelő, fel</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gyelőbiztos,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csődgondnok, felszámoló, állami felszámoló </w:t>
      </w:r>
      <w:r>
        <w:rPr>
          <w:rFonts w:ascii="Arial" w:cs="Arial" w:eastAsia="Arial" w:hAnsi="Arial"/>
          <w:sz w:val="20"/>
          <w:szCs w:val="20"/>
          <w:color w:val="auto"/>
        </w:rPr>
        <w:t>or</w:t>
      </w:r>
      <w:r>
        <w:rPr>
          <w:rFonts w:ascii="Arial" w:cs="Arial" w:eastAsia="Arial" w:hAnsi="Arial"/>
          <w:sz w:val="20"/>
          <w:szCs w:val="20"/>
          <w:i w:val="1"/>
          <w:iCs w:val="1"/>
          <w:color w:val="auto"/>
        </w:rPr>
        <w:t xml:space="preserve"> végelszámoló</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40" w:top="1405" w:right="379" w:bottom="1440" w:gutter="0" w:footer="0" w:header="0"/>
        </w:sectPr>
      </w:pPr>
    </w:p>
    <w:bookmarkStart w:id="161" w:name="page162"/>
    <w:bookmarkEnd w:id="161"/>
    <w:p>
      <w:pPr>
        <w:ind w:left="660" w:right="160" w:firstLine="1292"/>
        <w:spacing w:after="0" w:line="245" w:lineRule="exact"/>
        <w:tabs>
          <w:tab w:leader="none" w:pos="24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“share” includes quota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zletrész</w:t>
      </w:r>
      <w:r>
        <w:rPr>
          <w:rFonts w:ascii="Arial" w:cs="Arial" w:eastAsia="Arial" w:hAnsi="Arial"/>
          <w:sz w:val="18"/>
          <w:szCs w:val="18"/>
          <w:color w:val="auto"/>
        </w:rPr>
        <w:t>) representing the ownership interest in a Hungarian entity with a corporate form of a limited liability company (</w:t>
      </w:r>
      <w:r>
        <w:rPr>
          <w:rFonts w:ascii="Arial" w:cs="Arial" w:eastAsia="Arial" w:hAnsi="Arial"/>
          <w:sz w:val="18"/>
          <w:szCs w:val="18"/>
          <w:i w:val="1"/>
          <w:iCs w:val="1"/>
          <w:color w:val="auto"/>
        </w:rPr>
        <w:t>korlátolt felelősségű társaság</w:t>
      </w:r>
      <w:r>
        <w:rPr>
          <w:rFonts w:ascii="Arial" w:cs="Arial" w:eastAsia="Arial" w:hAnsi="Arial"/>
          <w:sz w:val="18"/>
          <w:szCs w:val="18"/>
          <w:color w:val="auto"/>
        </w:rPr>
        <w:t>) and “shareholder” shall be interpreted accordingly;</w:t>
      </w:r>
    </w:p>
    <w:p>
      <w:pPr>
        <w:spacing w:after="0" w:line="154" w:lineRule="exact"/>
        <w:rPr>
          <w:rFonts w:ascii="Arial" w:cs="Arial" w:eastAsia="Arial" w:hAnsi="Arial"/>
          <w:sz w:val="18"/>
          <w:szCs w:val="18"/>
          <w:color w:val="auto"/>
        </w:rPr>
      </w:pPr>
    </w:p>
    <w:p>
      <w:pPr>
        <w:ind w:left="2380" w:hanging="428"/>
        <w:spacing w:after="0"/>
        <w:tabs>
          <w:tab w:leader="none" w:pos="23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 “moratorium” includes a moratórium, ideiglenes fizetési haladék or fizetési haladék;</w:t>
      </w:r>
    </w:p>
    <w:p>
      <w:pPr>
        <w:spacing w:after="0" w:line="188" w:lineRule="exact"/>
        <w:rPr>
          <w:rFonts w:ascii="Arial" w:cs="Arial" w:eastAsia="Arial" w:hAnsi="Arial"/>
          <w:sz w:val="20"/>
          <w:szCs w:val="20"/>
          <w:color w:val="auto"/>
        </w:rPr>
      </w:pPr>
    </w:p>
    <w:p>
      <w:pPr>
        <w:ind w:left="2440" w:hanging="488"/>
        <w:spacing w:after="0"/>
        <w:tabs>
          <w:tab w:leader="none" w:pos="24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“gross negligence” means </w:t>
      </w:r>
      <w:r>
        <w:rPr>
          <w:rFonts w:ascii="Arial" w:cs="Arial" w:eastAsia="Arial" w:hAnsi="Arial"/>
          <w:sz w:val="20"/>
          <w:szCs w:val="20"/>
          <w:i w:val="1"/>
          <w:iCs w:val="1"/>
          <w:color w:val="auto"/>
        </w:rPr>
        <w:t>súlyos gondatlanság</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500" w:hanging="548"/>
        <w:spacing w:after="0"/>
        <w:tabs>
          <w:tab w:leader="none" w:pos="25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“indemnify” means </w:t>
      </w:r>
      <w:r>
        <w:rPr>
          <w:rFonts w:ascii="Arial" w:cs="Arial" w:eastAsia="Arial" w:hAnsi="Arial"/>
          <w:sz w:val="20"/>
          <w:szCs w:val="20"/>
          <w:i w:val="1"/>
          <w:iCs w:val="1"/>
          <w:color w:val="auto"/>
        </w:rPr>
        <w:t>kártalanít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540" w:hanging="588"/>
        <w:spacing w:after="0"/>
        <w:tabs>
          <w:tab w:leader="none" w:pos="25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“negligence” means </w:t>
      </w:r>
      <w:r>
        <w:rPr>
          <w:rFonts w:ascii="Arial" w:cs="Arial" w:eastAsia="Arial" w:hAnsi="Arial"/>
          <w:sz w:val="20"/>
          <w:szCs w:val="20"/>
          <w:i w:val="1"/>
          <w:iCs w:val="1"/>
          <w:color w:val="auto"/>
        </w:rPr>
        <w:t>gondatlanság</w:t>
      </w:r>
      <w:r>
        <w:rPr>
          <w:rFonts w:ascii="Arial" w:cs="Arial" w:eastAsia="Arial" w:hAnsi="Arial"/>
          <w:sz w:val="20"/>
          <w:szCs w:val="20"/>
          <w:color w:val="auto"/>
        </w:rPr>
        <w:t>; and</w:t>
      </w:r>
    </w:p>
    <w:p>
      <w:pPr>
        <w:spacing w:after="0" w:line="188" w:lineRule="exact"/>
        <w:rPr>
          <w:rFonts w:ascii="Arial" w:cs="Arial" w:eastAsia="Arial" w:hAnsi="Arial"/>
          <w:sz w:val="20"/>
          <w:szCs w:val="20"/>
          <w:color w:val="auto"/>
        </w:rPr>
      </w:pPr>
    </w:p>
    <w:p>
      <w:pPr>
        <w:ind w:left="2440" w:hanging="488"/>
        <w:spacing w:after="0"/>
        <w:tabs>
          <w:tab w:leader="none" w:pos="24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“bad faith” means </w:t>
      </w:r>
      <w:r>
        <w:rPr>
          <w:rFonts w:ascii="Arial" w:cs="Arial" w:eastAsia="Arial" w:hAnsi="Arial"/>
          <w:sz w:val="20"/>
          <w:szCs w:val="20"/>
          <w:i w:val="1"/>
          <w:iCs w:val="1"/>
          <w:color w:val="auto"/>
        </w:rPr>
        <w:t>rosszhiszem</w:t>
      </w:r>
      <w:r>
        <w:rPr>
          <w:rFonts w:ascii="Arial" w:cs="Arial" w:eastAsia="Arial" w:hAnsi="Arial"/>
          <w:sz w:val="20"/>
          <w:szCs w:val="20"/>
          <w:color w:val="auto"/>
        </w:rPr>
        <w:t>.</w:t>
      </w:r>
    </w:p>
    <w:p>
      <w:pPr>
        <w:spacing w:after="0" w:line="189"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the Delaware Limited Liability Company Act (or any comparable event under a different jurisdiction’s laws): (a) if any asset, right, obligation or</w:t>
      </w:r>
    </w:p>
    <w:p>
      <w:pPr>
        <w:spacing w:after="0" w:line="235" w:lineRule="auto"/>
        <w:rPr>
          <w:sz w:val="20"/>
          <w:szCs w:val="20"/>
          <w:color w:val="auto"/>
        </w:rPr>
      </w:pPr>
      <w:r>
        <w:rPr>
          <w:rFonts w:ascii="Arial" w:cs="Arial" w:eastAsia="Arial" w:hAnsi="Arial"/>
          <w:sz w:val="18"/>
          <w:szCs w:val="18"/>
          <w:color w:val="auto"/>
        </w:rPr>
        <w:t>liability of any Person that is a limited liability company becomes the asset, right, obligation or liability of a different Person, then it shall be</w:t>
      </w:r>
    </w:p>
    <w:p>
      <w:pPr>
        <w:ind w:right="340"/>
        <w:spacing w:after="0" w:line="312" w:lineRule="auto"/>
        <w:rPr>
          <w:sz w:val="20"/>
          <w:szCs w:val="20"/>
          <w:color w:val="auto"/>
        </w:rPr>
      </w:pPr>
      <w:r>
        <w:rPr>
          <w:rFonts w:ascii="Arial" w:cs="Arial" w:eastAsia="Arial" w:hAnsi="Arial"/>
          <w:sz w:val="16"/>
          <w:szCs w:val="16"/>
          <w:color w:val="auto"/>
        </w:rPr>
        <w:t>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0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FF0000"/>
          <w:strike w:val="1"/>
        </w:rPr>
        <w:t>Section 1.10</w:t>
      </w:r>
      <w:r>
        <w:rPr>
          <w:sz w:val="20"/>
          <w:szCs w:val="20"/>
          <w:color w:val="auto"/>
        </w:rPr>
        <w:tab/>
      </w:r>
      <w:r>
        <w:rPr>
          <w:rFonts w:ascii="Arial" w:cs="Arial" w:eastAsia="Arial" w:hAnsi="Arial"/>
          <w:sz w:val="18"/>
          <w:szCs w:val="18"/>
          <w:u w:val="single" w:color="auto"/>
          <w:color w:val="FF0000"/>
          <w:strike w:val="1"/>
        </w:rPr>
        <w:t>Benchmark Notification</w:t>
      </w:r>
      <w:r>
        <w:rPr>
          <w:rFonts w:ascii="Arial" w:cs="Arial" w:eastAsia="Arial" w:hAnsi="Arial"/>
          <w:sz w:val="18"/>
          <w:szCs w:val="18"/>
          <w:color w:val="008000"/>
          <w:strike w:val="1"/>
        </w:rPr>
        <w:t>. The Administrative Agent does not warrant or accept</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any</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8000"/>
          <w:strike w:val="1"/>
        </w:rPr>
        <w:t>responsibility for, and shall not</w:t>
      </w:r>
    </w:p>
    <w:p>
      <w:pPr>
        <w:ind w:right="180"/>
        <w:spacing w:after="0" w:line="226" w:lineRule="auto"/>
        <w:rPr>
          <w:sz w:val="20"/>
          <w:szCs w:val="20"/>
          <w:color w:val="auto"/>
        </w:rPr>
      </w:pPr>
      <w:r>
        <w:rPr>
          <w:rFonts w:ascii="Arial" w:cs="Arial" w:eastAsia="Arial" w:hAnsi="Arial"/>
          <w:sz w:val="18"/>
          <w:szCs w:val="18"/>
          <w:color w:val="008000"/>
          <w:strike w:val="1"/>
        </w:rPr>
        <w:t>have any liability with respect to</w:t>
      </w:r>
      <w:r>
        <w:rPr>
          <w:rFonts w:ascii="Arial" w:cs="Arial" w:eastAsia="Arial" w:hAnsi="Arial"/>
          <w:sz w:val="18"/>
          <w:szCs w:val="18"/>
          <w:color w:val="FF0000"/>
          <w:strike w:val="1"/>
        </w:rPr>
        <w:t>, the administration, submission</w:t>
      </w:r>
      <w:r>
        <w:rPr>
          <w:rFonts w:ascii="Arial" w:cs="Arial" w:eastAsia="Arial" w:hAnsi="Arial"/>
          <w:sz w:val="18"/>
          <w:szCs w:val="18"/>
          <w:color w:val="008000"/>
          <w:strike w:val="1"/>
        </w:rPr>
        <w:t xml:space="preserve"> or any other matter related to the </w:t>
      </w:r>
      <w:r>
        <w:rPr>
          <w:rFonts w:ascii="Arial" w:cs="Arial" w:eastAsia="Arial" w:hAnsi="Arial"/>
          <w:sz w:val="18"/>
          <w:szCs w:val="18"/>
          <w:color w:val="FF0000"/>
          <w:strike w:val="1"/>
        </w:rPr>
        <w:t>rates in the definitions of “RFR”, “Daily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Simple RFR”, “EURIBOR”, “Adjusted Foreign Currency Rate”, “Adjusted LIBO Rate” or any other Relevant Rate or with respect to any</w:t>
      </w:r>
    </w:p>
    <w:p>
      <w:pPr>
        <w:spacing w:after="0" w:line="236" w:lineRule="auto"/>
        <w:rPr>
          <w:sz w:val="20"/>
          <w:szCs w:val="20"/>
          <w:color w:val="auto"/>
        </w:rPr>
      </w:pPr>
      <w:r>
        <w:rPr>
          <w:rFonts w:ascii="Arial" w:cs="Arial" w:eastAsia="Arial" w:hAnsi="Arial"/>
          <w:sz w:val="18"/>
          <w:szCs w:val="18"/>
          <w:color w:val="FF0000"/>
          <w:strike w:val="1"/>
        </w:rPr>
        <w:t xml:space="preserve">alternative or successor benchmark thereto, or replacement rate therefor or thereof, including, without limitation, </w:t>
      </w:r>
      <w:r>
        <w:rPr>
          <w:rFonts w:ascii="Arial" w:cs="Arial" w:eastAsia="Arial" w:hAnsi="Arial"/>
          <w:sz w:val="18"/>
          <w:szCs w:val="18"/>
          <w:color w:val="008000"/>
          <w:strike w:val="1"/>
        </w:rPr>
        <w:t>whether the composition or</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008000"/>
          <w:strike w:val="1"/>
        </w:rPr>
        <w:t xml:space="preserve">characteristics of any such alternative, successor or replacement </w:t>
      </w:r>
      <w:r>
        <w:rPr>
          <w:rFonts w:ascii="Arial" w:cs="Arial" w:eastAsia="Arial" w:hAnsi="Arial"/>
          <w:sz w:val="16"/>
          <w:szCs w:val="16"/>
          <w:color w:val="FF0000"/>
          <w:strike w:val="1"/>
        </w:rPr>
        <w:t>reference rate, as it may or may not be adjusted pursuant to Section 2.23,</w:t>
      </w:r>
      <w:r>
        <w:rPr>
          <w:rFonts w:ascii="Arial" w:cs="Arial" w:eastAsia="Arial" w:hAnsi="Arial"/>
          <w:sz w:val="16"/>
          <w:szCs w:val="16"/>
          <w:color w:val="008000"/>
          <w:strike w:val="1"/>
        </w:rPr>
        <w:t xml:space="preserve"> will be similar to, or produce the same value or economic equivalence of, </w:t>
      </w:r>
      <w:r>
        <w:rPr>
          <w:rFonts w:ascii="Arial" w:cs="Arial" w:eastAsia="Arial" w:hAnsi="Arial"/>
          <w:sz w:val="16"/>
          <w:szCs w:val="16"/>
          <w:color w:val="FF0000"/>
          <w:strike w:val="1"/>
        </w:rPr>
        <w:t>such rate,</w:t>
      </w:r>
      <w:r>
        <w:rPr>
          <w:rFonts w:ascii="Arial" w:cs="Arial" w:eastAsia="Arial" w:hAnsi="Arial"/>
          <w:sz w:val="16"/>
          <w:szCs w:val="16"/>
          <w:color w:val="008000"/>
          <w:strike w:val="1"/>
        </w:rPr>
        <w:t xml:space="preserve"> or have the same volume or liquidity as </w:t>
      </w:r>
      <w:r>
        <w:rPr>
          <w:rFonts w:ascii="Arial" w:cs="Arial" w:eastAsia="Arial" w:hAnsi="Arial"/>
          <w:sz w:val="16"/>
          <w:szCs w:val="16"/>
          <w:color w:val="FF0000"/>
          <w:strike w:val="1"/>
        </w:rPr>
        <w:t>did such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08000"/>
          <w:strike w:val="1"/>
        </w:rPr>
        <w:t>prior to its discontinuance or unavailability</w:t>
      </w:r>
      <w:r>
        <w:rPr>
          <w:rFonts w:ascii="Arial" w:cs="Arial" w:eastAsia="Arial" w:hAnsi="Arial"/>
          <w:sz w:val="20"/>
          <w:szCs w:val="20"/>
          <w:color w:val="FF0000"/>
          <w:strike w:val="1"/>
        </w:rPr>
        <w:t>.</w:t>
      </w:r>
    </w:p>
    <w:p>
      <w:pPr>
        <w:spacing w:after="0" w:line="159"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II</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THE CREDITS</w:t>
      </w:r>
    </w:p>
    <w:p>
      <w:pPr>
        <w:spacing w:after="0" w:line="189"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(a) Subject to the terms and conditions set forth herein, each Revolving Lender agrees to make Revolving Loans to any Revolving Borrower from time to time during the Availability Period in an aggregate principal amount that will not</w:t>
      </w:r>
    </w:p>
    <w:p>
      <w:pPr>
        <w:spacing w:after="0" w:line="235" w:lineRule="auto"/>
        <w:rPr>
          <w:sz w:val="20"/>
          <w:szCs w:val="20"/>
          <w:color w:val="auto"/>
        </w:rPr>
      </w:pPr>
      <w:r>
        <w:rPr>
          <w:rFonts w:ascii="Arial" w:cs="Arial" w:eastAsia="Arial" w:hAnsi="Arial"/>
          <w:sz w:val="18"/>
          <w:szCs w:val="18"/>
          <w:color w:val="auto"/>
        </w:rPr>
        <w:t>result in (i) such Lender’s Revolving Credit Exposure exceeding such Lender’s Revolving Commitment or (ii) the sum of the total Revolving</w:t>
      </w:r>
    </w:p>
    <w:p>
      <w:pPr>
        <w:ind w:right="140"/>
        <w:spacing w:after="0" w:line="220" w:lineRule="auto"/>
        <w:rPr>
          <w:sz w:val="20"/>
          <w:szCs w:val="20"/>
          <w:color w:val="auto"/>
        </w:rPr>
      </w:pPr>
      <w:r>
        <w:rPr>
          <w:rFonts w:ascii="Arial" w:cs="Arial" w:eastAsia="Arial" w:hAnsi="Arial"/>
          <w:sz w:val="20"/>
          <w:szCs w:val="20"/>
          <w:color w:val="auto"/>
        </w:rPr>
        <w:t>Credit Exposures exceeding the total Revolving Commitments. Within the foregoing limits and subject to the terms and conditions set forth herein, the Revolving Borrowers may borrow, prepay and reborrow Revolving Loans.</w:t>
      </w:r>
    </w:p>
    <w:p>
      <w:pPr>
        <w:spacing w:after="0" w:line="170" w:lineRule="exact"/>
        <w:rPr>
          <w:sz w:val="20"/>
          <w:szCs w:val="20"/>
          <w:color w:val="auto"/>
        </w:rPr>
      </w:pPr>
    </w:p>
    <w:p>
      <w:pPr>
        <w:ind w:firstLine="1304"/>
        <w:spacing w:after="0" w:line="238" w:lineRule="auto"/>
        <w:tabs>
          <w:tab w:leader="none" w:pos="17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Term Loan Lender agrees to make Term Loans (other than Incremental Term Loans) to the Term Loan Borrower on the Closing Date in Dollars and in the principal amount requested by the Term Loan Borrower in accordance with Section 2.03 so long as such requested amount does not result in (i) the aggregate principal amount of the Term Loans made by such Term Loan Lender exceeding its Term Loan Commitment or (ii) the aggregate principal amount of all Term Loans made by the Term Loan Lenders exceeding the total Term Loan Commitments. The Term Loans (other than Incremental Term Loans) may only be incurred on the Closing Date and any portion of the Term Loans that is repaid may not be reborrowed.</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u w:val="single" w:color="auto"/>
          <w:color w:val="auto"/>
        </w:rPr>
        <w:t>Loans and Borrowings</w:t>
      </w:r>
      <w:r>
        <w:rPr>
          <w:rFonts w:ascii="Arial" w:cs="Arial" w:eastAsia="Arial" w:hAnsi="Arial"/>
          <w:sz w:val="18"/>
          <w:szCs w:val="18"/>
          <w:color w:val="auto"/>
        </w:rPr>
        <w:t>. (a) Each Revolving Loan shall be made as part of a Borrowing consisting of Revolving Loans</w:t>
      </w:r>
    </w:p>
    <w:p>
      <w:pPr>
        <w:ind w:right="620"/>
        <w:spacing w:after="0" w:line="250" w:lineRule="auto"/>
        <w:rPr>
          <w:sz w:val="20"/>
          <w:szCs w:val="20"/>
          <w:color w:val="auto"/>
        </w:rPr>
      </w:pPr>
      <w:r>
        <w:rPr>
          <w:rFonts w:ascii="Arial" w:cs="Arial" w:eastAsia="Arial" w:hAnsi="Arial"/>
          <w:sz w:val="18"/>
          <w:szCs w:val="18"/>
          <w:color w:val="auto"/>
        </w:rPr>
        <w:t>made by the Lenders ratably in accordance with their respective Revolving Commitments. Each Term Loan shall be made as part of a Borrowing consisting of Term Loans made by the Term Loan Lenders ratably in accordance with their respective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368" w:right="3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Commitments. The failure of any Lender to make any Loan required to be made by it shall not relieve any other Lender of its obligations</w:t>
      </w:r>
    </w:p>
    <w:p>
      <w:pPr>
        <w:spacing w:after="0" w:line="12" w:lineRule="exact"/>
        <w:rPr>
          <w:sz w:val="20"/>
          <w:szCs w:val="20"/>
          <w:color w:val="auto"/>
        </w:rPr>
      </w:pPr>
    </w:p>
    <w:p>
      <w:pPr>
        <w:ind w:right="340"/>
        <w:spacing w:after="0" w:line="220" w:lineRule="auto"/>
        <w:rPr>
          <w:sz w:val="20"/>
          <w:szCs w:val="20"/>
          <w:color w:val="auto"/>
        </w:rPr>
      </w:pPr>
      <w:r>
        <w:rPr>
          <w:rFonts w:ascii="Arial" w:cs="Arial" w:eastAsia="Arial" w:hAnsi="Arial"/>
          <w:sz w:val="20"/>
          <w:szCs w:val="20"/>
          <w:color w:val="auto"/>
        </w:rPr>
        <w:t xml:space="preserve">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Commitments of the Lenders are several and no Lender shall be responsible for any other Lender’s failure to make Loans as required.</w:t>
      </w:r>
    </w:p>
    <w:p>
      <w:pPr>
        <w:spacing w:after="0" w:line="170" w:lineRule="exact"/>
        <w:rPr>
          <w:sz w:val="20"/>
          <w:szCs w:val="20"/>
          <w:color w:val="auto"/>
        </w:rPr>
      </w:pPr>
    </w:p>
    <w:p>
      <w:pPr>
        <w:ind w:right="80" w:firstLine="1304"/>
        <w:spacing w:after="0" w:line="238" w:lineRule="auto"/>
        <w:tabs>
          <w:tab w:leader="none" w:pos="172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Subject to Section </w:t>
      </w:r>
      <w:r>
        <w:rPr>
          <w:rFonts w:ascii="Arial" w:cs="Arial" w:eastAsia="Arial" w:hAnsi="Arial"/>
          <w:sz w:val="18"/>
          <w:szCs w:val="18"/>
          <w:color w:val="FF0000"/>
          <w:strike w:val="1"/>
        </w:rPr>
        <w:t>2.14</w:t>
      </w:r>
      <w:r>
        <w:rPr>
          <w:rFonts w:ascii="Arial" w:cs="Arial" w:eastAsia="Arial" w:hAnsi="Arial"/>
          <w:sz w:val="18"/>
          <w:szCs w:val="18"/>
          <w:u w:val="single" w:color="auto"/>
          <w:color w:val="0000FF"/>
        </w:rPr>
        <w:t>2.23</w:t>
      </w:r>
      <w:r>
        <w:rPr>
          <w:rFonts w:ascii="Arial" w:cs="Arial" w:eastAsia="Arial" w:hAnsi="Arial"/>
          <w:sz w:val="18"/>
          <w:szCs w:val="18"/>
          <w:color w:val="auto"/>
        </w:rPr>
        <w:t xml:space="preserve">, (i) each Revolving Borrowing shall be comprised entirely of (x) ABR Loans or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(in each case, denominated in dollars) or (y) Foreign Currency Loans (denominated in a Designated Foreign</w:t>
      </w:r>
      <w:r>
        <w:rPr>
          <w:rFonts w:ascii="Arial" w:cs="Arial" w:eastAsia="Arial" w:hAnsi="Arial"/>
          <w:sz w:val="18"/>
          <w:szCs w:val="18"/>
          <w:color w:val="FF0000"/>
        </w:rPr>
        <w:t xml:space="preserve"> </w:t>
      </w:r>
      <w:r>
        <w:rPr>
          <w:rFonts w:ascii="Arial" w:cs="Arial" w:eastAsia="Arial" w:hAnsi="Arial"/>
          <w:sz w:val="18"/>
          <w:szCs w:val="18"/>
          <w:color w:val="000000"/>
        </w:rPr>
        <w:t xml:space="preserve">Currency), as the Revolving Borrowers may request in accordance herewith, and (ii) each Term Loan Borrowing shall be comprised entirely of ABR Loans or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Loans, as the Term Loan Borrower may request in accordance herewith. Each Swingline Loan shall be an ABR Loan unless otherwise agreed in accordance with Section 2.13(a). Each Lender at its option may make any Loan by causing any domestic or foreign branch or Affiliate of such Lender to make such Loan;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any exercise of such option shall not affect the obligation of the applicable Borrower to repay such Loan in accordance with the terms of this Agreement.</w:t>
      </w:r>
    </w:p>
    <w:p>
      <w:pPr>
        <w:spacing w:after="0" w:line="169" w:lineRule="exact"/>
        <w:rPr>
          <w:rFonts w:ascii="Arial" w:cs="Arial" w:eastAsia="Arial" w:hAnsi="Arial"/>
          <w:sz w:val="18"/>
          <w:szCs w:val="18"/>
          <w:color w:val="auto"/>
        </w:rPr>
      </w:pPr>
    </w:p>
    <w:p>
      <w:pPr>
        <w:ind w:firstLine="1304"/>
        <w:spacing w:after="0" w:line="220" w:lineRule="auto"/>
        <w:tabs>
          <w:tab w:leader="none" w:pos="170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Revolving Borrowing or Foreign Currency Borrowing, such Borrowing shall be in an amount that is an integral multiple of $1,000,000 (or the Dollar Equivalent thereof in any Designated Foreign Currency) and not less than $1,000,000 (or the Dollar Equivalent thereof in any Designated Foreign Currency). At the time that each ABR Revolving Borrowing is made, such Borrowing shall be in an amount that is an integral multiple of $500,000 and not less than $1,000,000;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2.06(e). At the commencement of each Interest Period for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Term Borrowing, such Borrowing shall be in an aggregate amount that is an integral multiple of $5,000,000 and not less than $10,000,000. At the time that each ABR Term Borrowing is made, such Borrowing shall be in an aggregate amount that is an integral multiple of $1,000,000 and not less than $5,000,000;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ABR Term Loan Borrowing may be in an aggregate amount that is equal to the entire unused balance of the total Term Loan Commitments. Each Swingline Loan shall be in an amount that is an integral multiple of $100,000 and not less than $100,000. Borrowings of more than one Type and Class may be outstanding at the same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there are two or more Borrowings on a single day by a Borrower that consist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and/or Foreign Currency Loans, each such Borrowing shall have a different initial Interest Period, and (ii) at no time shall there be more than thirty (30) Borrowings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and Foreign Currency Loans, in the aggregate, outstanding.</w:t>
      </w:r>
    </w:p>
    <w:p>
      <w:pPr>
        <w:spacing w:after="0" w:line="168" w:lineRule="exact"/>
        <w:rPr>
          <w:rFonts w:ascii="Arial" w:cs="Arial" w:eastAsia="Arial" w:hAnsi="Arial"/>
          <w:sz w:val="19"/>
          <w:szCs w:val="19"/>
          <w:color w:val="auto"/>
        </w:rPr>
      </w:pPr>
    </w:p>
    <w:p>
      <w:pPr>
        <w:ind w:right="380" w:firstLine="1304"/>
        <w:spacing w:after="0" w:line="285" w:lineRule="auto"/>
        <w:tabs>
          <w:tab w:leader="none" w:pos="172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Borrowers shall not be entitled to request, or to elect to convert or continue, any Borrowing if the Interest Period requested with respect thereto would end after the applicable Maturity Date.</w:t>
      </w:r>
    </w:p>
    <w:p>
      <w:pPr>
        <w:spacing w:after="0" w:line="129"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Borrowing, the applicable Borrower shall notify the Administrative Agent of such request by telephone (a)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not later than 1:00 p.m., New York City time, three Business</w:t>
      </w:r>
    </w:p>
    <w:p>
      <w:pPr>
        <w:spacing w:after="0" w:line="222" w:lineRule="auto"/>
        <w:rPr>
          <w:sz w:val="20"/>
          <w:szCs w:val="20"/>
          <w:color w:val="auto"/>
        </w:rPr>
      </w:pPr>
      <w:r>
        <w:rPr>
          <w:rFonts w:ascii="Arial" w:cs="Arial" w:eastAsia="Arial" w:hAnsi="Arial"/>
          <w:sz w:val="19"/>
          <w:szCs w:val="19"/>
          <w:color w:val="auto"/>
        </w:rPr>
        <w:t xml:space="preserve">Days (or, in the case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on the Closing Date, two Business Days) before the date of the proposed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Borrowing, (b) in the case of a Foreign Currency Borrowing (other than a Foreign Currency Borrowing denominated in Yen), not later than 1:00 p.m., New York City time, three Business Days before the date of the proposed Borrowing, (c) in the case of a Foreign Currency</w:t>
      </w:r>
    </w:p>
    <w:p>
      <w:pPr>
        <w:spacing w:after="0" w:line="236" w:lineRule="auto"/>
        <w:rPr>
          <w:sz w:val="20"/>
          <w:szCs w:val="20"/>
          <w:color w:val="auto"/>
        </w:rPr>
      </w:pPr>
      <w:r>
        <w:rPr>
          <w:rFonts w:ascii="Arial" w:cs="Arial" w:eastAsia="Arial" w:hAnsi="Arial"/>
          <w:sz w:val="18"/>
          <w:szCs w:val="18"/>
          <w:color w:val="auto"/>
        </w:rPr>
        <w:t>Borrowing denominated in Yen, not later than 1:00 p.m., New York City time, four Business Days before the date of the proposed Borrowing</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 xml:space="preserve">or (d) in the case of an ABR Borrowing, not later than 11:00 a.m., New York City time, on the date of the proposed Borrowing;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of an ABR Revolving Borrowing to finance the reimbursement of an LC Disbursement as contemplated by Section 2.06(e)</w:t>
      </w:r>
    </w:p>
    <w:p>
      <w:pPr>
        <w:spacing w:after="0" w:line="236" w:lineRule="auto"/>
        <w:rPr>
          <w:sz w:val="20"/>
          <w:szCs w:val="20"/>
          <w:color w:val="auto"/>
        </w:rPr>
      </w:pPr>
      <w:r>
        <w:rPr>
          <w:rFonts w:ascii="Arial" w:cs="Arial" w:eastAsia="Arial" w:hAnsi="Arial"/>
          <w:sz w:val="18"/>
          <w:szCs w:val="18"/>
          <w:color w:val="auto"/>
        </w:rPr>
        <w:t>may be given not later than 10:00 a.m., New York City time, on the date of the proposed Borrowing, and any notice of a Swingline Loan</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Borrowing shall be made in accordance with Section 2.05(b). Each such telephonic Borrowing Request shall be irrevocable and shall be confirmed promptly by hand delivery or telecopy to the Administrative Agent of a written Borrowing Request in substantially the form of</w:t>
      </w:r>
    </w:p>
    <w:p>
      <w:pPr>
        <w:spacing w:after="0" w:line="236" w:lineRule="auto"/>
        <w:rPr>
          <w:sz w:val="20"/>
          <w:szCs w:val="20"/>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such other form approved by the Administrative Agent (each, a “</w:t>
      </w:r>
      <w:r>
        <w:rPr>
          <w:rFonts w:ascii="Arial" w:cs="Arial" w:eastAsia="Arial" w:hAnsi="Arial"/>
          <w:sz w:val="18"/>
          <w:szCs w:val="18"/>
          <w:b w:val="1"/>
          <w:bCs w:val="1"/>
          <w:i w:val="1"/>
          <w:iCs w:val="1"/>
          <w:color w:val="auto"/>
        </w:rPr>
        <w:t>Borrowing Request</w:t>
      </w:r>
      <w:r>
        <w:rPr>
          <w:rFonts w:ascii="Arial" w:cs="Arial" w:eastAsia="Arial" w:hAnsi="Arial"/>
          <w:sz w:val="18"/>
          <w:szCs w:val="18"/>
          <w:color w:val="auto"/>
        </w:rPr>
        <w:t>”) and signed by the applicable Borrower.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Each such telephonic and written Borrowing Request shall specify the following information in compliance with Section 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63" w:name="page164"/>
    <w:bookmarkEnd w:id="163"/>
    <w:p>
      <w:pPr>
        <w:ind w:left="660" w:right="120" w:firstLine="1292"/>
        <w:spacing w:after="0" w:line="236" w:lineRule="auto"/>
        <w:tabs>
          <w:tab w:leader="none" w:pos="234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aggregate amount of the requested Borrowing, and whether such Borrowing is a Revolving Borrowing or a Term Loan Borrowing;</w:t>
      </w:r>
    </w:p>
    <w:p>
      <w:pPr>
        <w:spacing w:after="0" w:line="155" w:lineRule="exact"/>
        <w:rPr>
          <w:rFonts w:ascii="Arial" w:cs="Arial" w:eastAsia="Arial" w:hAnsi="Arial"/>
          <w:sz w:val="20"/>
          <w:szCs w:val="20"/>
          <w:color w:val="auto"/>
        </w:rPr>
      </w:pPr>
    </w:p>
    <w:p>
      <w:pPr>
        <w:ind w:left="2400" w:hanging="448"/>
        <w:spacing w:after="0"/>
        <w:tabs>
          <w:tab w:leader="none" w:pos="24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88" w:lineRule="exact"/>
        <w:rPr>
          <w:rFonts w:ascii="Arial" w:cs="Arial" w:eastAsia="Arial" w:hAnsi="Arial"/>
          <w:sz w:val="20"/>
          <w:szCs w:val="20"/>
          <w:color w:val="auto"/>
        </w:rPr>
      </w:pPr>
    </w:p>
    <w:p>
      <w:pPr>
        <w:ind w:left="660" w:right="640" w:firstLine="1292"/>
        <w:spacing w:after="0" w:line="236" w:lineRule="auto"/>
        <w:tabs>
          <w:tab w:leader="none" w:pos="245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whether such Borrowing is to be an ABR Borrowing,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or a Foreign Currency Borrowing, and, if applicable, the Designated Foreign Currency applicable thereto;</w:t>
      </w:r>
    </w:p>
    <w:p>
      <w:pPr>
        <w:spacing w:after="0" w:line="155" w:lineRule="exact"/>
        <w:rPr>
          <w:rFonts w:ascii="Arial" w:cs="Arial" w:eastAsia="Arial" w:hAnsi="Arial"/>
          <w:sz w:val="20"/>
          <w:szCs w:val="20"/>
          <w:color w:val="auto"/>
        </w:rPr>
      </w:pPr>
    </w:p>
    <w:p>
      <w:pPr>
        <w:ind w:left="660" w:right="240" w:firstLine="1292"/>
        <w:spacing w:after="0" w:line="227" w:lineRule="auto"/>
        <w:tabs>
          <w:tab w:leader="none" w:pos="24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in the case of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or a Foreign Currency Borrowing (other than a Foreign Currency Borrowing denominated in an RFR Currency), the initial Interest Period to be applicable thereto, which shall be a period contemplated by the definition of the term “Interest Period”; and</w:t>
      </w:r>
    </w:p>
    <w:p>
      <w:pPr>
        <w:spacing w:after="0" w:line="157" w:lineRule="exact"/>
        <w:rPr>
          <w:rFonts w:ascii="Arial" w:cs="Arial" w:eastAsia="Arial" w:hAnsi="Arial"/>
          <w:sz w:val="20"/>
          <w:szCs w:val="20"/>
          <w:color w:val="auto"/>
        </w:rPr>
      </w:pPr>
    </w:p>
    <w:p>
      <w:pPr>
        <w:ind w:left="660" w:right="180" w:firstLine="1292"/>
        <w:spacing w:after="0" w:line="236" w:lineRule="auto"/>
        <w:tabs>
          <w:tab w:leader="none" w:pos="2385"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location and number of the applicable Borrower’s account to which funds are to be disbursed, which shall comply with the requirements of Section 2.07.</w:t>
      </w:r>
    </w:p>
    <w:p>
      <w:pPr>
        <w:spacing w:after="0" w:line="169" w:lineRule="exact"/>
        <w:rPr>
          <w:sz w:val="20"/>
          <w:szCs w:val="20"/>
          <w:color w:val="auto"/>
        </w:rPr>
      </w:pPr>
    </w:p>
    <w:p>
      <w:pPr>
        <w:ind w:right="340" w:firstLine="648"/>
        <w:spacing w:after="0" w:line="236" w:lineRule="auto"/>
        <w:rPr>
          <w:sz w:val="20"/>
          <w:szCs w:val="20"/>
          <w:color w:val="auto"/>
        </w:rPr>
      </w:pPr>
      <w:r>
        <w:rPr>
          <w:rFonts w:ascii="Arial" w:cs="Arial" w:eastAsia="Arial" w:hAnsi="Arial"/>
          <w:sz w:val="18"/>
          <w:szCs w:val="18"/>
          <w:color w:val="auto"/>
        </w:rPr>
        <w:t xml:space="preserve">If no election as to the Type of Borrowing is specified, then the requested Borrowing shall be an ABR Borrowing. If no Interest Period is specified with respect to any requested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or Foreign Currency Borrowing (other than a Foreign</w:t>
      </w:r>
    </w:p>
    <w:p>
      <w:pPr>
        <w:spacing w:after="0" w:line="235" w:lineRule="auto"/>
        <w:rPr>
          <w:sz w:val="20"/>
          <w:szCs w:val="20"/>
          <w:color w:val="auto"/>
        </w:rPr>
      </w:pPr>
      <w:r>
        <w:rPr>
          <w:rFonts w:ascii="Arial" w:cs="Arial" w:eastAsia="Arial" w:hAnsi="Arial"/>
          <w:sz w:val="18"/>
          <w:szCs w:val="18"/>
          <w:color w:val="auto"/>
        </w:rPr>
        <w:t>Currency Borrowing denominated in an RFR Currency), then the applicable Borrower shall be deemed to have selected an Interest Period of</w:t>
      </w:r>
    </w:p>
    <w:p>
      <w:pPr>
        <w:ind w:right="280"/>
        <w:spacing w:after="0" w:line="250" w:lineRule="auto"/>
        <w:rPr>
          <w:sz w:val="20"/>
          <w:szCs w:val="20"/>
          <w:color w:val="auto"/>
        </w:rPr>
      </w:pPr>
      <w:r>
        <w:rPr>
          <w:rFonts w:ascii="Arial" w:cs="Arial" w:eastAsia="Arial" w:hAnsi="Arial"/>
          <w:sz w:val="18"/>
          <w:szCs w:val="18"/>
          <w:color w:val="auto"/>
        </w:rPr>
        <w:t>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4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On one or more occasions at any time after the Closing Date, the Borrowers may by written</w:t>
      </w:r>
    </w:p>
    <w:p>
      <w:pPr>
        <w:spacing w:after="0" w:line="207" w:lineRule="auto"/>
        <w:rPr>
          <w:sz w:val="20"/>
          <w:szCs w:val="20"/>
          <w:color w:val="auto"/>
        </w:rPr>
      </w:pPr>
      <w:r>
        <w:rPr>
          <w:rFonts w:ascii="Arial" w:cs="Arial" w:eastAsia="Arial" w:hAnsi="Arial"/>
          <w:sz w:val="19"/>
          <w:szCs w:val="19"/>
          <w:color w:val="auto"/>
        </w:rPr>
        <w:t>notice to the Administrative Agent elect to request (A) an increase to the existing Revolving Commitments (any such increase,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Revolving Commitments</w:t>
      </w:r>
      <w:r>
        <w:rPr>
          <w:rFonts w:ascii="Arial" w:cs="Arial" w:eastAsia="Arial" w:hAnsi="Arial"/>
          <w:sz w:val="18"/>
          <w:szCs w:val="18"/>
          <w:color w:val="auto"/>
        </w:rPr>
        <w:t>”) and/or (B) the establishment of one or more new term loan commitments (the “</w:t>
      </w:r>
      <w:r>
        <w:rPr>
          <w:rFonts w:ascii="Arial" w:cs="Arial" w:eastAsia="Arial" w:hAnsi="Arial"/>
          <w:sz w:val="18"/>
          <w:szCs w:val="18"/>
          <w:b w:val="1"/>
          <w:bCs w:val="1"/>
          <w:i w:val="1"/>
          <w:iCs w:val="1"/>
          <w:color w:val="auto"/>
        </w:rPr>
        <w:t>Incremental Term</w:t>
      </w:r>
    </w:p>
    <w:p>
      <w:pPr>
        <w:ind w:right="280"/>
        <w:spacing w:after="0" w:line="255" w:lineRule="auto"/>
        <w:rPr>
          <w:sz w:val="20"/>
          <w:szCs w:val="20"/>
          <w:color w:val="auto"/>
        </w:rPr>
      </w:pPr>
      <w:r>
        <w:rPr>
          <w:rFonts w:ascii="Arial" w:cs="Arial" w:eastAsia="Arial" w:hAnsi="Arial"/>
          <w:sz w:val="16"/>
          <w:szCs w:val="16"/>
          <w:b w:val="1"/>
          <w:bCs w:val="1"/>
          <w:i w:val="1"/>
          <w:iCs w:val="1"/>
          <w:color w:val="auto"/>
        </w:rPr>
        <w:t>Loan Commitments</w:t>
      </w:r>
      <w:r>
        <w:rPr>
          <w:rFonts w:ascii="Arial" w:cs="Arial" w:eastAsia="Arial" w:hAnsi="Arial"/>
          <w:sz w:val="16"/>
          <w:szCs w:val="16"/>
          <w:color w:val="auto"/>
        </w:rPr>
        <w:t>”, together with the Incremental Revolving Commitments, the “</w:t>
      </w:r>
      <w:r>
        <w:rPr>
          <w:rFonts w:ascii="Arial" w:cs="Arial" w:eastAsia="Arial" w:hAnsi="Arial"/>
          <w:sz w:val="16"/>
          <w:szCs w:val="16"/>
          <w:b w:val="1"/>
          <w:bCs w:val="1"/>
          <w:i w:val="1"/>
          <w:iCs w:val="1"/>
          <w:color w:val="auto"/>
        </w:rPr>
        <w:t>Incremental Commitments</w:t>
      </w:r>
      <w:r>
        <w:rPr>
          <w:rFonts w:ascii="Arial" w:cs="Arial" w:eastAsia="Arial" w:hAnsi="Arial"/>
          <w:sz w:val="16"/>
          <w:szCs w:val="16"/>
          <w:color w:val="auto"/>
        </w:rPr>
        <w:t>”), in an aggregate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to exceed $1,605,000,000. Each such notice shall specify the date (each, an “</w:t>
      </w:r>
      <w:r>
        <w:rPr>
          <w:rFonts w:ascii="Arial" w:cs="Arial" w:eastAsia="Arial" w:hAnsi="Arial"/>
          <w:sz w:val="16"/>
          <w:szCs w:val="16"/>
          <w:b w:val="1"/>
          <w:bCs w:val="1"/>
          <w:i w:val="1"/>
          <w:iCs w:val="1"/>
          <w:color w:val="auto"/>
        </w:rPr>
        <w:t>Increased Amount Date</w:t>
      </w:r>
      <w:r>
        <w:rPr>
          <w:rFonts w:ascii="Arial" w:cs="Arial" w:eastAsia="Arial" w:hAnsi="Arial"/>
          <w:sz w:val="16"/>
          <w:szCs w:val="16"/>
          <w:color w:val="auto"/>
        </w:rPr>
        <w:t>”) on which the Revolving</w:t>
      </w:r>
    </w:p>
    <w:p>
      <w:pPr>
        <w:spacing w:after="0" w:line="235" w:lineRule="auto"/>
        <w:rPr>
          <w:sz w:val="20"/>
          <w:szCs w:val="20"/>
          <w:color w:val="auto"/>
        </w:rPr>
      </w:pPr>
      <w:r>
        <w:rPr>
          <w:rFonts w:ascii="Arial" w:cs="Arial" w:eastAsia="Arial" w:hAnsi="Arial"/>
          <w:sz w:val="18"/>
          <w:szCs w:val="18"/>
          <w:color w:val="auto"/>
        </w:rPr>
        <w:t>Borrowers or the Term Loan Borrower, as applicable, propose that such Incremental Commitments shall be effective, which shall be a date</w:t>
      </w:r>
    </w:p>
    <w:p>
      <w:pPr>
        <w:ind w:right="20"/>
        <w:spacing w:after="0" w:line="226" w:lineRule="auto"/>
        <w:rPr>
          <w:sz w:val="20"/>
          <w:szCs w:val="20"/>
          <w:color w:val="auto"/>
        </w:rPr>
      </w:pPr>
      <w:r>
        <w:rPr>
          <w:rFonts w:ascii="Arial" w:cs="Arial" w:eastAsia="Arial" w:hAnsi="Arial"/>
          <w:sz w:val="18"/>
          <w:szCs w:val="18"/>
          <w:color w:val="auto"/>
        </w:rPr>
        <w:t>not less than five (5) Business Days after the date on which such notice is delivered to the Administrative Agent. The Administrative Agent and/or its Affiliates shall use commercially reasonable efforts, with the assistance of the Revolving Borrowers or the Term Loan Borrower, as</w:t>
      </w:r>
    </w:p>
    <w:p>
      <w:pPr>
        <w:spacing w:after="0" w:line="236" w:lineRule="auto"/>
        <w:rPr>
          <w:sz w:val="20"/>
          <w:szCs w:val="20"/>
          <w:color w:val="auto"/>
        </w:rPr>
      </w:pPr>
      <w:r>
        <w:rPr>
          <w:rFonts w:ascii="Arial" w:cs="Arial" w:eastAsia="Arial" w:hAnsi="Arial"/>
          <w:sz w:val="18"/>
          <w:szCs w:val="18"/>
          <w:color w:val="auto"/>
        </w:rPr>
        <w:t xml:space="preserve">applicable, to arrange a syndicate of Lenders willing to hold the requested Incremental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any Incremental</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Commitments on any Increased Amount Date shall be in the minimum aggregate amount of $10,000,000, (y) any Lender approached to provide all or a portion of the Incremental Commitments may elect or decline, in its sole discretion, to provide an Incremental Commitment,</w:t>
      </w:r>
    </w:p>
    <w:p>
      <w:pPr>
        <w:spacing w:after="0" w:line="236" w:lineRule="auto"/>
        <w:rPr>
          <w:sz w:val="20"/>
          <w:szCs w:val="20"/>
          <w:color w:val="auto"/>
        </w:rPr>
      </w:pPr>
      <w:r>
        <w:rPr>
          <w:rFonts w:ascii="Arial" w:cs="Arial" w:eastAsia="Arial" w:hAnsi="Arial"/>
          <w:sz w:val="18"/>
          <w:szCs w:val="18"/>
          <w:color w:val="auto"/>
        </w:rPr>
        <w:t>and (z) any Lender or other Person that is an Eligible Assignee (each, an “</w:t>
      </w:r>
      <w:r>
        <w:rPr>
          <w:rFonts w:ascii="Arial" w:cs="Arial" w:eastAsia="Arial" w:hAnsi="Arial"/>
          <w:sz w:val="18"/>
          <w:szCs w:val="18"/>
          <w:b w:val="1"/>
          <w:bCs w:val="1"/>
          <w:i w:val="1"/>
          <w:iCs w:val="1"/>
          <w:color w:val="auto"/>
        </w:rPr>
        <w:t>Incremental Revolving Loan Lender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Incremental Term</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Loan Lender</w:t>
      </w:r>
      <w:r>
        <w:rPr>
          <w:rFonts w:ascii="Arial" w:cs="Arial" w:eastAsia="Arial" w:hAnsi="Arial"/>
          <w:sz w:val="18"/>
          <w:szCs w:val="18"/>
          <w:color w:val="auto"/>
        </w:rPr>
        <w:t>,” as applicable) to whom any portion of such Incremental Commitment shall be allocated shall be subject to the approval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Borrowers or the Term Loan Borrower, as applicable, and the Administrative Agent, and, if an Incremental Revolving</w:t>
      </w:r>
    </w:p>
    <w:p>
      <w:pPr>
        <w:spacing w:after="0" w:line="2" w:lineRule="exact"/>
        <w:rPr>
          <w:sz w:val="20"/>
          <w:szCs w:val="20"/>
          <w:color w:val="auto"/>
        </w:rPr>
      </w:pPr>
    </w:p>
    <w:p>
      <w:pPr>
        <w:ind w:right="720"/>
        <w:spacing w:after="0" w:line="227" w:lineRule="auto"/>
        <w:rPr>
          <w:sz w:val="20"/>
          <w:szCs w:val="20"/>
          <w:color w:val="auto"/>
        </w:rPr>
      </w:pPr>
      <w:r>
        <w:rPr>
          <w:rFonts w:ascii="Arial" w:cs="Arial" w:eastAsia="Arial" w:hAnsi="Arial"/>
          <w:sz w:val="20"/>
          <w:szCs w:val="20"/>
          <w:color w:val="auto"/>
        </w:rPr>
        <w:t>Commitment, the Issuing Bank and the Swingline Lender (each of which approvals shall not be unreasonably withheld), unless such Incremental Revolving Loan Lender or Incremental Term Loan Lender is an existing Lender.</w:t>
      </w:r>
    </w:p>
    <w:p>
      <w:pPr>
        <w:spacing w:after="0" w:line="156"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color w:val="auto"/>
        </w:rPr>
        <w:t>The terms and provisions of any Incremental Revolving Commitments shall be identical to the existing Revolving Commitments. The terms and provisions of any Incremental Term Loan Commitments and any Incremental Term Loans shall provide that (a) the maturity</w:t>
      </w:r>
    </w:p>
    <w:p>
      <w:pPr>
        <w:ind w:right="260"/>
        <w:spacing w:after="0" w:line="255" w:lineRule="auto"/>
        <w:rPr>
          <w:sz w:val="20"/>
          <w:szCs w:val="20"/>
          <w:color w:val="auto"/>
        </w:rPr>
      </w:pPr>
      <w:r>
        <w:rPr>
          <w:rFonts w:ascii="Arial" w:cs="Arial" w:eastAsia="Arial" w:hAnsi="Arial"/>
          <w:sz w:val="16"/>
          <w:szCs w:val="16"/>
          <w:color w:val="auto"/>
        </w:rPr>
        <w:t>date of any Incremental Term Loan that is a separate tranche shall be no earlier than the Term Loan Maturity Date and shall not have any scheduled amortization payments prior to such date, (b) the Incremental Term Loans shall share ratably in any prepayments of the existing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unless the Term Loan Borrower and the Incremental Term Loan Lenders in respect of such Incremental Term Loans elect</w:t>
      </w:r>
    </w:p>
    <w:p>
      <w:pPr>
        <w:spacing w:after="0" w:line="19"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lesser payments and (c) except as otherwise provided below with respect to upfront fees, the Incremental Term Loans shall otherwise be identical to the existing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64" w:name="page165"/>
    <w:bookmarkEnd w:id="164"/>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effectiveness of any Incremental Commitments and the availability of any borrowings under any such Incremental Commitment</w:t>
      </w:r>
    </w:p>
    <w:p>
      <w:pPr>
        <w:spacing w:after="0" w:line="1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shall be subject to the satisfaction of the following conditions precedent: (x) after giving pro forma effect to such Incremental Commitments and borrowings and the use of proceeds thereof, (i) no Default or Event of Default shall exist and (ii) as of the last day of the most recent</w:t>
      </w:r>
    </w:p>
    <w:p>
      <w:pPr>
        <w:spacing w:after="0" w:line="236" w:lineRule="auto"/>
        <w:rPr>
          <w:sz w:val="20"/>
          <w:szCs w:val="20"/>
          <w:color w:val="auto"/>
        </w:rPr>
      </w:pPr>
      <w:r>
        <w:rPr>
          <w:rFonts w:ascii="Arial" w:cs="Arial" w:eastAsia="Arial" w:hAnsi="Arial"/>
          <w:sz w:val="18"/>
          <w:szCs w:val="18"/>
          <w:color w:val="auto"/>
        </w:rPr>
        <w:t>month for which financial statements have been delivered pursuant to Section 5.01, the Company would have been in compliance with the</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Financial Covenants that are applicable at such time; (y) the representations and warranties made or deemed made by the Borrowers in any Loan Document shall be true and correct in all material respects on the effective date of such Incremental Commitments except to the extent</w:t>
      </w:r>
    </w:p>
    <w:p>
      <w:pPr>
        <w:spacing w:after="0" w:line="235" w:lineRule="auto"/>
        <w:rPr>
          <w:sz w:val="20"/>
          <w:szCs w:val="20"/>
          <w:color w:val="auto"/>
        </w:rPr>
      </w:pPr>
      <w:r>
        <w:rPr>
          <w:rFonts w:ascii="Arial" w:cs="Arial" w:eastAsia="Arial" w:hAnsi="Arial"/>
          <w:sz w:val="18"/>
          <w:szCs w:val="18"/>
          <w:color w:val="auto"/>
        </w:rPr>
        <w:t>that such representations and warranties expressly relate solely to an earlier date (in which case such representations and warranties shall</w:t>
      </w:r>
    </w:p>
    <w:p>
      <w:pPr>
        <w:ind w:right="40"/>
        <w:spacing w:after="0" w:line="255" w:lineRule="auto"/>
        <w:rPr>
          <w:sz w:val="20"/>
          <w:szCs w:val="20"/>
          <w:color w:val="auto"/>
        </w:rPr>
      </w:pPr>
      <w:r>
        <w:rPr>
          <w:rFonts w:ascii="Arial" w:cs="Arial" w:eastAsia="Arial" w:hAnsi="Arial"/>
          <w:sz w:val="16"/>
          <w:szCs w:val="16"/>
          <w:color w:val="auto"/>
        </w:rPr>
        <w:t>have been true and correct in all material respects on and as of such earlier date) and except for changes in factual circumstances specifically and expressly permitted under the Loan Documents; and (z) the Administrative Agent shall have received each of the following, in form and</w:t>
      </w:r>
    </w:p>
    <w:p>
      <w:pPr>
        <w:spacing w:after="0" w:line="235" w:lineRule="auto"/>
        <w:rPr>
          <w:sz w:val="20"/>
          <w:szCs w:val="20"/>
          <w:color w:val="auto"/>
        </w:rPr>
      </w:pPr>
      <w:r>
        <w:rPr>
          <w:rFonts w:ascii="Arial" w:cs="Arial" w:eastAsia="Arial" w:hAnsi="Arial"/>
          <w:sz w:val="18"/>
          <w:szCs w:val="18"/>
          <w:color w:val="auto"/>
        </w:rPr>
        <w:t>substance reasonably satisfactory to the Administrative Agent: (i) if not previously delivered to the Administrative Agent, copies certified by</w:t>
      </w:r>
    </w:p>
    <w:p>
      <w:pPr>
        <w:ind w:right="440"/>
        <w:spacing w:after="0" w:line="255" w:lineRule="auto"/>
        <w:rPr>
          <w:sz w:val="20"/>
          <w:szCs w:val="20"/>
          <w:color w:val="auto"/>
        </w:rPr>
      </w:pPr>
      <w:r>
        <w:rPr>
          <w:rFonts w:ascii="Arial" w:cs="Arial" w:eastAsia="Arial" w:hAnsi="Arial"/>
          <w:sz w:val="16"/>
          <w:szCs w:val="16"/>
          <w:color w:val="auto"/>
        </w:rPr>
        <w:t>the Secretary or Assistant Secretary of (A) all corporate or other necessary action taken by the Borrowers to authorize such Incremental Commitments and (B) all corporate, partnership, member, or other necessary action taken by each Subsidiary Guarantor authorizing the</w:t>
      </w:r>
    </w:p>
    <w:p>
      <w:pPr>
        <w:spacing w:after="0" w:line="223" w:lineRule="auto"/>
        <w:rPr>
          <w:sz w:val="20"/>
          <w:szCs w:val="20"/>
          <w:color w:val="auto"/>
        </w:rPr>
      </w:pPr>
      <w:r>
        <w:rPr>
          <w:rFonts w:ascii="Arial" w:cs="Arial" w:eastAsia="Arial" w:hAnsi="Arial"/>
          <w:sz w:val="19"/>
          <w:szCs w:val="19"/>
          <w:color w:val="auto"/>
        </w:rPr>
        <w:t>Subsidiary Guaranty by such Subsidiary Guarantor of such Incremental Commitments; and (ii) a customary opinion of counsel to the</w:t>
      </w:r>
    </w:p>
    <w:p>
      <w:pPr>
        <w:ind w:right="340"/>
        <w:spacing w:after="0" w:line="226" w:lineRule="auto"/>
        <w:rPr>
          <w:sz w:val="20"/>
          <w:szCs w:val="20"/>
          <w:color w:val="auto"/>
        </w:rPr>
      </w:pPr>
      <w:r>
        <w:rPr>
          <w:rFonts w:ascii="Arial" w:cs="Arial" w:eastAsia="Arial" w:hAnsi="Arial"/>
          <w:sz w:val="18"/>
          <w:szCs w:val="18"/>
          <w:color w:val="auto"/>
        </w:rPr>
        <w:t>Borrowers and the Subsidiary Guarantors (which may be in substantially the same form as delivered on the Closing Date and may be delivered by internal counsel of the Borrowers), and addressed to the Administrative Agent and the Lenders, and (iii) if requested by any</w:t>
      </w:r>
    </w:p>
    <w:p>
      <w:pPr>
        <w:spacing w:after="0" w:line="2" w:lineRule="exact"/>
        <w:rPr>
          <w:sz w:val="20"/>
          <w:szCs w:val="20"/>
          <w:color w:val="auto"/>
        </w:rPr>
      </w:pPr>
    </w:p>
    <w:p>
      <w:pPr>
        <w:jc w:val="both"/>
        <w:ind w:right="680"/>
        <w:spacing w:after="0" w:line="329" w:lineRule="auto"/>
        <w:rPr>
          <w:sz w:val="20"/>
          <w:szCs w:val="20"/>
          <w:color w:val="auto"/>
        </w:rPr>
      </w:pPr>
      <w:r>
        <w:rPr>
          <w:rFonts w:ascii="Arial" w:cs="Arial" w:eastAsia="Arial" w:hAnsi="Arial"/>
          <w:sz w:val="16"/>
          <w:szCs w:val="16"/>
          <w:color w:val="auto"/>
        </w:rPr>
        <w:t>Lender, new notes executed by the Revolving Borrowers or the Term Loan Borrower, as applicable, payable to any new Lender, and replacement notes executed by the Revolving Borrowers or the Term Loan Borrower, as applicable, payable to any existing Lenders.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On any Increased Amount Date on which Incremental Revolving Commitments are effected, subject to the satisfaction of the</w:t>
      </w:r>
    </w:p>
    <w:p>
      <w:pPr>
        <w:ind w:right="20"/>
        <w:spacing w:after="0" w:line="255" w:lineRule="auto"/>
        <w:rPr>
          <w:sz w:val="20"/>
          <w:szCs w:val="20"/>
          <w:color w:val="auto"/>
        </w:rPr>
      </w:pPr>
      <w:r>
        <w:rPr>
          <w:rFonts w:ascii="Arial" w:cs="Arial" w:eastAsia="Arial" w:hAnsi="Arial"/>
          <w:sz w:val="16"/>
          <w:szCs w:val="16"/>
          <w:color w:val="auto"/>
        </w:rPr>
        <w:t>foregoing terms and conditions, (a) each of the Revolving Lenders shall assign to each of the Incremental Revolving Loan Lenders, and each of the Incremental Revolving Lenders shall purchase from each of the Revolving Lenders, at the principal amount thereof (together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accrued interest), such interests in the Revolving Loans outstanding on such Increased Amount Date as shall be necessary in order that, after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giving effect to all such assignments and purchases, such Revolving Loans will be held by existing Revolving Loan Lenders and Incremental Revolving Loan Lenders ratably in accordance with their Revolving Commitments after giving effect to the addition of such Incremental</w:t>
      </w:r>
    </w:p>
    <w:p>
      <w:pPr>
        <w:spacing w:after="0" w:line="236" w:lineRule="auto"/>
        <w:rPr>
          <w:sz w:val="20"/>
          <w:szCs w:val="20"/>
          <w:color w:val="auto"/>
        </w:rPr>
      </w:pPr>
      <w:r>
        <w:rPr>
          <w:rFonts w:ascii="Arial" w:cs="Arial" w:eastAsia="Arial" w:hAnsi="Arial"/>
          <w:sz w:val="18"/>
          <w:szCs w:val="18"/>
          <w:color w:val="auto"/>
        </w:rPr>
        <w:t>Revolving Commitments to the Revolving Commitments, (b) each Incremental Revolving Commitment shall be deemed for all purposes a</w:t>
      </w:r>
    </w:p>
    <w:p>
      <w:pPr>
        <w:spacing w:after="0" w:line="1"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Revolving Commitment and each Loan made thereunder shall be deemed, for all purposes, a Revolving Loan and (c) each Incremental Revolving Loan Lender shall become a Lender with respect to its Incremental Revolving Commitment and all matters relating thereto.</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any Increased Amount Date on which any Incremental Term Loan Commitments are effected, subject to the satisfaction of the</w:t>
      </w:r>
    </w:p>
    <w:p>
      <w:pPr>
        <w:spacing w:after="0" w:line="12"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foregoing terms and conditions, (i) each Incremental Term Loan Lender shall make a Loan to the Term Loan Borrower (an “</w:t>
      </w:r>
      <w:r>
        <w:rPr>
          <w:rFonts w:ascii="Arial" w:cs="Arial" w:eastAsia="Arial" w:hAnsi="Arial"/>
          <w:sz w:val="16"/>
          <w:szCs w:val="16"/>
          <w:b w:val="1"/>
          <w:bCs w:val="1"/>
          <w:i w:val="1"/>
          <w:iCs w:val="1"/>
          <w:color w:val="auto"/>
        </w:rPr>
        <w:t>Incremental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 Loan</w:t>
      </w:r>
      <w:r>
        <w:rPr>
          <w:rFonts w:ascii="Arial" w:cs="Arial" w:eastAsia="Arial" w:hAnsi="Arial"/>
          <w:sz w:val="16"/>
          <w:szCs w:val="16"/>
          <w:color w:val="auto"/>
        </w:rPr>
        <w:t>”) in an amount equal to its Incremental Term Loan Commitment, and (ii) each Incremental Term Loan Lender shall become 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Lender hereunder with respect to the Incremental Term Loan Commitment and the Incremental Term Loans made pursuant thereto.</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Administrative Agent shall notify the Lenders promptly upon receipt of a Borrower’s notice of each Increased Amount Date and in respect thereof (y) the Incremental Revolving Commitments and the Incremental Revolving Loan Lenders or the Incremental Term Loan</w:t>
      </w:r>
    </w:p>
    <w:p>
      <w:pPr>
        <w:spacing w:after="0" w:line="329" w:lineRule="auto"/>
        <w:rPr>
          <w:sz w:val="20"/>
          <w:szCs w:val="20"/>
          <w:color w:val="auto"/>
        </w:rPr>
      </w:pPr>
      <w:r>
        <w:rPr>
          <w:rFonts w:ascii="Arial" w:cs="Arial" w:eastAsia="Arial" w:hAnsi="Arial"/>
          <w:sz w:val="16"/>
          <w:szCs w:val="16"/>
          <w:color w:val="auto"/>
        </w:rPr>
        <w:t>Commitments and the Incremental Term Loan Lenders, as applicable, and (z) in the case of each notice to any Revolving Loan Lender, the respective interests in such Revolving Loan Lender’s Revolving Loans, in each case subject to the assignments contemplated by this Section.</w:t>
      </w:r>
    </w:p>
    <w:p>
      <w:pPr>
        <w:spacing w:after="0" w:line="87" w:lineRule="exact"/>
        <w:rPr>
          <w:sz w:val="20"/>
          <w:szCs w:val="20"/>
          <w:color w:val="auto"/>
        </w:rPr>
      </w:pPr>
    </w:p>
    <w:p>
      <w:pPr>
        <w:ind w:right="40" w:firstLine="648"/>
        <w:spacing w:after="0" w:line="227" w:lineRule="auto"/>
        <w:rPr>
          <w:sz w:val="20"/>
          <w:szCs w:val="20"/>
          <w:color w:val="auto"/>
        </w:rPr>
      </w:pPr>
      <w:r>
        <w:rPr>
          <w:rFonts w:ascii="Arial" w:cs="Arial" w:eastAsia="Arial" w:hAnsi="Arial"/>
          <w:sz w:val="20"/>
          <w:szCs w:val="20"/>
          <w:color w:val="auto"/>
        </w:rPr>
        <w:t>The upfront fees payable to the Incremental Revolving Loan Lenders and/or Incremental Term Loan Lenders shall be determined by the Revolving Borrowers or the Term Loan Borrower, as applicable, and the applicable Incremental Revolving Loan Lenders and/or Incremental Term Loan Lenders.</w:t>
      </w:r>
    </w:p>
    <w:p>
      <w:pPr>
        <w:spacing w:after="0" w:line="157" w:lineRule="exact"/>
        <w:rPr>
          <w:sz w:val="20"/>
          <w:szCs w:val="20"/>
          <w:color w:val="auto"/>
        </w:rPr>
      </w:pPr>
    </w:p>
    <w:p>
      <w:pPr>
        <w:ind w:right="300" w:firstLine="648"/>
        <w:spacing w:after="0" w:line="236" w:lineRule="auto"/>
        <w:rPr>
          <w:sz w:val="20"/>
          <w:szCs w:val="20"/>
          <w:color w:val="auto"/>
        </w:rPr>
      </w:pPr>
      <w:r>
        <w:rPr>
          <w:rFonts w:ascii="Arial" w:cs="Arial" w:eastAsia="Arial" w:hAnsi="Arial"/>
          <w:sz w:val="20"/>
          <w:szCs w:val="20"/>
          <w:color w:val="auto"/>
        </w:rPr>
        <w:t>The Incremental Commitments shall be effected pursuant to one or more Additional Credit Extension Amendments executed and delivered by the Revolving Borrowers or the Term Loan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36</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20" w:top="1440" w:right="399" w:bottom="1440" w:gutter="0" w:footer="0" w:header="0"/>
        </w:sectPr>
      </w:pPr>
    </w:p>
    <w:bookmarkStart w:id="165" w:name="page166"/>
    <w:bookmarkEnd w:id="165"/>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applicable, the Incremental Revolving Loan Lender or Incremental Term Loan Lender, as applicable, and the Administrative Agent, and</w:t>
      </w:r>
    </w:p>
    <w:p>
      <w:pPr>
        <w:spacing w:after="0" w:line="1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each of which shall be recorded in the Register. Each Additional Credit Extension Amendment may, without the consent of any other Lenders, effect such amendments to this Agreement and the other Loan Documents as may be necessary or appropriate, in the opinion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to effect the provisions of this Section 2.04.</w:t>
      </w:r>
    </w:p>
    <w:p>
      <w:pPr>
        <w:spacing w:after="0" w:line="173"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Swingline Loans</w:t>
      </w:r>
      <w:r>
        <w:rPr>
          <w:rFonts w:ascii="Arial" w:cs="Arial" w:eastAsia="Arial" w:hAnsi="Arial"/>
          <w:sz w:val="18"/>
          <w:szCs w:val="18"/>
          <w:color w:val="auto"/>
        </w:rPr>
        <w:t>. (a) Subject to the terms and conditions set forth herein, the Swingline Lender agrees to make Swingline Loans to any Revolving Borrower from time to time during the Availability Period, in an aggregate principal amount at any time</w:t>
      </w:r>
    </w:p>
    <w:p>
      <w:pPr>
        <w:spacing w:after="0" w:line="222" w:lineRule="auto"/>
        <w:rPr>
          <w:sz w:val="20"/>
          <w:szCs w:val="20"/>
          <w:color w:val="auto"/>
        </w:rPr>
      </w:pPr>
      <w:r>
        <w:rPr>
          <w:rFonts w:ascii="Arial" w:cs="Arial" w:eastAsia="Arial" w:hAnsi="Arial"/>
          <w:sz w:val="19"/>
          <w:szCs w:val="19"/>
          <w:color w:val="auto"/>
        </w:rPr>
        <w:t>outstanding that will not result in (i) the aggregate principal amount of outstanding Swingline Loans exceeding $100,000,000, (ii)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Revolving Credit Exposure of any Lender exceeding its Revolving Commitment or (iii) the sum of the total Revolving Credit Exposures exceeding the total Revolving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Swingline Lender shall not be required to make a Swingline Loan to refinance</w:t>
      </w:r>
    </w:p>
    <w:p>
      <w:pPr>
        <w:spacing w:after="0" w:line="2" w:lineRule="exact"/>
        <w:rPr>
          <w:sz w:val="20"/>
          <w:szCs w:val="20"/>
          <w:color w:val="auto"/>
        </w:rPr>
      </w:pPr>
    </w:p>
    <w:p>
      <w:pPr>
        <w:ind w:right="800"/>
        <w:spacing w:after="0" w:line="227" w:lineRule="auto"/>
        <w:rPr>
          <w:sz w:val="20"/>
          <w:szCs w:val="20"/>
          <w:color w:val="auto"/>
        </w:rPr>
      </w:pPr>
      <w:r>
        <w:rPr>
          <w:rFonts w:ascii="Arial" w:cs="Arial" w:eastAsia="Arial" w:hAnsi="Arial"/>
          <w:sz w:val="20"/>
          <w:szCs w:val="20"/>
          <w:color w:val="auto"/>
        </w:rPr>
        <w:t>an outstanding Swingline Loan. Within the foregoing limits and subject to the terms and conditions set forth herein, each Revolving Borrower may borrow, prepay and reborrow Swingline Loans.</w:t>
      </w:r>
    </w:p>
    <w:p>
      <w:pPr>
        <w:spacing w:after="0" w:line="156" w:lineRule="exact"/>
        <w:rPr>
          <w:sz w:val="20"/>
          <w:szCs w:val="20"/>
          <w:color w:val="auto"/>
        </w:rPr>
      </w:pPr>
    </w:p>
    <w:p>
      <w:pPr>
        <w:ind w:right="60" w:firstLine="1304"/>
        <w:spacing w:after="0" w:line="214" w:lineRule="auto"/>
        <w:tabs>
          <w:tab w:leader="none" w:pos="172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request a Swingline Loan, a Revolving Borrower shall notify the Administrative Agent of such request by telephone (confirmed by telecopy), not later than 1:00 p.m.,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such Revolving Borrower. The Swingline Lender shall make each Swingline Loan available to such Revolving Borrower by means of a credit to the general deposit account of such Revolving Borrower with the Swingline Lender (or, in the case of a Swingline Loan made to finance the reimbursement of an LC Disbursement as provided in Section 2.06(e), by remittance to the Issuing Bank) by 3:00 p.m., New York City time, on the requested date of such Swingline Loan.</w:t>
      </w:r>
    </w:p>
    <w:p>
      <w:pPr>
        <w:spacing w:after="0" w:line="154" w:lineRule="exact"/>
        <w:rPr>
          <w:rFonts w:ascii="Arial" w:cs="Arial" w:eastAsia="Arial" w:hAnsi="Arial"/>
          <w:sz w:val="20"/>
          <w:szCs w:val="20"/>
          <w:color w:val="auto"/>
        </w:rPr>
      </w:pPr>
    </w:p>
    <w:p>
      <w:pPr>
        <w:ind w:right="60" w:firstLine="1304"/>
        <w:spacing w:after="0" w:line="232" w:lineRule="auto"/>
        <w:tabs>
          <w:tab w:leader="none" w:pos="171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Revolving Percentage of such Swingline Loan or Loans. Each Revolving Lender hereby absolutely and unconditionally agrees, upon receipt of notice as provided above, to pay to the Administrative Agent, for the account of the Swingline Lender, such Lender’s Revolving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Revolving Loans made by such Revolving Lender (and Section 2.07 shall apply,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xml:space="preserve">, to the payment obligations of the Revolving Lenders), and the Administrative Agent shall promptly pay to the Swingline Lender the amounts so received by it from the Revolving Lenders. The Administrative Agent shall notify the Revolving Borrowers of any participations in any Swingline Loan acquired pursuant to this paragraph, and thereafter payments in respect of such Swingline Loan shall be made to the Administrative Agent and not to the Swingline Lender. Any amounts received by the Swingline Lender from any Revolving Borrower (or other party on behalf of any Revolving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payment so remitted shall be repaid to the Swingline Lender or to the Administrative Agent, as applicable, if and to the extent such payment is required to be refunded to such Revolving Borrower for any reason. The purchase of participations in a Swingline Loan pursuant to this paragraph shall not relieve any Revolving Borrower of any default in the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66" w:name="page167"/>
    <w:bookmarkEnd w:id="166"/>
    <w:p>
      <w:pPr>
        <w:ind w:left="660"/>
        <w:spacing w:after="0"/>
        <w:tabs>
          <w:tab w:leader="none" w:pos="182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 (a)</w:t>
      </w:r>
      <w:r>
        <w:rPr>
          <w:rFonts w:ascii="Arial" w:cs="Arial" w:eastAsia="Arial" w:hAnsi="Arial"/>
          <w:sz w:val="18"/>
          <w:szCs w:val="18"/>
          <w:u w:val="single" w:color="auto"/>
          <w:color w:val="auto"/>
        </w:rPr>
        <w:t xml:space="preserve"> General</w:t>
      </w:r>
      <w:r>
        <w:rPr>
          <w:rFonts w:ascii="Arial" w:cs="Arial" w:eastAsia="Arial" w:hAnsi="Arial"/>
          <w:sz w:val="18"/>
          <w:szCs w:val="18"/>
          <w:color w:val="auto"/>
        </w:rPr>
        <w:t>. Subject to the terms and conditions set forth herein, a Revolving Borrower may request</w:t>
      </w:r>
    </w:p>
    <w:p>
      <w:pPr>
        <w:ind w:right="100"/>
        <w:spacing w:after="0" w:line="226" w:lineRule="auto"/>
        <w:rPr>
          <w:sz w:val="20"/>
          <w:szCs w:val="20"/>
          <w:color w:val="auto"/>
        </w:rPr>
      </w:pPr>
      <w:r>
        <w:rPr>
          <w:rFonts w:ascii="Arial" w:cs="Arial" w:eastAsia="Arial" w:hAnsi="Arial"/>
          <w:sz w:val="18"/>
          <w:szCs w:val="18"/>
          <w:color w:val="auto"/>
        </w:rPr>
        <w:t>the issuance of Letters of Credit, denominated and payable in dollars or any Designated Foreign Currency, as the applicant thereof for the support of its or any Subsidiary’s obligations, in a form reasonably acceptable to the Administrative Agent and the Issuing Bank, at any time</w:t>
      </w:r>
    </w:p>
    <w:p>
      <w:pPr>
        <w:spacing w:after="0" w:line="236" w:lineRule="auto"/>
        <w:rPr>
          <w:sz w:val="20"/>
          <w:szCs w:val="20"/>
          <w:color w:val="auto"/>
        </w:rPr>
      </w:pPr>
      <w:r>
        <w:rPr>
          <w:rFonts w:ascii="Arial" w:cs="Arial" w:eastAsia="Arial" w:hAnsi="Arial"/>
          <w:sz w:val="18"/>
          <w:szCs w:val="18"/>
          <w:color w:val="auto"/>
        </w:rPr>
        <w:t>and from time to time during the Availability Period. In the event of any inconsistency between the terms and conditions of this Agreement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and the terms and conditions of any form of letter of credit application or other agreement submitted by a Revolving Borrower to, or entered into by a Revolving Borrower with, the Issuing Bank relating to any Letter of Credit, the terms and conditions of this Agreement shall</w:t>
      </w:r>
    </w:p>
    <w:p>
      <w:pPr>
        <w:spacing w:after="0" w:line="236" w:lineRule="auto"/>
        <w:rPr>
          <w:sz w:val="20"/>
          <w:szCs w:val="20"/>
          <w:color w:val="auto"/>
        </w:rPr>
      </w:pPr>
      <w:r>
        <w:rPr>
          <w:rFonts w:ascii="Arial" w:cs="Arial" w:eastAsia="Arial" w:hAnsi="Arial"/>
          <w:sz w:val="18"/>
          <w:szCs w:val="18"/>
          <w:color w:val="auto"/>
        </w:rPr>
        <w:t>control. Notwithstanding anything herein to the contrary, the Issuing Bank shall have no obligation hereunder to issue, and shall not issue,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any Letter of Credit the proceeds of which would be made available to any Person (i) to fund any activity or business of or with any Designated Person, or in any country or territory that, at the time of such funding, is the subject of any Sanctions Laws or Regulations that</w:t>
      </w:r>
    </w:p>
    <w:p>
      <w:pPr>
        <w:spacing w:after="0" w:line="236" w:lineRule="auto"/>
        <w:rPr>
          <w:sz w:val="20"/>
          <w:szCs w:val="20"/>
          <w:color w:val="auto"/>
        </w:rPr>
      </w:pPr>
      <w:r>
        <w:rPr>
          <w:rFonts w:ascii="Arial" w:cs="Arial" w:eastAsia="Arial" w:hAnsi="Arial"/>
          <w:sz w:val="18"/>
          <w:szCs w:val="18"/>
          <w:color w:val="auto"/>
        </w:rPr>
        <w:t>would result in a violation of any Sanctions Laws and Regulations by any party to this Agreement or (ii) in any other manner that would</w:t>
      </w:r>
    </w:p>
    <w:p>
      <w:pPr>
        <w:spacing w:after="0" w:line="1"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color w:val="auto"/>
        </w:rPr>
        <w:t>result in a violation of any Sanctions Laws or Regulations by any party to this Agreement. Each Existing Letter of Credit shall be deemed to be a letter of credit issued under this Agreement and entitled to the benefits of a Letter of Credit issued hereunder.</w:t>
      </w:r>
    </w:p>
    <w:p>
      <w:pPr>
        <w:spacing w:after="0" w:line="169" w:lineRule="exact"/>
        <w:rPr>
          <w:sz w:val="20"/>
          <w:szCs w:val="20"/>
          <w:color w:val="auto"/>
        </w:rPr>
      </w:pPr>
    </w:p>
    <w:p>
      <w:pPr>
        <w:ind w:right="40" w:firstLine="1304"/>
        <w:spacing w:after="0" w:line="233" w:lineRule="auto"/>
        <w:tabs>
          <w:tab w:leader="none" w:pos="172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Renewal, Extension; Certain Conditions</w:t>
      </w:r>
      <w:r>
        <w:rPr>
          <w:rFonts w:ascii="Arial" w:cs="Arial" w:eastAsia="Arial" w:hAnsi="Arial"/>
          <w:sz w:val="18"/>
          <w:szCs w:val="18"/>
          <w:color w:val="auto"/>
        </w:rPr>
        <w:t>. To request the issuance of a Letter of Credit (or the amendment, renewal or extension of an outstanding Letter of Credit), a Revolving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but in any event no less than three Business Days or such shorter period as may be agreed by the Administrative Agent and the Issuing Bank)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Issuing Bank, such Revolving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such Revolving Borrower shall be deemed to represent and warrant that), after giving effect to such issuance, amendment, renewal or extension (i) the LC Exposure shall not exceed the Dollar Equivalent of $50,000,000, (ii) the Revolving Credit Exposure of any Lender shall not exceed its Revolving Commitment and (iii) the sum of the total Revolving Credit Exposures shall not exceed the total Revolving Commitments.</w:t>
      </w:r>
    </w:p>
    <w:p>
      <w:pPr>
        <w:spacing w:after="0" w:line="171" w:lineRule="exact"/>
        <w:rPr>
          <w:rFonts w:ascii="Arial" w:cs="Arial" w:eastAsia="Arial" w:hAnsi="Arial"/>
          <w:sz w:val="18"/>
          <w:szCs w:val="18"/>
          <w:color w:val="auto"/>
        </w:rPr>
      </w:pPr>
    </w:p>
    <w:p>
      <w:pPr>
        <w:ind w:firstLine="1304"/>
        <w:spacing w:after="0" w:line="265" w:lineRule="auto"/>
        <w:tabs>
          <w:tab w:leader="none" w:pos="1713"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Each Letter of Credit shall expire (or be subject to termination by notice from the Issuing Bank to the beneficiary thereof) at or prior to the close of business on the earlier of (i) the date one year after the date of the issuance of such Letter of Credit (or, in the case of any renewal or extension thereof, one year after such renewal or extension, which renewals or extensions, subject to clause (ii) hereof, may be automatic pursuant to the terms of such Letter of Credit so long as the Issuing Bank shall have the right to prevent such renewal or extension at least once in each twelve month period) and (ii) the date that is five Business Days prior to the Revolving Maturity Date. Notwithstanding the foregoing, a Letter of Credit may have an expiration date that is not more than twelve (12) months after the Revolving Maturity Date so long as (x) the applicable Revolving Borrower shall provide cash collateral to the Administrative Agent pursuant to and in accordance with Section 2.06(j) on or prior to forty-five (45) days before the Revolving Maturity Date in an amount equal to 102% of the LC Exposure with respect to all such Letters of Credit with expiry dates after the Revolving Maturity Date, (y) the obligations of the applicable Revolving Borrower under this Section 2.06 in respect of such Letters of Credit shall survive the Revolving Maturity Date and shall remain in effect until no such Letters of Credit remain outstanding and (z) each Lender shall remain obligated hereunder, to the extent any such cash collateral, the application thereof or reimbursement in respect thereof is required to be returned to the applicable Revolving Borrower by the Administrative Agent after the Revolving Maturity Date until no such Letters of Credit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38</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394" w:right="359" w:bottom="1440" w:gutter="0" w:footer="0" w:header="0"/>
        </w:sectPr>
      </w:pPr>
    </w:p>
    <w:bookmarkStart w:id="167" w:name="page168"/>
    <w:bookmarkEnd w:id="167"/>
    <w:p>
      <w:pPr>
        <w:ind w:right="20" w:firstLine="1304"/>
        <w:spacing w:after="0" w:line="221" w:lineRule="auto"/>
        <w:tabs>
          <w:tab w:leader="none" w:pos="172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By the issuance of a Letter of Credit (or an amendment to a Letter of Credit increasing the amount thereof) and without any further action on the part of the Issuing Bank or the Lenders, the Issuing Bank hereby grants to each Revolving Lender, and each Revolving Lender hereby acquires from the Issuing Bank, a participation in such Letter of Credit equal to such Lender’s Revolving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Lender’s Revolving Percentage of each LC Disbursement made by the Issuing Bank and not reimbursed by the applicable Revolving Borrower on the date due as provided in paragraph (e) of this Section, or of any reimbursement payment required to be refunded to the applicable Revolving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77" w:lineRule="exact"/>
        <w:rPr>
          <w:rFonts w:ascii="Arial" w:cs="Arial" w:eastAsia="Arial" w:hAnsi="Arial"/>
          <w:sz w:val="19"/>
          <w:szCs w:val="19"/>
          <w:color w:val="auto"/>
        </w:rPr>
      </w:pPr>
    </w:p>
    <w:p>
      <w:pPr>
        <w:ind w:firstLine="1304"/>
        <w:spacing w:after="0" w:line="231" w:lineRule="auto"/>
        <w:tabs>
          <w:tab w:leader="none" w:pos="1713"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Issuing Bank shall make any LC Disbursement in respect of a Letter of Credit, the applicable Revolving Borrower shall reimburse such LC Disbursement by paying to the Administrative Agent, in dollars or in the applicable Designated Foreign Currency in which such Letter of Credit is denominated, an amount equal to such LC Disbursement not later than 12:00 noon, New York City time, on the date that such LC Disbursement is made, if such Revolving Borrower shall have received notice of such LC Disbursement prior to 10:00 a.m., New York City time, on such date, or, if such notice has not been received by such Revolving Borrower prior to such time on such date, then not later than 12:00 noon, New York City time, on (i) the Business Day that such Revolving Borrower receives such notice, if such notice is received prior to 10:00 a.m., New York City time, on the day of receipt, or (ii) the Business Day immediately following the day that such Revolving Borrower receives such notice, if such notice is not received prior to such time on the day of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Revolving Borrower may, subject to the conditions to borrowing set forth herein, request in accordance with Section 2.03 or 2.05 that, other than in the case of a Letter of Credit denominated in any Designated Foreign Currency, such payment be financed with an ABR Revolving Borrowing or Swingline Loan in an equivalent amount (or the Dollar Equivalent of such amount) and, to the extent so financed, such Revolving Borrower’s obligation to make such payment shall be discharged and replaced by the resulting ABR Revolving Borrowing or Swingline Loan. If the applicable Revolving Borrower fails to make such payment when due, the Administrative Agent shall notify each Revolving Lender of the applicable LC Disbursement, the payment then due from such Revolving Borrower in respect thereof and such Lender’s Revolving Percentage thereof. Promptly (which, in the case of an LC Disbursement made in a Designated Foreign Currency, may be up to 3 Business Days) following receipt of such notice, each Revolving Lender shall pay to the Administrative Agent its Revolving Percentage of the payment then due from such Revolving Borrower, in dollars or in the applicable Designated Foreign Currency in which such Letter of Credit is denominated, in the same manner as provided in Section 2.07 with respect to Revolving Loans made by such Lender (and Section 2.07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Revolving Lenders), and the Administrative Agent shall promptly pay to the Issuing Bank the amounts so received by it from the Revolving Lenders. Promptly following receipt by the Administrative Agent of any payment from the applicable Revolving Borrower pursuant to this paragraph, the Administrative Agent shall distribute such payment to the Issuing Bank or, to the extent that Revolving Lenders have made payments pursuant to this paragraph to reimburse the Issuing Bank, then to such Revolving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any Revolving Borrower of its obligation to reimburse such LC Disbursement.</w:t>
      </w:r>
    </w:p>
    <w:p>
      <w:pPr>
        <w:spacing w:after="0" w:line="168" w:lineRule="exact"/>
        <w:rPr>
          <w:rFonts w:ascii="Arial" w:cs="Arial" w:eastAsia="Arial" w:hAnsi="Arial"/>
          <w:sz w:val="18"/>
          <w:szCs w:val="18"/>
          <w:color w:val="auto"/>
        </w:rPr>
      </w:pPr>
    </w:p>
    <w:p>
      <w:pPr>
        <w:ind w:left="1700" w:hanging="396"/>
        <w:spacing w:after="0"/>
        <w:tabs>
          <w:tab w:leader="none" w:pos="170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Each Revolving Borrower’s obligation to reimburse LC Disbursements as provided in</w:t>
      </w:r>
    </w:p>
    <w:p>
      <w:pPr>
        <w:ind w:right="80"/>
        <w:spacing w:after="0" w:line="226" w:lineRule="auto"/>
        <w:rPr>
          <w:sz w:val="20"/>
          <w:szCs w:val="20"/>
          <w:color w:val="auto"/>
        </w:rPr>
      </w:pPr>
      <w:r>
        <w:rPr>
          <w:rFonts w:ascii="Arial" w:cs="Arial" w:eastAsia="Arial" w:hAnsi="Arial"/>
          <w:sz w:val="18"/>
          <w:szCs w:val="18"/>
          <w:color w:val="auto"/>
        </w:rPr>
        <w:t>paragraph (e) of this Section shall be absolute, unconditional and irrevocable, and shall be performed strictly in accordance with the terms of this Agreement under any and all circumstances whatsoever and irrespective of (i) any lack of validity or enforceability of any Letter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or this Agreement, or any term or provision therein, (ii) any draft or other document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under a Letter of Credit proving to be forged, fraudulent or invalid in any respect or any statement therein being untrue or inaccurate in any</w:t>
      </w:r>
    </w:p>
    <w:p>
      <w:pPr>
        <w:spacing w:after="0" w:line="12"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respect, (iii) payment by the Issuing Bank under a Letter of Credit against presentation of a draft or other document that does not comply with the terms of such Letter of Credit, or (iv) any other event or circumstance whatsoever, whether or not similar to any of the foregoing,</w:t>
      </w:r>
    </w:p>
    <w:p>
      <w:pPr>
        <w:spacing w:after="0" w:line="224" w:lineRule="auto"/>
        <w:rPr>
          <w:sz w:val="20"/>
          <w:szCs w:val="20"/>
          <w:color w:val="auto"/>
        </w:rPr>
      </w:pPr>
      <w:r>
        <w:rPr>
          <w:rFonts w:ascii="Arial" w:cs="Arial" w:eastAsia="Arial" w:hAnsi="Arial"/>
          <w:sz w:val="19"/>
          <w:szCs w:val="19"/>
          <w:color w:val="auto"/>
        </w:rPr>
        <w:t>that might, but for the provisions of this Section, constitute a legal or equitable discharge of, or provide a right of setoff against, such</w:t>
      </w:r>
    </w:p>
    <w:p>
      <w:pPr>
        <w:ind w:right="260"/>
        <w:spacing w:after="0" w:line="226" w:lineRule="auto"/>
        <w:rPr>
          <w:sz w:val="20"/>
          <w:szCs w:val="20"/>
          <w:color w:val="auto"/>
        </w:rPr>
      </w:pPr>
      <w:r>
        <w:rPr>
          <w:rFonts w:ascii="Arial" w:cs="Arial" w:eastAsia="Arial" w:hAnsi="Arial"/>
          <w:sz w:val="18"/>
          <w:szCs w:val="18"/>
          <w:color w:val="auto"/>
        </w:rPr>
        <w:t>Revolving Borrower’s obligations hereunder. Neither the Administrative Agent, the Lenders nor the Issuing Bank, nor any of their Related Parties, shall have any liability or responsibility by reason of or in connection with the issuance or transfer of any Letter of Credit or any</w:t>
      </w:r>
    </w:p>
    <w:p>
      <w:pPr>
        <w:spacing w:after="0" w:line="236" w:lineRule="auto"/>
        <w:rPr>
          <w:sz w:val="20"/>
          <w:szCs w:val="20"/>
          <w:color w:val="auto"/>
        </w:rPr>
      </w:pPr>
      <w:r>
        <w:rPr>
          <w:rFonts w:ascii="Arial" w:cs="Arial" w:eastAsia="Arial" w:hAnsi="Arial"/>
          <w:sz w:val="18"/>
          <w:szCs w:val="18"/>
          <w:color w:val="auto"/>
        </w:rPr>
        <w:t>payment or failure to make any payment thereunder (irrespective of any of the circumstances referred to in the preceding sentence), or any</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error, omission, interruption, loss or delay in transmission or delivery of any draft, notice or other communication under or relating to any Letter of Credit (including any document required to make a drawing thereunder), any error in interpretation of technical terms or any</w:t>
      </w:r>
    </w:p>
    <w:p>
      <w:pPr>
        <w:spacing w:after="0" w:line="236" w:lineRule="auto"/>
        <w:rPr>
          <w:sz w:val="20"/>
          <w:szCs w:val="20"/>
          <w:color w:val="auto"/>
        </w:rPr>
      </w:pPr>
      <w:r>
        <w:rPr>
          <w:rFonts w:ascii="Arial" w:cs="Arial" w:eastAsia="Arial" w:hAnsi="Arial"/>
          <w:sz w:val="18"/>
          <w:szCs w:val="18"/>
          <w:color w:val="auto"/>
        </w:rPr>
        <w:t xml:space="preserve">consequence arising from causes beyond the control of the Issuing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be construed to excuse the</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Issuing Bank from liability to any Revolving Borrower to the extent of any direct damages (as opposed to special, indirect, consequential or punitive damages, claims in respect of which are hereby waived by such Revolving Borrower to the extent permitted by applicable law)</w:t>
      </w:r>
    </w:p>
    <w:p>
      <w:pPr>
        <w:spacing w:after="0" w:line="236" w:lineRule="auto"/>
        <w:rPr>
          <w:sz w:val="20"/>
          <w:szCs w:val="20"/>
          <w:color w:val="auto"/>
        </w:rPr>
      </w:pPr>
      <w:r>
        <w:rPr>
          <w:rFonts w:ascii="Arial" w:cs="Arial" w:eastAsia="Arial" w:hAnsi="Arial"/>
          <w:sz w:val="18"/>
          <w:szCs w:val="18"/>
          <w:color w:val="auto"/>
        </w:rPr>
        <w:t>suffered by such Revolving Borrower that are caused by the Issuing Bank’s failure to exercise care when determining whether drafts and</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other documents presented under a Letter of Credit comply with the terms thereof. The parties hereto expressly agree that, in the absence of gross negligence or willful misconduct on the part of the Issuing Bank (as finally determined by a court of competent jurisdiction), the</w:t>
      </w:r>
    </w:p>
    <w:p>
      <w:pPr>
        <w:spacing w:after="0" w:line="236" w:lineRule="auto"/>
        <w:rPr>
          <w:sz w:val="20"/>
          <w:szCs w:val="20"/>
          <w:color w:val="auto"/>
        </w:rPr>
      </w:pPr>
      <w:r>
        <w:rPr>
          <w:rFonts w:ascii="Arial" w:cs="Arial" w:eastAsia="Arial" w:hAnsi="Arial"/>
          <w:sz w:val="18"/>
          <w:szCs w:val="18"/>
          <w:color w:val="auto"/>
        </w:rPr>
        <w:t>Issuing Bank shall be deemed to have exercised care in each such determination. In furtherance of the foregoing and without limiting the</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generality thereof, the parties agree that, with respect to documents presented which appear on their face to be in substantial compliance with the terms of a Letter of Credit, the Issuing Bank may, in its sole discretion, either accept and make payment upon such documents without</w:t>
      </w:r>
    </w:p>
    <w:p>
      <w:pPr>
        <w:spacing w:after="0" w:line="1" w:lineRule="exact"/>
        <w:rPr>
          <w:sz w:val="20"/>
          <w:szCs w:val="20"/>
          <w:color w:val="auto"/>
        </w:rPr>
      </w:pPr>
    </w:p>
    <w:p>
      <w:pPr>
        <w:ind w:right="300"/>
        <w:spacing w:after="0" w:line="220" w:lineRule="auto"/>
        <w:rPr>
          <w:sz w:val="20"/>
          <w:szCs w:val="20"/>
          <w:color w:val="auto"/>
        </w:rPr>
      </w:pPr>
      <w:r>
        <w:rPr>
          <w:rFonts w:ascii="Arial" w:cs="Arial" w:eastAsia="Arial" w:hAnsi="Arial"/>
          <w:sz w:val="20"/>
          <w:szCs w:val="20"/>
          <w:color w:val="auto"/>
        </w:rPr>
        <w:t>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0" w:lineRule="exact"/>
        <w:rPr>
          <w:sz w:val="20"/>
          <w:szCs w:val="20"/>
          <w:color w:val="auto"/>
        </w:rPr>
      </w:pPr>
    </w:p>
    <w:p>
      <w:pPr>
        <w:ind w:right="60" w:firstLine="1304"/>
        <w:spacing w:after="0" w:line="214" w:lineRule="auto"/>
        <w:tabs>
          <w:tab w:leader="none" w:pos="1724"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Disbursement Procedures</w:t>
      </w:r>
      <w:r>
        <w:rPr>
          <w:rFonts w:ascii="Arial" w:cs="Arial" w:eastAsia="Arial" w:hAnsi="Arial"/>
          <w:sz w:val="20"/>
          <w:szCs w:val="20"/>
          <w:color w:val="auto"/>
        </w:rPr>
        <w:t xml:space="preserve">. The Issuing Bank shall, promptly following its receipt thereof, examine all documents purporting to represent a demand for payment under a Letter of Credit. The Issuing Bank shall promptly notify the Administrative Agent and the applicable Revolving Borrower by telephone (confirmed by telecopy) of such demand for payment and whether the Issuing Bank has made or will make an LC Disbursement thereunder;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failure to give or delay in giving such notice shall not relieve the applicable Revolving Borrower of its obligation to reimburse the Issuing Bank and the Revolving Lenders with respect to any such LC Disbursement.</w:t>
      </w:r>
    </w:p>
    <w:p>
      <w:pPr>
        <w:spacing w:after="0" w:line="173" w:lineRule="exact"/>
        <w:rPr>
          <w:rFonts w:ascii="Arial" w:cs="Arial" w:eastAsia="Arial" w:hAnsi="Arial"/>
          <w:sz w:val="20"/>
          <w:szCs w:val="20"/>
          <w:color w:val="auto"/>
        </w:rPr>
      </w:pPr>
    </w:p>
    <w:p>
      <w:pPr>
        <w:ind w:firstLine="1304"/>
        <w:spacing w:after="0" w:line="214" w:lineRule="auto"/>
        <w:tabs>
          <w:tab w:leader="none" w:pos="1724"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Interim Interest</w:t>
      </w:r>
      <w:r>
        <w:rPr>
          <w:rFonts w:ascii="Arial" w:cs="Arial" w:eastAsia="Arial" w:hAnsi="Arial"/>
          <w:sz w:val="20"/>
          <w:szCs w:val="20"/>
          <w:color w:val="auto"/>
        </w:rPr>
        <w:t xml:space="preserve">. If the Issuing Bank shall make any LC Disbursement, then, unless the applicable Revolving Borrower shall reimburse such LC Disbursement in full on the date such LC Disbursement is made, the unpaid amount thereof shall bear interest, for each day from and including the date such LC Disbursement is made to but excluding the date that such Revolving Borrower reimburses such LC Disbursement, at the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then applicable to ABR Revolving Loans;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Revolving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Revolving Lender to the extent of such payment.</w:t>
      </w:r>
    </w:p>
    <w:p>
      <w:pPr>
        <w:spacing w:after="0" w:line="154" w:lineRule="exact"/>
        <w:rPr>
          <w:rFonts w:ascii="Arial" w:cs="Arial" w:eastAsia="Arial" w:hAnsi="Arial"/>
          <w:sz w:val="20"/>
          <w:szCs w:val="20"/>
          <w:color w:val="auto"/>
        </w:rPr>
      </w:pPr>
    </w:p>
    <w:p>
      <w:pPr>
        <w:ind w:right="140" w:firstLine="1304"/>
        <w:spacing w:after="0" w:line="224" w:lineRule="auto"/>
        <w:tabs>
          <w:tab w:leader="none" w:pos="1681"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w:t>
      </w:r>
      <w:r>
        <w:rPr>
          <w:rFonts w:ascii="Arial" w:cs="Arial" w:eastAsia="Arial" w:hAnsi="Arial"/>
          <w:sz w:val="19"/>
          <w:szCs w:val="19"/>
          <w:color w:val="auto"/>
        </w:rPr>
        <w:t>. The Issuing Bank may be replaced at any time by written agreement among the Revolving Borrowers, the Administrative Agent, the replaced Issuing Bank and the successor Issuing Bank. The Administrative Agent shall notify the Lenders of any such replacement of the Issuing Bank. At the time any such replacement shall become effective, the Revolving Borrowers shall pay all unpaid fees accrued for the account of the replaced Issuing Bank pursuant to Section 2.12(c).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69" w:name="page170"/>
    <w:bookmarkEnd w:id="169"/>
    <w:p>
      <w:pPr>
        <w:ind w:right="160"/>
        <w:spacing w:after="0" w:line="236" w:lineRule="auto"/>
        <w:rPr>
          <w:sz w:val="20"/>
          <w:szCs w:val="20"/>
          <w:color w:val="auto"/>
        </w:rPr>
      </w:pPr>
      <w:r>
        <w:rPr>
          <w:rFonts w:ascii="Arial" w:cs="Arial" w:eastAsia="Arial" w:hAnsi="Arial"/>
          <w:sz w:val="20"/>
          <w:szCs w:val="20"/>
          <w:color w:val="auto"/>
        </w:rPr>
        <w:t>Issuing Bank under this Agreement with respect to Letters of Credit issued by it prior to such replacement, but shall not be required to issue additional Letters of Credit.</w:t>
      </w:r>
    </w:p>
    <w:p>
      <w:pPr>
        <w:spacing w:after="0" w:line="155" w:lineRule="exact"/>
        <w:rPr>
          <w:sz w:val="20"/>
          <w:szCs w:val="20"/>
          <w:color w:val="auto"/>
        </w:rPr>
      </w:pPr>
    </w:p>
    <w:p>
      <w:pPr>
        <w:ind w:firstLine="1304"/>
        <w:spacing w:after="0" w:line="232" w:lineRule="auto"/>
        <w:tabs>
          <w:tab w:leader="none" w:pos="168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(A) any Event of Default shall occur and be continuing, on the Business Day that any Revolving Borrower receives notice from the Administrative Agent or the Required Facility Lenders under the Revolving Facility (or, if the maturity of the Loans has been accelerated, Lenders with LC Exposure representing greater than 50% of the total LC Exposure) demanding the deposit of cash collateral pursuant to this paragraph, or (B) required by Section 2.06(c), such Revolving Borrower shall deposit in an account with the Administrative Agent, in the name of the Administrative Agent and for the benefit of the Revolving Lenders, an amount in cash equal to 102% of the LC Exposure as of such date plus any accrued and unpaid interest thereon;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Borrowers described in Section 7.01(h) or (i). Such deposit shall be held by the Administrative Agent for the satisfaction of the LC Exposure and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Lenders with LC Exposure representing greater than 50% of the total LC Exposure), be applied to satisfy other Obligations. If a Revolving Borrower is required to provide an amount of cash collateral hereunder as a result of the occurrence of an Event of Default, such amount (to the extent not applied as aforesaid) shall be returned to such Revolving Borrower within three Business Days after all Events of Default have been cured or waived.</w:t>
      </w:r>
    </w:p>
    <w:p>
      <w:pPr>
        <w:spacing w:after="0" w:line="181"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 (a) Each Lender shall make each Loan to be made by it hereunder on the proposed date thereof by wire transfer of immediately available funds, in dollars or the applicable Designated Foreign Currency, by 12:00 noon (or, in the</w:t>
      </w:r>
    </w:p>
    <w:p>
      <w:pPr>
        <w:spacing w:after="0" w:line="235" w:lineRule="auto"/>
        <w:rPr>
          <w:sz w:val="20"/>
          <w:szCs w:val="20"/>
          <w:color w:val="auto"/>
        </w:rPr>
      </w:pPr>
      <w:r>
        <w:rPr>
          <w:rFonts w:ascii="Arial" w:cs="Arial" w:eastAsia="Arial" w:hAnsi="Arial"/>
          <w:sz w:val="18"/>
          <w:szCs w:val="18"/>
          <w:color w:val="auto"/>
        </w:rPr>
        <w:t>case of an ABR Loan requested for that same day, 2:00 p.m.), New York City time, to the account of the Administrative Agent most recently</w:t>
      </w:r>
    </w:p>
    <w:p>
      <w:pPr>
        <w:ind w:right="260"/>
        <w:spacing w:after="0" w:line="226" w:lineRule="auto"/>
        <w:rPr>
          <w:sz w:val="20"/>
          <w:szCs w:val="20"/>
          <w:color w:val="auto"/>
        </w:rPr>
      </w:pPr>
      <w:r>
        <w:rPr>
          <w:rFonts w:ascii="Arial" w:cs="Arial" w:eastAsia="Arial" w:hAnsi="Arial"/>
          <w:sz w:val="18"/>
          <w:szCs w:val="18"/>
          <w:color w:val="auto"/>
        </w:rPr>
        <w:t xml:space="preserve">designated by it for such purpose by notice to the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Swingline Loans shall be made as provided in Section 2.05. The Administrative Agent will make such Loans available to the Borrowers by promptly crediting the amounts so received, in like funds, to an</w:t>
      </w:r>
    </w:p>
    <w:p>
      <w:pPr>
        <w:spacing w:after="0" w:line="236" w:lineRule="auto"/>
        <w:rPr>
          <w:sz w:val="20"/>
          <w:szCs w:val="20"/>
          <w:color w:val="auto"/>
        </w:rPr>
      </w:pPr>
      <w:r>
        <w:rPr>
          <w:rFonts w:ascii="Arial" w:cs="Arial" w:eastAsia="Arial" w:hAnsi="Arial"/>
          <w:sz w:val="18"/>
          <w:szCs w:val="18"/>
          <w:color w:val="auto"/>
        </w:rPr>
        <w:t>account of the applicable Borrower maintained with the Administrative Agent in New York City and designated by the applicable Borrower</w:t>
      </w:r>
    </w:p>
    <w:p>
      <w:pPr>
        <w:spacing w:after="0" w:line="1" w:lineRule="exact"/>
        <w:rPr>
          <w:sz w:val="20"/>
          <w:szCs w:val="20"/>
          <w:color w:val="auto"/>
        </w:rPr>
      </w:pPr>
    </w:p>
    <w:p>
      <w:pPr>
        <w:ind w:right="340"/>
        <w:spacing w:after="0" w:line="220" w:lineRule="auto"/>
        <w:rPr>
          <w:sz w:val="20"/>
          <w:szCs w:val="20"/>
          <w:color w:val="auto"/>
        </w:rPr>
      </w:pPr>
      <w:r>
        <w:rPr>
          <w:rFonts w:ascii="Arial" w:cs="Arial" w:eastAsia="Arial" w:hAnsi="Arial"/>
          <w:sz w:val="20"/>
          <w:szCs w:val="20"/>
          <w:color w:val="auto"/>
        </w:rPr>
        <w:t xml:space="preserve">in the applicable Borrowing Request;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ABR Revolving Loans made to finance the reimbursement of an LC Disbursement as provided in Section 2.06(e) shall be remitted by the Administrative Agent to the Issuing Bank.</w:t>
      </w:r>
    </w:p>
    <w:p>
      <w:pPr>
        <w:spacing w:after="0" w:line="170" w:lineRule="exact"/>
        <w:rPr>
          <w:sz w:val="20"/>
          <w:szCs w:val="20"/>
          <w:color w:val="auto"/>
        </w:rPr>
      </w:pPr>
    </w:p>
    <w:p>
      <w:pPr>
        <w:ind w:right="40" w:firstLine="1304"/>
        <w:spacing w:after="0" w:line="231" w:lineRule="auto"/>
        <w:tabs>
          <w:tab w:leader="none" w:pos="172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such Borrower, the interest rate applicable to</w:t>
      </w:r>
    </w:p>
    <w:p>
      <w:pPr>
        <w:spacing w:after="0" w:line="5" w:lineRule="exact"/>
        <w:rPr>
          <w:rFonts w:ascii="Arial" w:cs="Arial" w:eastAsia="Arial" w:hAnsi="Arial"/>
          <w:sz w:val="18"/>
          <w:szCs w:val="18"/>
          <w:color w:val="auto"/>
        </w:rPr>
      </w:pPr>
    </w:p>
    <w:p>
      <w:pPr>
        <w:spacing w:after="0" w:line="227" w:lineRule="auto"/>
        <w:rPr>
          <w:rFonts w:ascii="Arial" w:cs="Arial" w:eastAsia="Arial" w:hAnsi="Arial"/>
          <w:sz w:val="18"/>
          <w:szCs w:val="18"/>
          <w:color w:val="auto"/>
        </w:rPr>
      </w:pPr>
      <w:r>
        <w:rPr>
          <w:rFonts w:ascii="Arial" w:cs="Arial" w:eastAsia="Arial" w:hAnsi="Arial"/>
          <w:sz w:val="20"/>
          <w:szCs w:val="20"/>
          <w:color w:val="auto"/>
        </w:rPr>
        <w:t>ABR Loans. If such Lender pays such amount to the Administrative Agent, then such amount shall constitute such Lender’s Loan included in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70" w:name="page171"/>
    <w:bookmarkEnd w:id="170"/>
    <w:p>
      <w:pPr>
        <w:ind w:left="660"/>
        <w:spacing w:after="0"/>
        <w:tabs>
          <w:tab w:leader="none" w:pos="182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8"/>
          <w:szCs w:val="18"/>
          <w:u w:val="single" w:color="auto"/>
          <w:color w:val="auto"/>
        </w:rPr>
        <w:t>Interest Elections</w:t>
      </w:r>
      <w:r>
        <w:rPr>
          <w:rFonts w:ascii="Arial" w:cs="Arial" w:eastAsia="Arial" w:hAnsi="Arial"/>
          <w:sz w:val="18"/>
          <w:szCs w:val="18"/>
          <w:color w:val="auto"/>
        </w:rPr>
        <w:t>. (a) Each Borrowing initially shall be of the Type specified in the applicable Borrowing Request</w:t>
      </w:r>
    </w:p>
    <w:p>
      <w:pPr>
        <w:ind w:right="160"/>
        <w:spacing w:after="0" w:line="255" w:lineRule="auto"/>
        <w:rPr>
          <w:sz w:val="20"/>
          <w:szCs w:val="20"/>
          <w:color w:val="auto"/>
        </w:rPr>
      </w:pPr>
      <w:r>
        <w:rPr>
          <w:rFonts w:ascii="Arial" w:cs="Arial" w:eastAsia="Arial" w:hAnsi="Arial"/>
          <w:sz w:val="16"/>
          <w:szCs w:val="16"/>
          <w:color w:val="auto"/>
        </w:rPr>
        <w:t xml:space="preserve">and, in the case of a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Borrowing or Foreign Currency Borrowing (other than a Foreign Currency Borrowing denominated in an RFR Currency), shall have an initial Interest Period as specified in such Borrowing Request. Thereafter, a Borrower may</w:t>
      </w:r>
    </w:p>
    <w:p>
      <w:pPr>
        <w:spacing w:after="0" w:line="235" w:lineRule="auto"/>
        <w:rPr>
          <w:sz w:val="20"/>
          <w:szCs w:val="20"/>
          <w:color w:val="auto"/>
        </w:rPr>
      </w:pPr>
      <w:r>
        <w:rPr>
          <w:rFonts w:ascii="Arial" w:cs="Arial" w:eastAsia="Arial" w:hAnsi="Arial"/>
          <w:sz w:val="18"/>
          <w:szCs w:val="18"/>
          <w:color w:val="auto"/>
        </w:rPr>
        <w:t xml:space="preserve">elect to convert such Borrowing to a different Type or to continue such Borrowing and,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or</w:t>
      </w:r>
    </w:p>
    <w:p>
      <w:pPr>
        <w:ind w:right="180"/>
        <w:spacing w:after="0" w:line="226" w:lineRule="auto"/>
        <w:rPr>
          <w:sz w:val="20"/>
          <w:szCs w:val="20"/>
          <w:color w:val="auto"/>
        </w:rPr>
      </w:pPr>
      <w:r>
        <w:rPr>
          <w:rFonts w:ascii="Arial" w:cs="Arial" w:eastAsia="Arial" w:hAnsi="Arial"/>
          <w:sz w:val="18"/>
          <w:szCs w:val="18"/>
          <w:color w:val="auto"/>
        </w:rPr>
        <w:t xml:space="preserve">a Foreign Currency Borrowing, may elect Interest Periods therefor, all as provided in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 no Foreign Currency Borrowing may be converted into an ABR Borrowing,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or a Foreign Currency Borrowing that</w:t>
      </w:r>
    </w:p>
    <w:p>
      <w:pPr>
        <w:spacing w:after="0" w:line="224" w:lineRule="auto"/>
        <w:rPr>
          <w:sz w:val="20"/>
          <w:szCs w:val="20"/>
          <w:color w:val="auto"/>
        </w:rPr>
      </w:pPr>
      <w:r>
        <w:rPr>
          <w:rFonts w:ascii="Arial" w:cs="Arial" w:eastAsia="Arial" w:hAnsi="Arial"/>
          <w:sz w:val="19"/>
          <w:szCs w:val="19"/>
          <w:color w:val="auto"/>
        </w:rPr>
        <w:t xml:space="preserve">is denominated in a different Designated Foreign Currency, and (ii) any conversion of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into an ABR</w:t>
      </w:r>
    </w:p>
    <w:p>
      <w:pPr>
        <w:ind w:right="360"/>
        <w:spacing w:after="0" w:line="226" w:lineRule="auto"/>
        <w:rPr>
          <w:sz w:val="20"/>
          <w:szCs w:val="20"/>
          <w:color w:val="auto"/>
        </w:rPr>
      </w:pPr>
      <w:r>
        <w:rPr>
          <w:rFonts w:ascii="Arial" w:cs="Arial" w:eastAsia="Arial" w:hAnsi="Arial"/>
          <w:sz w:val="18"/>
          <w:szCs w:val="18"/>
          <w:color w:val="auto"/>
        </w:rPr>
        <w:t xml:space="preserve">Borrowing shall be made on, and only on, the last day of an Interest Period for such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A Borrower may elect different options with respect to different portions of the affected Borrowing, in which case each such portion shall be allocated ratably</w:t>
      </w:r>
    </w:p>
    <w:p>
      <w:pPr>
        <w:spacing w:after="0" w:line="2"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among the Lenders holding the Loans comprising such Borrowing, and the Loans comprising each such portion shall be considered a separate Borrowing. This Section shall not apply to Swingline Borrowings, which may not be converted or continued.</w:t>
      </w:r>
    </w:p>
    <w:p>
      <w:pPr>
        <w:spacing w:after="0" w:line="133" w:lineRule="exact"/>
        <w:rPr>
          <w:sz w:val="20"/>
          <w:szCs w:val="20"/>
          <w:color w:val="auto"/>
        </w:rPr>
      </w:pPr>
    </w:p>
    <w:p>
      <w:pPr>
        <w:ind w:right="20" w:firstLine="1304"/>
        <w:spacing w:after="0" w:line="237" w:lineRule="auto"/>
        <w:tabs>
          <w:tab w:leader="none" w:pos="172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applicable Borrower shall notify the Administrative Agent of such request by telephone (i) in the case of a conversion from or continuation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not later than 1:00 p.m., New York City time, two Business Days before the date of the proposed Borrowing, (ii) in the case of a conversion from or continuation of a Foreign Currency Borrowing, not later than 1:00 p.m., New York City time, three Business Days (or in the case of a Foreign Currency Borrowing designated in Yen, four Business Days) before the date of the proposed Borrowing, and (iii) in the case of a conversion to an ABR Borrowing, not later than 11:00 a.m., New York City time, on the date of the proposed Borrowing. Each such telephonic Interest Election Request shall be irrevocable and shall be confirmed promptly by hand delivery or telecopy to the Administrative Agent of a written Interest Election Request in a form approved by the Administrative Agent and signed by such Borrower.</w:t>
      </w:r>
    </w:p>
    <w:p>
      <w:pPr>
        <w:spacing w:after="0" w:line="160" w:lineRule="exact"/>
        <w:rPr>
          <w:rFonts w:ascii="Arial" w:cs="Arial" w:eastAsia="Arial" w:hAnsi="Arial"/>
          <w:sz w:val="18"/>
          <w:szCs w:val="18"/>
          <w:color w:val="auto"/>
        </w:rPr>
      </w:pPr>
    </w:p>
    <w:p>
      <w:pPr>
        <w:ind w:left="1720" w:hanging="416"/>
        <w:spacing w:after="0"/>
        <w:tabs>
          <w:tab w:leader="none" w:pos="17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 with</w:t>
      </w:r>
    </w:p>
    <w:p>
      <w:pPr>
        <w:spacing w:after="0"/>
        <w:rPr>
          <w:rFonts w:ascii="Arial" w:cs="Arial" w:eastAsia="Arial" w:hAnsi="Arial"/>
          <w:sz w:val="19"/>
          <w:szCs w:val="19"/>
          <w:color w:val="auto"/>
        </w:rPr>
      </w:pPr>
      <w:r>
        <w:rPr>
          <w:rFonts w:ascii="Arial" w:cs="Arial" w:eastAsia="Arial" w:hAnsi="Arial"/>
          <w:sz w:val="20"/>
          <w:szCs w:val="20"/>
          <w:color w:val="auto"/>
        </w:rPr>
        <w:t>Section 2.02:</w:t>
      </w:r>
    </w:p>
    <w:p>
      <w:pPr>
        <w:spacing w:after="0" w:line="172" w:lineRule="exact"/>
        <w:rPr>
          <w:rFonts w:ascii="Arial" w:cs="Arial" w:eastAsia="Arial" w:hAnsi="Arial"/>
          <w:sz w:val="19"/>
          <w:szCs w:val="19"/>
          <w:color w:val="auto"/>
        </w:rPr>
      </w:pPr>
    </w:p>
    <w:p>
      <w:pPr>
        <w:ind w:left="660" w:firstLine="1292"/>
        <w:spacing w:after="0" w:line="235" w:lineRule="auto"/>
        <w:tabs>
          <w:tab w:leader="none" w:pos="2341"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6" w:lineRule="exact"/>
        <w:rPr>
          <w:rFonts w:ascii="Arial" w:cs="Arial" w:eastAsia="Arial" w:hAnsi="Arial"/>
          <w:sz w:val="19"/>
          <w:szCs w:val="19"/>
          <w:color w:val="auto"/>
        </w:rPr>
      </w:pPr>
    </w:p>
    <w:p>
      <w:pPr>
        <w:ind w:left="2400" w:hanging="448"/>
        <w:spacing w:after="0"/>
        <w:tabs>
          <w:tab w:leader="none" w:pos="24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w:t>
      </w:r>
    </w:p>
    <w:p>
      <w:pPr>
        <w:ind w:left="660"/>
        <w:spacing w:after="0"/>
        <w:rPr>
          <w:rFonts w:ascii="Arial" w:cs="Arial" w:eastAsia="Arial" w:hAnsi="Arial"/>
          <w:sz w:val="18"/>
          <w:szCs w:val="18"/>
          <w:color w:val="auto"/>
        </w:rPr>
      </w:pPr>
      <w:r>
        <w:rPr>
          <w:rFonts w:ascii="Arial" w:cs="Arial" w:eastAsia="Arial" w:hAnsi="Arial"/>
          <w:sz w:val="20"/>
          <w:szCs w:val="20"/>
          <w:color w:val="auto"/>
        </w:rPr>
        <w:t>Day;</w:t>
      </w:r>
    </w:p>
    <w:p>
      <w:pPr>
        <w:spacing w:after="0" w:line="172" w:lineRule="exact"/>
        <w:rPr>
          <w:rFonts w:ascii="Arial" w:cs="Arial" w:eastAsia="Arial" w:hAnsi="Arial"/>
          <w:sz w:val="18"/>
          <w:szCs w:val="18"/>
          <w:color w:val="auto"/>
        </w:rPr>
      </w:pPr>
    </w:p>
    <w:p>
      <w:pPr>
        <w:ind w:left="660" w:right="40" w:firstLine="1292"/>
        <w:spacing w:after="0" w:line="236" w:lineRule="auto"/>
        <w:tabs>
          <w:tab w:leader="none" w:pos="2451" w:val="left"/>
        </w:tabs>
        <w:numPr>
          <w:ilvl w:val="1"/>
          <w:numId w:val="143"/>
        </w:numPr>
        <w:rPr>
          <w:rFonts w:ascii="Arial" w:cs="Arial" w:eastAsia="Arial" w:hAnsi="Arial"/>
          <w:sz w:val="20"/>
          <w:szCs w:val="20"/>
          <w:color w:val="auto"/>
        </w:rPr>
      </w:pPr>
      <w:r>
        <w:rPr>
          <w:rFonts w:ascii="Arial" w:cs="Arial" w:eastAsia="Arial" w:hAnsi="Arial"/>
          <w:sz w:val="20"/>
          <w:szCs w:val="20"/>
          <w:color w:val="auto"/>
        </w:rPr>
        <w:t xml:space="preserve">whether the resulting Borrowing is to be an ABR Borrowing,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or a Foreign Currency Borrowing; and</w:t>
      </w:r>
    </w:p>
    <w:p>
      <w:pPr>
        <w:spacing w:after="0" w:line="155" w:lineRule="exact"/>
        <w:rPr>
          <w:rFonts w:ascii="Arial" w:cs="Arial" w:eastAsia="Arial" w:hAnsi="Arial"/>
          <w:sz w:val="20"/>
          <w:szCs w:val="20"/>
          <w:color w:val="auto"/>
        </w:rPr>
      </w:pPr>
    </w:p>
    <w:p>
      <w:pPr>
        <w:ind w:left="660" w:right="40" w:firstLine="1292"/>
        <w:spacing w:after="0" w:line="239" w:lineRule="auto"/>
        <w:tabs>
          <w:tab w:leader="none" w:pos="244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if the resulting Borrowing is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Borrowing or a Foreign Currency Borrowing (other than a Foreign Currency Borrowing denominated in an RFR Currency), the Interest Period to be applicable thereto after giving effect to such election, which shall be a period contemplated by the definition of the term “</w:t>
      </w:r>
      <w:r>
        <w:rPr>
          <w:rFonts w:ascii="Arial" w:cs="Arial" w:eastAsia="Arial" w:hAnsi="Arial"/>
          <w:sz w:val="19"/>
          <w:szCs w:val="19"/>
          <w:b w:val="1"/>
          <w:bCs w:val="1"/>
          <w:i w:val="1"/>
          <w:iCs w:val="1"/>
          <w:color w:val="auto"/>
        </w:rPr>
        <w:t>Interest Period</w:t>
      </w:r>
      <w:r>
        <w:rPr>
          <w:rFonts w:ascii="Arial" w:cs="Arial" w:eastAsia="Arial" w:hAnsi="Arial"/>
          <w:sz w:val="19"/>
          <w:szCs w:val="19"/>
          <w:color w:val="auto"/>
        </w:rPr>
        <w:t>”.</w:t>
      </w:r>
    </w:p>
    <w:p>
      <w:pPr>
        <w:spacing w:after="0" w:line="157" w:lineRule="exact"/>
        <w:rPr>
          <w:sz w:val="20"/>
          <w:szCs w:val="20"/>
          <w:color w:val="auto"/>
        </w:rPr>
      </w:pPr>
    </w:p>
    <w:p>
      <w:pPr>
        <w:ind w:right="240" w:firstLine="648"/>
        <w:spacing w:after="0" w:line="227" w:lineRule="auto"/>
        <w:rPr>
          <w:sz w:val="20"/>
          <w:szCs w:val="20"/>
          <w:color w:val="auto"/>
        </w:rPr>
      </w:pPr>
      <w:r>
        <w:rPr>
          <w:rFonts w:ascii="Arial" w:cs="Arial" w:eastAsia="Arial" w:hAnsi="Arial"/>
          <w:sz w:val="20"/>
          <w:szCs w:val="20"/>
          <w:color w:val="auto"/>
        </w:rPr>
        <w:t xml:space="preserve">If any such Interest Election Request requests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or Foreign Currency Borrowing (other than a Foreign Currency Borrowing denominated in an RFR Currency) but does not specify an Interest Period, then the applicable Borrower shall be deemed to have selected an Interest Period of one month’s duration.</w:t>
      </w:r>
    </w:p>
    <w:p>
      <w:pPr>
        <w:spacing w:after="0" w:line="157" w:lineRule="exact"/>
        <w:rPr>
          <w:sz w:val="20"/>
          <w:szCs w:val="20"/>
          <w:color w:val="auto"/>
        </w:rPr>
      </w:pPr>
    </w:p>
    <w:p>
      <w:pPr>
        <w:ind w:right="260" w:firstLine="1304"/>
        <w:spacing w:after="0" w:line="236" w:lineRule="auto"/>
        <w:tabs>
          <w:tab w:leader="none" w:pos="172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68" w:lineRule="exact"/>
        <w:rPr>
          <w:rFonts w:ascii="Arial" w:cs="Arial" w:eastAsia="Arial" w:hAnsi="Arial"/>
          <w:sz w:val="20"/>
          <w:szCs w:val="20"/>
          <w:color w:val="auto"/>
        </w:rPr>
      </w:pPr>
    </w:p>
    <w:p>
      <w:pPr>
        <w:ind w:right="400" w:firstLine="1304"/>
        <w:spacing w:after="0" w:line="229" w:lineRule="auto"/>
        <w:tabs>
          <w:tab w:leader="none" w:pos="171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If a Borrower fails to deliver a timely Interest Election Request with respect to a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prior to the end of the Interest Period applicable thereto, then,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394"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such Borrowing is repaid as provided herein, at the end of such Interest Period such Borrowing shall be converted to an ABR Borrowing. If a</w:t>
      </w:r>
    </w:p>
    <w:p>
      <w:pPr>
        <w:spacing w:after="0" w:line="12"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Borrower fails to deliver a timely Interest Election Request with respect to a Foreign Currency Borrowing prior to the end of the Interest Period applicable thereto, then such Borrower shall be required to repay such Foreign Currency Borrowing in full. Notwithstanding any</w:t>
      </w:r>
    </w:p>
    <w:p>
      <w:pPr>
        <w:spacing w:after="0" w:line="236" w:lineRule="auto"/>
        <w:rPr>
          <w:sz w:val="20"/>
          <w:szCs w:val="20"/>
          <w:color w:val="auto"/>
        </w:rPr>
      </w:pPr>
      <w:r>
        <w:rPr>
          <w:rFonts w:ascii="Arial" w:cs="Arial" w:eastAsia="Arial" w:hAnsi="Arial"/>
          <w:sz w:val="18"/>
          <w:szCs w:val="18"/>
          <w:color w:val="auto"/>
        </w:rPr>
        <w:t>contrary provision hereof, if an Event of Default has occurred and is continuing and the Administrative Agent, at the request of the Required</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 xml:space="preserve">Facility Lenders under the applicable Facility, so notifies the applicable Borrower, then, so long as an Event of Default is continuing (i) no outstanding Borrowing under such Facility may be converted to or continued as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Borrowing or Foreign Currency</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 xml:space="preserve">Borrowing and (ii) unless repaid, each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shall be converted to an ABR Borrowing at the end of the Interest Period applicable thereto and (iii) each Foreign Currency Borrowing shall be required to be repaid in full.</w:t>
      </w:r>
    </w:p>
    <w:p>
      <w:pPr>
        <w:spacing w:after="0" w:line="156" w:lineRule="exact"/>
        <w:rPr>
          <w:sz w:val="20"/>
          <w:szCs w:val="20"/>
          <w:color w:val="auto"/>
        </w:rPr>
      </w:pPr>
    </w:p>
    <w:p>
      <w:pPr>
        <w:jc w:val="both"/>
        <w:ind w:right="320" w:firstLine="648"/>
        <w:spacing w:after="0" w:line="227"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Termination and Reduction of Commitments</w:t>
      </w:r>
      <w:r>
        <w:rPr>
          <w:rFonts w:ascii="Arial" w:cs="Arial" w:eastAsia="Arial" w:hAnsi="Arial"/>
          <w:sz w:val="20"/>
          <w:szCs w:val="20"/>
          <w:color w:val="auto"/>
        </w:rPr>
        <w:t>. (a) Unless previously terminated, the Revolving Commitments shall terminate on the Revolving Maturity Date and (b) the Term Loan Commitments shall terminate following the funding of the Borrowings made on the Closing Date as provided in Section 2.01(b).</w:t>
      </w:r>
    </w:p>
    <w:p>
      <w:pPr>
        <w:spacing w:after="0" w:line="157" w:lineRule="exact"/>
        <w:rPr>
          <w:sz w:val="20"/>
          <w:szCs w:val="20"/>
          <w:color w:val="auto"/>
        </w:rPr>
      </w:pPr>
    </w:p>
    <w:p>
      <w:pPr>
        <w:ind w:right="400" w:firstLine="1304"/>
        <w:spacing w:after="0" w:line="218" w:lineRule="auto"/>
        <w:tabs>
          <w:tab w:leader="none" w:pos="172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The Revolving Borrowers may at any time terminate, or from time to time reduce, the Revolving Commitments;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 each reduction of the Commitments shall be in an amount that is an integral multiple of $1,000,000 and not less than</w:t>
      </w:r>
      <w:r>
        <w:rPr>
          <w:rFonts w:ascii="Arial" w:cs="Arial" w:eastAsia="Arial" w:hAnsi="Arial"/>
          <w:sz w:val="20"/>
          <w:szCs w:val="20"/>
          <w:i w:val="1"/>
          <w:iCs w:val="1"/>
          <w:color w:val="auto"/>
        </w:rPr>
        <w:t xml:space="preserve"> </w:t>
      </w:r>
      <w:r>
        <w:rPr>
          <w:rFonts w:ascii="Arial" w:cs="Arial" w:eastAsia="Arial" w:hAnsi="Arial"/>
          <w:sz w:val="20"/>
          <w:szCs w:val="20"/>
          <w:color w:val="auto"/>
        </w:rPr>
        <w:t>$50,000,000 and (ii) the Revolving Borrowers shall not terminate or reduce the Revolving Commitments if, after giving effect to any concurrent prepayment of the Loans in accordance with Section 2.11, the sum of the Revolving Credit Exposures would exceed the total Revolving Commitments.</w:t>
      </w:r>
    </w:p>
    <w:p>
      <w:pPr>
        <w:spacing w:after="0" w:line="170" w:lineRule="exact"/>
        <w:rPr>
          <w:rFonts w:ascii="Arial" w:cs="Arial" w:eastAsia="Arial" w:hAnsi="Arial"/>
          <w:sz w:val="20"/>
          <w:szCs w:val="20"/>
          <w:color w:val="auto"/>
        </w:rPr>
      </w:pPr>
    </w:p>
    <w:p>
      <w:pPr>
        <w:ind w:right="160" w:firstLine="1304"/>
        <w:spacing w:after="0" w:line="223" w:lineRule="auto"/>
        <w:tabs>
          <w:tab w:leader="none" w:pos="171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The Revolving Borrowers shall notify the Administrative Agent of any election to terminate or reduce the Commitments under paragraph (b) of this Section at least three Business Days prior to the effective date of such termination or reduction, specifying such election and the Closing Date thereof. Promptly following receipt of any notice, the Administrative Agent shall advise the Lenders of the contents thereof. Each notice delivered by a Borrower pursuant to this Section shall be irrevocable;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notice of termination of the Revolving Commitments delivered by the Revolving Borrowers may state that such notice is conditioned upon the effectiveness of other credit facilities, in which case such notice may be revoked by the Revolving Borrowers (by notice to the Administrative Agent on or prior to the specified closing date) if such condition is not satisfied. Any termination or reduction of the Commitments shall be permanent. Each reduction of the Commitments under a particular Facility shall be made ratably among the Lenders in accordance with their respective Commitments under such Facility.</w:t>
      </w:r>
    </w:p>
    <w:p>
      <w:pPr>
        <w:spacing w:after="0" w:line="157"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(a) (i) Each Revolving Borrower hereby unconditionally promises to pay to the Administrative Agent for the account of each Revolving Lender, the then unpaid principal amount of each Revolving Loan on the</w:t>
      </w:r>
    </w:p>
    <w:p>
      <w:pPr>
        <w:ind w:right="160"/>
        <w:spacing w:after="0" w:line="226" w:lineRule="auto"/>
        <w:rPr>
          <w:sz w:val="20"/>
          <w:szCs w:val="20"/>
          <w:color w:val="auto"/>
        </w:rPr>
      </w:pPr>
      <w:r>
        <w:rPr>
          <w:rFonts w:ascii="Arial" w:cs="Arial" w:eastAsia="Arial" w:hAnsi="Arial"/>
          <w:sz w:val="18"/>
          <w:szCs w:val="18"/>
          <w:color w:val="auto"/>
        </w:rPr>
        <w:t>Revolving Maturity Date, (ii) the Term Loan Borrower hereby unconditionally promises to pay to the Administrative Agent for the account of each Term Loan Lender, the then unpaid principal amount of each Term Loan on the Term Loan Maturity Date and (iii) each Revolving</w:t>
      </w:r>
    </w:p>
    <w:p>
      <w:pPr>
        <w:spacing w:after="0" w:line="236" w:lineRule="auto"/>
        <w:rPr>
          <w:sz w:val="20"/>
          <w:szCs w:val="20"/>
          <w:color w:val="auto"/>
        </w:rPr>
      </w:pPr>
      <w:r>
        <w:rPr>
          <w:rFonts w:ascii="Arial" w:cs="Arial" w:eastAsia="Arial" w:hAnsi="Arial"/>
          <w:sz w:val="18"/>
          <w:szCs w:val="18"/>
          <w:color w:val="auto"/>
        </w:rPr>
        <w:t>Borrower hereby unconditionally promises to pay to the Swingline Lender the then unpaid principal amount of each Swingline Loan on the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 xml:space="preserve">earlier of the Revolving Maturity Date and the first date after such Swingline Loan is made that is the 15th or last day of a calendar month and is at least two Business Days after such Swingline Loan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each date that a Revolving Borrowing is made,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Revolving Borrowers shall repay all Swingline Loans then outstanding.</w:t>
      </w:r>
    </w:p>
    <w:p>
      <w:pPr>
        <w:spacing w:after="0" w:line="173" w:lineRule="exact"/>
        <w:rPr>
          <w:sz w:val="20"/>
          <w:szCs w:val="20"/>
          <w:color w:val="auto"/>
        </w:rPr>
      </w:pPr>
    </w:p>
    <w:p>
      <w:pPr>
        <w:ind w:right="20" w:firstLine="1304"/>
        <w:spacing w:after="0" w:line="223" w:lineRule="auto"/>
        <w:tabs>
          <w:tab w:leader="none" w:pos="1725" w:val="left"/>
        </w:tabs>
        <w:numPr>
          <w:ilvl w:val="0"/>
          <w:numId w:val="146"/>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68" w:lineRule="exact"/>
        <w:rPr>
          <w:rFonts w:ascii="Arial" w:cs="Arial" w:eastAsia="Arial" w:hAnsi="Arial"/>
          <w:sz w:val="20"/>
          <w:szCs w:val="20"/>
          <w:color w:val="auto"/>
        </w:rPr>
      </w:pPr>
    </w:p>
    <w:p>
      <w:pPr>
        <w:ind w:right="20" w:firstLine="1304"/>
        <w:spacing w:after="0" w:line="223" w:lineRule="auto"/>
        <w:tabs>
          <w:tab w:leader="none" w:pos="171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43</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05" w:right="379" w:bottom="1440" w:gutter="0" w:footer="0" w:header="0"/>
        </w:sectPr>
      </w:pPr>
    </w:p>
    <w:bookmarkStart w:id="172" w:name="page173"/>
    <w:bookmarkEnd w:id="172"/>
    <w:p>
      <w:pPr>
        <w:ind w:right="160"/>
        <w:spacing w:after="0" w:line="236" w:lineRule="auto"/>
        <w:rPr>
          <w:sz w:val="20"/>
          <w:szCs w:val="20"/>
          <w:color w:val="auto"/>
        </w:rPr>
      </w:pPr>
      <w:r>
        <w:rPr>
          <w:rFonts w:ascii="Arial" w:cs="Arial" w:eastAsia="Arial" w:hAnsi="Arial"/>
          <w:sz w:val="20"/>
          <w:szCs w:val="20"/>
          <w:color w:val="auto"/>
        </w:rPr>
        <w:t>the Borrowers to each Lender hereunder and (iii) the amount of any sum received by the Administrative Agent hereunder for the account of the Lenders and each Lender’s share thereof.</w:t>
      </w:r>
    </w:p>
    <w:p>
      <w:pPr>
        <w:spacing w:after="0" w:line="155" w:lineRule="exact"/>
        <w:rPr>
          <w:sz w:val="20"/>
          <w:szCs w:val="20"/>
          <w:color w:val="auto"/>
        </w:rPr>
      </w:pPr>
    </w:p>
    <w:p>
      <w:pPr>
        <w:ind w:right="400" w:firstLine="1304"/>
        <w:spacing w:after="0" w:line="220" w:lineRule="auto"/>
        <w:tabs>
          <w:tab w:leader="none" w:pos="1721"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 (b) or (c) of this Section shall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existence and amounts of the obligations recorded therein;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69" w:lineRule="exact"/>
        <w:rPr>
          <w:rFonts w:ascii="Arial" w:cs="Arial" w:eastAsia="Arial" w:hAnsi="Arial"/>
          <w:sz w:val="20"/>
          <w:szCs w:val="20"/>
          <w:color w:val="auto"/>
        </w:rPr>
      </w:pPr>
    </w:p>
    <w:p>
      <w:pPr>
        <w:ind w:right="20" w:firstLine="1304"/>
        <w:spacing w:after="0" w:line="225" w:lineRule="auto"/>
        <w:tabs>
          <w:tab w:leader="none" w:pos="170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Any Lender or the Swingline Lender may request that Loans made by it be evidenced by one or more promissory notes in substantially the form of (i) </w:t>
      </w:r>
      <w:r>
        <w:rPr>
          <w:rFonts w:ascii="Arial" w:cs="Arial" w:eastAsia="Arial" w:hAnsi="Arial"/>
          <w:sz w:val="19"/>
          <w:szCs w:val="19"/>
          <w:u w:val="single" w:color="auto"/>
          <w:color w:val="auto"/>
        </w:rPr>
        <w:t>Exhibit D-1</w:t>
      </w:r>
      <w:r>
        <w:rPr>
          <w:rFonts w:ascii="Arial" w:cs="Arial" w:eastAsia="Arial" w:hAnsi="Arial"/>
          <w:sz w:val="19"/>
          <w:szCs w:val="19"/>
          <w:color w:val="auto"/>
        </w:rPr>
        <w:t xml:space="preserve">, in the case of any Revolving Loan, (ii) </w:t>
      </w:r>
      <w:r>
        <w:rPr>
          <w:rFonts w:ascii="Arial" w:cs="Arial" w:eastAsia="Arial" w:hAnsi="Arial"/>
          <w:sz w:val="19"/>
          <w:szCs w:val="19"/>
          <w:u w:val="single" w:color="auto"/>
          <w:color w:val="auto"/>
        </w:rPr>
        <w:t>Exhibit D-2</w:t>
      </w:r>
      <w:r>
        <w:rPr>
          <w:rFonts w:ascii="Arial" w:cs="Arial" w:eastAsia="Arial" w:hAnsi="Arial"/>
          <w:sz w:val="19"/>
          <w:szCs w:val="19"/>
          <w:color w:val="auto"/>
        </w:rPr>
        <w:t xml:space="preserve">, in the case of any Term Loan, or (iii)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D-3</w:t>
      </w:r>
      <w:r>
        <w:rPr>
          <w:rFonts w:ascii="Arial" w:cs="Arial" w:eastAsia="Arial" w:hAnsi="Arial"/>
          <w:sz w:val="19"/>
          <w:szCs w:val="19"/>
          <w:color w:val="auto"/>
        </w:rPr>
        <w:t xml:space="preserve">, in the case of any Swingline Loan. In such event, the applicable Borrower shall prepare, execute and deliver to such Lender one or more promissory notes payable to the order of such Lender or the Swingline Lender (or, if requested by such Lender or the Swingline Lender, to such Lender or the Swingline Lender and its registered assigns) in substantially the form of </w:t>
      </w:r>
      <w:r>
        <w:rPr>
          <w:rFonts w:ascii="Arial" w:cs="Arial" w:eastAsia="Arial" w:hAnsi="Arial"/>
          <w:sz w:val="19"/>
          <w:szCs w:val="19"/>
          <w:u w:val="single" w:color="auto"/>
          <w:color w:val="auto"/>
        </w:rPr>
        <w:t>Exhibit D-1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D-2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D-3</w:t>
      </w:r>
      <w:r>
        <w:rPr>
          <w:rFonts w:ascii="Arial" w:cs="Arial" w:eastAsia="Arial" w:hAnsi="Arial"/>
          <w:sz w:val="19"/>
          <w:szCs w:val="19"/>
          <w:color w:val="auto"/>
        </w:rPr>
        <w:t>, as applicable. Thereafter, the Loans evidenced by such promissory note(s) and interest thereon shall at all times (including after assignment pursuant to Section 10.04) be represented by one or more promissory notes in such form payable to the order of the payee named therein (or, if such promissory note is a registered note, to such payee and its registered assigns).</w:t>
      </w:r>
    </w:p>
    <w:p>
      <w:pPr>
        <w:spacing w:after="0" w:line="157" w:lineRule="exact"/>
        <w:rPr>
          <w:sz w:val="20"/>
          <w:szCs w:val="20"/>
          <w:color w:val="auto"/>
        </w:rPr>
      </w:pPr>
    </w:p>
    <w:p>
      <w:pPr>
        <w:ind w:right="260" w:firstLine="648"/>
        <w:spacing w:after="0" w:line="227"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Prepayment of Loans</w:t>
      </w:r>
      <w:r>
        <w:rPr>
          <w:rFonts w:ascii="Arial" w:cs="Arial" w:eastAsia="Arial" w:hAnsi="Arial"/>
          <w:sz w:val="20"/>
          <w:szCs w:val="20"/>
          <w:color w:val="auto"/>
        </w:rPr>
        <w:t>. (a) Each Borrower shall have the right at any time and from time to time to prepay any Borrowing in whole or in part, without premium or penalty (except as provided in Section 2.16), subject to prior notice in accordance with paragraph (b) of this Section.</w:t>
      </w:r>
    </w:p>
    <w:p>
      <w:pPr>
        <w:spacing w:after="0" w:line="157" w:lineRule="exact"/>
        <w:rPr>
          <w:sz w:val="20"/>
          <w:szCs w:val="20"/>
          <w:color w:val="auto"/>
        </w:rPr>
      </w:pPr>
    </w:p>
    <w:p>
      <w:pPr>
        <w:ind w:firstLine="1304"/>
        <w:spacing w:after="0" w:line="234" w:lineRule="auto"/>
        <w:tabs>
          <w:tab w:leader="none" w:pos="172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applicable Borrower shall notify the Administrative Agent (and, in the case of prepayment of a Swingline Loan, the Swingline Lender) by telephone (confirmed by telecopy) of any prepayment hereunder (i) in the case of prepayment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Borrowing or a Foreign Currency Borrowing, not later than 1:00 p.m., New York City time, two Business Days before the date of</w:t>
      </w:r>
      <w:r>
        <w:rPr>
          <w:rFonts w:ascii="Arial" w:cs="Arial" w:eastAsia="Arial" w:hAnsi="Arial"/>
          <w:sz w:val="18"/>
          <w:szCs w:val="18"/>
          <w:color w:val="0000FF"/>
        </w:rPr>
        <w:t xml:space="preserve"> </w:t>
      </w:r>
      <w:r>
        <w:rPr>
          <w:rFonts w:ascii="Arial" w:cs="Arial" w:eastAsia="Arial" w:hAnsi="Arial"/>
          <w:sz w:val="18"/>
          <w:szCs w:val="18"/>
          <w:color w:val="000000"/>
        </w:rPr>
        <w:t xml:space="preserve">prepayment, (ii) in the case of prepayment of an ABR Borrowing, not later than 1:00 p.m., New York City time, one Business Day before the date of prepayment or (iii) in the case of prepayment of a Swingline Loan, not later than 1:00 p.m., New York City time, on the date of prepayment. Each such notice shall be irrevocable and shall specify the prepayment date and the principal amount of each Borrowing or portion thereof to be prepaid;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Borrowing, the Administrative Agent shall advise the applicable Lenders of the contents thereof. Each partial prepayment of any Borrowing shall be in an amount that would be permitted in the case of an advance of a Borrowing of the same Type and Class as provided in Section 2.02. Each prepayment of a Borrowing shall be applied ratably to the applicable Loans included in the prepaid Borrowing. Prepayments shall be accompanied by accrued interest to the extent required by Section 2.13. Any portion of the Term Loan that is prepaid may not be reborrowed.</w:t>
      </w:r>
    </w:p>
    <w:p>
      <w:pPr>
        <w:spacing w:after="0" w:line="170" w:lineRule="exact"/>
        <w:rPr>
          <w:rFonts w:ascii="Arial" w:cs="Arial" w:eastAsia="Arial" w:hAnsi="Arial"/>
          <w:sz w:val="18"/>
          <w:szCs w:val="18"/>
          <w:color w:val="auto"/>
        </w:rPr>
      </w:pPr>
    </w:p>
    <w:p>
      <w:pPr>
        <w:ind w:right="160" w:firstLine="1304"/>
        <w:spacing w:after="0" w:line="235" w:lineRule="auto"/>
        <w:tabs>
          <w:tab w:leader="none" w:pos="171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If at any time, solely as a result of fluctuations in currency exchange rates, the sum of the total Revolving Credit Exposures exceeds 105% of the total Revolving Commitments, the Borrowers shall immediately repay Borrowings or cash collateralize LC Exposure pursuant to Section 2.06(j), as applicable, in an aggregate principal amount equal to such excess.</w:t>
      </w:r>
    </w:p>
    <w:p>
      <w:pPr>
        <w:spacing w:after="0" w:line="16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(a) From the Closing Date until the last day of the Availability Period, the Revolving Borrowers agree to pay to the Administrative Agent, for the account of each Revolving Lender, a commitment fee for the period from and including the Closing Date to</w:t>
      </w:r>
    </w:p>
    <w:p>
      <w:pPr>
        <w:spacing w:after="0" w:line="222" w:lineRule="auto"/>
        <w:rPr>
          <w:sz w:val="20"/>
          <w:szCs w:val="20"/>
          <w:color w:val="auto"/>
        </w:rPr>
      </w:pPr>
      <w:r>
        <w:rPr>
          <w:rFonts w:ascii="Arial" w:cs="Arial" w:eastAsia="Arial" w:hAnsi="Arial"/>
          <w:sz w:val="19"/>
          <w:szCs w:val="19"/>
          <w:color w:val="auto"/>
        </w:rPr>
        <w:t>the last day of the Availability Period, computed at the Commitment Fee Rate on the average daily amount of the Available Revolving</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Commitment of such Revolving Lender during the period for which payment is made, payable quarterly in arrears on each last day of each March, June, September and December of each year and on the date on which the Commitments terminate, commencing on the first such</w:t>
      </w:r>
    </w:p>
    <w:p>
      <w:pPr>
        <w:spacing w:after="0" w:line="1"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date to occur after the Closing Date. All commitment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73" w:name="page174"/>
    <w:bookmarkEnd w:id="173"/>
    <w:p>
      <w:pPr>
        <w:ind w:right="20" w:firstLine="1304"/>
        <w:spacing w:after="0" w:line="233" w:lineRule="auto"/>
        <w:tabs>
          <w:tab w:leader="none" w:pos="172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Revolving Borrowers agree to pay (i) to the Administrative Agent for the account of each Revolving Lender a participation fee with respect to its participations in Letters of Credit, which shall accrue at the same Applicable Rate used to determine the interest rate applicable to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Revolving Loans (or Foreign Currency Loans in the case of a Letter of Credit denominated in a Designated Foreign Currency) on the average daily amount of such Revolving Lender’s LC Exposure (excluding any portion thereof attributable to unreimbursed LC Disbursements) during the period from and including the Closing Date to but excluding the later of the date on which such Lender’s Revolving Commitment terminates and the date on which such Lender ceases to have any LC Exposure, and (ii) to the Issuing Bank a fronting fee, which shall accrue at the rate or rates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separately agreed upon between the Revolving Borrowers and the Issuing Bank on the average daily amount of the LC Exposure (excluding any portion thereof attributable to unreimbursed LC Disbursements) during the period from and including the Closing Date to but excluding the later of the date of termination of the Revolving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61" w:lineRule="exact"/>
        <w:rPr>
          <w:rFonts w:ascii="Arial" w:cs="Arial" w:eastAsia="Arial" w:hAnsi="Arial"/>
          <w:sz w:val="18"/>
          <w:szCs w:val="18"/>
          <w:color w:val="auto"/>
        </w:rPr>
      </w:pPr>
    </w:p>
    <w:p>
      <w:pPr>
        <w:ind w:right="20" w:firstLine="1304"/>
        <w:spacing w:after="0" w:line="223" w:lineRule="auto"/>
        <w:tabs>
          <w:tab w:leader="none" w:pos="171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Borrowers agree to pay to the Administrative Agent, for its own account, fees payable in the amounts and at the times specified in the Administrative Agent Fee Letter or as otherwise separately agreed upon between the Borrowers and the Administrative Agent.</w:t>
      </w:r>
    </w:p>
    <w:p>
      <w:pPr>
        <w:spacing w:after="0" w:line="168" w:lineRule="exact"/>
        <w:rPr>
          <w:rFonts w:ascii="Arial" w:cs="Arial" w:eastAsia="Arial" w:hAnsi="Arial"/>
          <w:sz w:val="20"/>
          <w:szCs w:val="20"/>
          <w:color w:val="auto"/>
        </w:rPr>
      </w:pPr>
    </w:p>
    <w:p>
      <w:pPr>
        <w:ind w:right="120" w:firstLine="1304"/>
        <w:spacing w:after="0" w:line="223" w:lineRule="auto"/>
        <w:tabs>
          <w:tab w:leader="none" w:pos="171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(or to the Issuing Bank, in the case of fees payable to it) for distribution, in the case of facility fees and participation fees, to the applicable Lenders. Fees paid shall not be refundable under any circumstances.</w:t>
      </w:r>
    </w:p>
    <w:p>
      <w:pPr>
        <w:spacing w:after="0" w:line="157"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 (a) The Loans comprising each ABR Borrowing shall bear interest at the Alternate Base Rate plus the</w:t>
      </w:r>
    </w:p>
    <w:p>
      <w:pPr>
        <w:jc w:val="center"/>
        <w:ind w:right="20"/>
        <w:spacing w:after="0" w:line="219" w:lineRule="auto"/>
        <w:rPr>
          <w:sz w:val="20"/>
          <w:szCs w:val="20"/>
          <w:color w:val="auto"/>
        </w:rPr>
      </w:pPr>
      <w:r>
        <w:rPr>
          <w:rFonts w:ascii="Arial" w:cs="Arial" w:eastAsia="Arial" w:hAnsi="Arial"/>
          <w:sz w:val="18"/>
          <w:szCs w:val="18"/>
          <w:color w:val="auto"/>
        </w:rPr>
        <w:t>Applicable Rate. Swingline Loans shall bear interest (i) at a rate of interest agreed to in writing by the Company and the Swingline Lender or</w:t>
      </w:r>
    </w:p>
    <w:p>
      <w:pPr>
        <w:ind w:left="300" w:hanging="292"/>
        <w:spacing w:after="0"/>
        <w:tabs>
          <w:tab w:leader="none" w:pos="3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 such rate of interest is not agreed upon, the Alternate Base Rate plus the Applicable Rate.</w:t>
      </w:r>
    </w:p>
    <w:p>
      <w:pPr>
        <w:spacing w:after="0" w:line="172" w:lineRule="exact"/>
        <w:rPr>
          <w:rFonts w:ascii="Arial" w:cs="Arial" w:eastAsia="Arial" w:hAnsi="Arial"/>
          <w:sz w:val="20"/>
          <w:szCs w:val="20"/>
          <w:color w:val="auto"/>
        </w:rPr>
      </w:pPr>
    </w:p>
    <w:p>
      <w:pPr>
        <w:ind w:right="480" w:firstLine="1304"/>
        <w:spacing w:after="0" w:line="236" w:lineRule="auto"/>
        <w:tabs>
          <w:tab w:leader="none" w:pos="1721" w:val="left"/>
        </w:tabs>
        <w:numPr>
          <w:ilvl w:val="1"/>
          <w:numId w:val="150"/>
        </w:numPr>
        <w:rPr>
          <w:rFonts w:ascii="Arial" w:cs="Arial" w:eastAsia="Arial" w:hAnsi="Arial"/>
          <w:sz w:val="20"/>
          <w:szCs w:val="20"/>
          <w:color w:val="auto"/>
        </w:rPr>
      </w:pPr>
      <w:r>
        <w:rPr>
          <w:rFonts w:ascii="Arial" w:cs="Arial" w:eastAsia="Arial" w:hAnsi="Arial"/>
          <w:sz w:val="20"/>
          <w:szCs w:val="20"/>
          <w:color w:val="auto"/>
        </w:rPr>
        <w:t xml:space="preserve">The Loans comprising each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shall bear interest at </w:t>
      </w:r>
      <w:r>
        <w:rPr>
          <w:rFonts w:ascii="Arial" w:cs="Arial" w:eastAsia="Arial" w:hAnsi="Arial"/>
          <w:sz w:val="20"/>
          <w:szCs w:val="20"/>
          <w:color w:val="FF0000"/>
          <w:strike w:val="1"/>
        </w:rPr>
        <w:t>the</w:t>
      </w:r>
      <w:r>
        <w:rPr>
          <w:rFonts w:ascii="Arial" w:cs="Arial" w:eastAsia="Arial" w:hAnsi="Arial"/>
          <w:sz w:val="20"/>
          <w:szCs w:val="20"/>
          <w:color w:val="auto"/>
        </w:rPr>
        <w:t xml:space="preserve"> Adjusted </w:t>
      </w:r>
      <w:r>
        <w:rPr>
          <w:rFonts w:ascii="Arial" w:cs="Arial" w:eastAsia="Arial" w:hAnsi="Arial"/>
          <w:sz w:val="20"/>
          <w:szCs w:val="20"/>
          <w:color w:val="FF0000"/>
          <w:strike w:val="1"/>
        </w:rPr>
        <w:t>LIBO Rate</w:t>
      </w:r>
      <w:r>
        <w:rPr>
          <w:rFonts w:ascii="Arial" w:cs="Arial" w:eastAsia="Arial" w:hAnsi="Arial"/>
          <w:sz w:val="20"/>
          <w:szCs w:val="20"/>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SOFR</w:t>
      </w:r>
      <w:r>
        <w:rPr>
          <w:rFonts w:ascii="Arial" w:cs="Arial" w:eastAsia="Arial" w:hAnsi="Arial"/>
          <w:sz w:val="20"/>
          <w:szCs w:val="20"/>
          <w:color w:val="0000FF"/>
        </w:rPr>
        <w:t xml:space="preserve"> </w:t>
      </w:r>
      <w:r>
        <w:rPr>
          <w:rFonts w:ascii="Arial" w:cs="Arial" w:eastAsia="Arial" w:hAnsi="Arial"/>
          <w:sz w:val="20"/>
          <w:szCs w:val="20"/>
          <w:color w:val="000000"/>
        </w:rPr>
        <w:t>for the Interest Period in effect for such Borrowing plus the Applicable Rate.</w:t>
      </w:r>
    </w:p>
    <w:p>
      <w:pPr>
        <w:spacing w:after="0" w:line="155" w:lineRule="exact"/>
        <w:rPr>
          <w:rFonts w:ascii="Arial" w:cs="Arial" w:eastAsia="Arial" w:hAnsi="Arial"/>
          <w:sz w:val="20"/>
          <w:szCs w:val="20"/>
          <w:color w:val="auto"/>
        </w:rPr>
      </w:pPr>
    </w:p>
    <w:p>
      <w:pPr>
        <w:ind w:right="100" w:firstLine="1304"/>
        <w:spacing w:after="0" w:line="236" w:lineRule="auto"/>
        <w:tabs>
          <w:tab w:leader="none" w:pos="171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The Loans comprising each Foreign Currency Borrowing shall bear interest at the Adjusted Foreign Currency Rate for the Interest Period in effect, if applicable, for such Borrowing plus the Applicable Rate.</w:t>
      </w:r>
    </w:p>
    <w:p>
      <w:pPr>
        <w:spacing w:after="0" w:line="168" w:lineRule="exact"/>
        <w:rPr>
          <w:rFonts w:ascii="Arial" w:cs="Arial" w:eastAsia="Arial" w:hAnsi="Arial"/>
          <w:sz w:val="20"/>
          <w:szCs w:val="20"/>
          <w:color w:val="auto"/>
        </w:rPr>
      </w:pPr>
    </w:p>
    <w:p>
      <w:pPr>
        <w:ind w:firstLine="1304"/>
        <w:spacing w:after="0" w:line="227" w:lineRule="auto"/>
        <w:tabs>
          <w:tab w:leader="none" w:pos="172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 Event of Default under Section 7.01(a), (b), (h) or (i) has occurred and is continuing, all overdue Obligations (which shall include all Obligations following an acceleration under Section 7.01, including an automatic acceleration) shall bear interest, after as well as before judgment, at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(i) in the case of overdue principal of any Loan, 2% plus the rate otherwise applicable to such Loan as provided in the preceding paragraphs of this Section or (ii) in the case of any other amount, 2% plus the rate applicable to ABR Revolving Loans as provided in paragraph (a) of this Section.</w:t>
      </w:r>
    </w:p>
    <w:p>
      <w:pPr>
        <w:spacing w:after="0" w:line="168" w:lineRule="exact"/>
        <w:rPr>
          <w:rFonts w:ascii="Arial" w:cs="Arial" w:eastAsia="Arial" w:hAnsi="Arial"/>
          <w:sz w:val="19"/>
          <w:szCs w:val="19"/>
          <w:color w:val="auto"/>
        </w:rPr>
      </w:pPr>
    </w:p>
    <w:p>
      <w:pPr>
        <w:ind w:right="80" w:firstLine="1304"/>
        <w:spacing w:after="0" w:line="252" w:lineRule="auto"/>
        <w:tabs>
          <w:tab w:leader="none" w:pos="170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interest accrued pursuant to paragraph (d) of this Section shall be payable on demand, (ii) in the event of any repayment or prepayment of any Loan (other than a prepayment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05" w:right="3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ABR Revolving Loan prior to the end of the Availability Period), accrued interest on the principal amount repaid or prepaid shall be payable</w:t>
      </w:r>
    </w:p>
    <w:p>
      <w:pPr>
        <w:spacing w:after="0" w:line="1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 xml:space="preserve">on the date of such repayment or prepayment and (iii) in the event of any conversion of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prior to the end of the current Interest Period therefor, accrued interest on such Loan shall be payable on the effective date of such conversion.</w:t>
      </w:r>
    </w:p>
    <w:p>
      <w:pPr>
        <w:spacing w:after="0" w:line="160" w:lineRule="exact"/>
        <w:rPr>
          <w:sz w:val="20"/>
          <w:szCs w:val="20"/>
          <w:color w:val="auto"/>
        </w:rPr>
      </w:pPr>
    </w:p>
    <w:p>
      <w:pPr>
        <w:ind w:right="160" w:firstLine="1304"/>
        <w:spacing w:after="0" w:line="243" w:lineRule="auto"/>
        <w:tabs>
          <w:tab w:leader="none" w:pos="16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and Adjusted Foreign Currency Rate shall be determined by the Administrative Agent, and such determination shall be conclusive absent manifest error.</w:t>
      </w:r>
    </w:p>
    <w:p>
      <w:pPr>
        <w:spacing w:after="0" w:line="15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0000FF"/>
        </w:rPr>
        <w:t>Section 2.14</w:t>
      </w:r>
      <w:r>
        <w:rPr>
          <w:sz w:val="20"/>
          <w:szCs w:val="20"/>
          <w:color w:val="auto"/>
        </w:rPr>
        <w:tab/>
      </w:r>
      <w:r>
        <w:rPr>
          <w:rFonts w:ascii="Arial" w:cs="Arial" w:eastAsia="Arial" w:hAnsi="Arial"/>
          <w:sz w:val="16"/>
          <w:szCs w:val="16"/>
          <w:u w:val="single" w:color="auto"/>
          <w:color w:val="0000FF"/>
        </w:rPr>
        <w:t>[Reserved].</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FF0000"/>
          <w:strike w:val="1"/>
        </w:rPr>
        <w:t>Section 2.14</w:t>
      </w:r>
      <w:r>
        <w:rPr>
          <w:sz w:val="20"/>
          <w:szCs w:val="20"/>
          <w:color w:val="auto"/>
        </w:rPr>
        <w:tab/>
      </w:r>
      <w:r>
        <w:rPr>
          <w:rFonts w:ascii="Arial" w:cs="Arial" w:eastAsia="Arial" w:hAnsi="Arial"/>
          <w:sz w:val="18"/>
          <w:szCs w:val="18"/>
          <w:u w:val="single" w:color="auto"/>
          <w:color w:val="FF0000"/>
          <w:strike w:val="1"/>
        </w:rPr>
        <w:t>Alternate Rate of Interest</w:t>
      </w:r>
      <w:r>
        <w:rPr>
          <w:rFonts w:ascii="Arial" w:cs="Arial" w:eastAsia="Arial" w:hAnsi="Arial"/>
          <w:sz w:val="18"/>
          <w:szCs w:val="18"/>
          <w:color w:val="FF0000"/>
          <w:strike w:val="1"/>
        </w:rPr>
        <w:t>. Subject to Section 2.23 hereof, if prior to the commencement of any Interest Period for a</w:t>
      </w:r>
    </w:p>
    <w:p>
      <w:pPr>
        <w:spacing w:after="0"/>
        <w:rPr>
          <w:sz w:val="20"/>
          <w:szCs w:val="20"/>
          <w:color w:val="auto"/>
        </w:rPr>
      </w:pPr>
      <w:r>
        <w:rPr>
          <w:rFonts w:ascii="Arial" w:cs="Arial" w:eastAsia="Arial" w:hAnsi="Arial"/>
          <w:sz w:val="20"/>
          <w:szCs w:val="20"/>
          <w:color w:val="FF0000"/>
          <w:strike w:val="1"/>
        </w:rPr>
        <w:t>Eurodollar Borrowing or a Foreign Currency Borrowing:</w:t>
      </w:r>
    </w:p>
    <w:p>
      <w:pPr>
        <w:spacing w:after="0" w:line="159" w:lineRule="exact"/>
        <w:rPr>
          <w:sz w:val="20"/>
          <w:szCs w:val="20"/>
          <w:color w:val="auto"/>
        </w:rPr>
      </w:pPr>
    </w:p>
    <w:p>
      <w:pPr>
        <w:ind w:right="60" w:firstLine="1296"/>
        <w:spacing w:after="0" w:line="227" w:lineRule="auto"/>
        <w:rPr>
          <w:sz w:val="20"/>
          <w:szCs w:val="20"/>
          <w:color w:val="auto"/>
        </w:rPr>
      </w:pPr>
      <w:r>
        <w:rPr>
          <w:rFonts w:ascii="Arial" w:cs="Arial" w:eastAsia="Arial" w:hAnsi="Arial"/>
          <w:sz w:val="20"/>
          <w:szCs w:val="20"/>
          <w:color w:val="FF0000"/>
          <w:strike w:val="1"/>
        </w:rPr>
        <w:t>(a</w:t>
      </w:r>
      <w:r>
        <w:rPr>
          <w:rFonts w:ascii="Arial" w:cs="Arial" w:eastAsia="Arial" w:hAnsi="Arial"/>
          <w:sz w:val="20"/>
          <w:szCs w:val="20"/>
          <w:color w:val="008000"/>
          <w:strike w:val="1"/>
        </w:rPr>
        <w:t>) the Administrative Agent determines (which determination shall be conclusive</w:t>
      </w:r>
      <w:r>
        <w:rPr>
          <w:rFonts w:ascii="Arial" w:cs="Arial" w:eastAsia="Arial" w:hAnsi="Arial"/>
          <w:sz w:val="20"/>
          <w:szCs w:val="20"/>
          <w:color w:val="FF0000"/>
          <w:strike w:val="1"/>
        </w:rPr>
        <w:t xml:space="preserve"> absent manifest error) that adequate and reasonable means do not exist for ascertaining the Adjusted LIBO Rate or the Adjusted Foreign Currency Rate, as applicable, for such Interest Period; or</w:t>
      </w:r>
    </w:p>
    <w:p>
      <w:pPr>
        <w:spacing w:after="0" w:line="157" w:lineRule="exact"/>
        <w:rPr>
          <w:sz w:val="20"/>
          <w:szCs w:val="20"/>
          <w:color w:val="auto"/>
        </w:rPr>
      </w:pPr>
    </w:p>
    <w:p>
      <w:pPr>
        <w:ind w:right="20" w:firstLine="1304"/>
        <w:spacing w:after="0" w:line="220" w:lineRule="auto"/>
        <w:tabs>
          <w:tab w:leader="none" w:pos="1724" w:val="left"/>
        </w:tabs>
        <w:numPr>
          <w:ilvl w:val="0"/>
          <w:numId w:val="152"/>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Administrative Agent is advised by the </w:t>
      </w:r>
      <w:r>
        <w:rPr>
          <w:rFonts w:ascii="Arial" w:cs="Arial" w:eastAsia="Arial" w:hAnsi="Arial"/>
          <w:sz w:val="20"/>
          <w:szCs w:val="20"/>
          <w:color w:val="008000"/>
          <w:strike w:val="1"/>
        </w:rPr>
        <w:t>Required Facility Lenders under a particular Facility</w:t>
      </w:r>
      <w:r>
        <w:rPr>
          <w:rFonts w:ascii="Arial" w:cs="Arial" w:eastAsia="Arial" w:hAnsi="Arial"/>
          <w:sz w:val="20"/>
          <w:szCs w:val="20"/>
          <w:color w:val="FF0000"/>
          <w:strike w:val="1"/>
        </w:rPr>
        <w:t xml:space="preserve"> that the Adjusted LIBO Rate or the Adjusted Foreign Currency Rate, as applicable, for such Interest Period will </w:t>
      </w:r>
      <w:r>
        <w:rPr>
          <w:rFonts w:ascii="Arial" w:cs="Arial" w:eastAsia="Arial" w:hAnsi="Arial"/>
          <w:sz w:val="20"/>
          <w:szCs w:val="20"/>
          <w:color w:val="008000"/>
          <w:strike w:val="1"/>
        </w:rPr>
        <w:t>not adequately and fairly reflect the cost to</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such Lenders </w:t>
      </w:r>
      <w:r>
        <w:rPr>
          <w:rFonts w:ascii="Arial" w:cs="Arial" w:eastAsia="Arial" w:hAnsi="Arial"/>
          <w:sz w:val="20"/>
          <w:szCs w:val="20"/>
          <w:color w:val="FF0000"/>
          <w:strike w:val="1"/>
        </w:rPr>
        <w:t>(or Lender) of making or maintaining their Loans (or its Loan) included in such Borrowing under such Facility for such Interest</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Period;</w:t>
      </w:r>
    </w:p>
    <w:p>
      <w:pPr>
        <w:spacing w:after="0" w:line="169"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FF0000"/>
          <w:strike w:val="1"/>
        </w:rPr>
        <w:t>then the Administrative Agent shall give notice thereof to the applicable Borrower and the Lenders by telephone or telecopy as promptly as practicable thereafter and, until the Administrative Agent notifies such Borrower and the Lenders that the circumstances giving</w:t>
      </w:r>
    </w:p>
    <w:p>
      <w:pPr>
        <w:spacing w:after="0" w:line="235" w:lineRule="auto"/>
        <w:rPr>
          <w:sz w:val="20"/>
          <w:szCs w:val="20"/>
          <w:color w:val="auto"/>
        </w:rPr>
      </w:pPr>
      <w:r>
        <w:rPr>
          <w:rFonts w:ascii="Arial" w:cs="Arial" w:eastAsia="Arial" w:hAnsi="Arial"/>
          <w:sz w:val="18"/>
          <w:szCs w:val="18"/>
          <w:color w:val="FF0000"/>
          <w:strike w:val="1"/>
        </w:rPr>
        <w:t>rise to such notice no longer exist, (i) any Interest Election Request that requests the conversion of any Borrowing under such Facility to, or</w:t>
      </w:r>
    </w:p>
    <w:p>
      <w:pPr>
        <w:ind w:right="60"/>
        <w:spacing w:after="0" w:line="226" w:lineRule="auto"/>
        <w:rPr>
          <w:sz w:val="20"/>
          <w:szCs w:val="20"/>
          <w:color w:val="auto"/>
        </w:rPr>
      </w:pPr>
      <w:r>
        <w:rPr>
          <w:rFonts w:ascii="Arial" w:cs="Arial" w:eastAsia="Arial" w:hAnsi="Arial"/>
          <w:sz w:val="18"/>
          <w:szCs w:val="18"/>
          <w:color w:val="FF0000"/>
          <w:strike w:val="1"/>
        </w:rPr>
        <w:t>continuation of any Borrowing under such Facility as, a Eurodollar Borrowing or Foreign Currency Borrowing, as applicable, shall be ineffective and (ii) if any Borrowing Request requests a Eurodollar Borrowing under such Facility, such Borrowing shall be made as an ABR</w:t>
      </w:r>
    </w:p>
    <w:p>
      <w:pPr>
        <w:spacing w:after="0" w:line="2" w:lineRule="exact"/>
        <w:rPr>
          <w:sz w:val="20"/>
          <w:szCs w:val="20"/>
          <w:color w:val="auto"/>
        </w:rPr>
      </w:pPr>
    </w:p>
    <w:p>
      <w:pPr>
        <w:ind w:right="840"/>
        <w:spacing w:after="0" w:line="227" w:lineRule="auto"/>
        <w:rPr>
          <w:sz w:val="20"/>
          <w:szCs w:val="20"/>
          <w:color w:val="auto"/>
        </w:rPr>
      </w:pPr>
      <w:r>
        <w:rPr>
          <w:rFonts w:ascii="Arial" w:cs="Arial" w:eastAsia="Arial" w:hAnsi="Arial"/>
          <w:sz w:val="20"/>
          <w:szCs w:val="20"/>
          <w:color w:val="FF0000"/>
          <w:strike w:val="1"/>
        </w:rPr>
        <w:t>Borrowing; provided that if the circumstances giving rise to such notice affect only one Type of Borrowings, then the other Type of Borrowings shall be permitted.</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 (a) If any Change in Law shall:</w:t>
      </w:r>
    </w:p>
    <w:p>
      <w:pPr>
        <w:spacing w:after="0" w:line="189" w:lineRule="exact"/>
        <w:rPr>
          <w:sz w:val="20"/>
          <w:szCs w:val="20"/>
          <w:color w:val="auto"/>
        </w:rPr>
      </w:pPr>
    </w:p>
    <w:p>
      <w:pPr>
        <w:ind w:left="660" w:right="180" w:firstLine="1292"/>
        <w:spacing w:after="0" w:line="235" w:lineRule="auto"/>
        <w:tabs>
          <w:tab w:leader="none" w:pos="2341"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liquidity or similar requirement against assets of, deposits with or for the account of, or credit extended by, any Lender (except any such reserve requirement reflected in </w:t>
      </w:r>
      <w:r>
        <w:rPr>
          <w:rFonts w:ascii="Arial" w:cs="Arial" w:eastAsia="Arial" w:hAnsi="Arial"/>
          <w:sz w:val="19"/>
          <w:szCs w:val="19"/>
          <w:color w:val="FF0000"/>
          <w:strike w:val="1"/>
        </w:rPr>
        <w:t>the</w:t>
      </w:r>
      <w:r>
        <w:rPr>
          <w:rFonts w:ascii="Arial" w:cs="Arial" w:eastAsia="Arial" w:hAnsi="Arial"/>
          <w:sz w:val="19"/>
          <w:szCs w:val="19"/>
          <w:color w:val="auto"/>
        </w:rPr>
        <w:t xml:space="preserve"> Adjusted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or the Adjusted Foreign Currency Rate) or the Issuing Bank;</w:t>
      </w:r>
    </w:p>
    <w:p>
      <w:pPr>
        <w:spacing w:after="0" w:line="168" w:lineRule="exact"/>
        <w:rPr>
          <w:rFonts w:ascii="Arial" w:cs="Arial" w:eastAsia="Arial" w:hAnsi="Arial"/>
          <w:sz w:val="19"/>
          <w:szCs w:val="19"/>
          <w:color w:val="auto"/>
        </w:rPr>
      </w:pPr>
    </w:p>
    <w:p>
      <w:pPr>
        <w:ind w:left="660" w:right="20" w:firstLine="1292"/>
        <w:spacing w:after="0" w:line="350" w:lineRule="auto"/>
        <w:tabs>
          <w:tab w:leader="none" w:pos="239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70" w:lineRule="exact"/>
        <w:rPr>
          <w:rFonts w:ascii="Arial" w:cs="Arial" w:eastAsia="Arial" w:hAnsi="Arial"/>
          <w:sz w:val="16"/>
          <w:szCs w:val="16"/>
          <w:color w:val="auto"/>
        </w:rPr>
      </w:pPr>
    </w:p>
    <w:p>
      <w:pPr>
        <w:jc w:val="both"/>
        <w:ind w:left="660" w:right="500" w:firstLine="1292"/>
        <w:spacing w:after="0" w:line="259" w:lineRule="auto"/>
        <w:tabs>
          <w:tab w:leader="none" w:pos="245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4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or such other Recipient of making or maintaining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or Foreign Currency Loan (or of maintaining its obligation to make any such Loan) or to increase the cost to such Lender, the Issuing Bank or such other Recipient of participating in, issuing or maintaining any Letter of Credit or to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75" w:name="page176"/>
    <w:bookmarkEnd w:id="175"/>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amount of any sum received or receivable by such Lender, the Issuing Bank or such other Recipient hereunder (whether of principal, interest</w:t>
      </w:r>
    </w:p>
    <w:p>
      <w:pPr>
        <w:spacing w:after="0" w:line="12" w:lineRule="exact"/>
        <w:rPr>
          <w:sz w:val="20"/>
          <w:szCs w:val="20"/>
          <w:color w:val="auto"/>
        </w:rPr>
      </w:pPr>
    </w:p>
    <w:p>
      <w:pPr>
        <w:ind w:right="520"/>
        <w:spacing w:after="0" w:line="255" w:lineRule="auto"/>
        <w:rPr>
          <w:sz w:val="20"/>
          <w:szCs w:val="20"/>
          <w:color w:val="auto"/>
        </w:rPr>
      </w:pPr>
      <w:r>
        <w:rPr>
          <w:rFonts w:ascii="Arial" w:cs="Arial" w:eastAsia="Arial" w:hAnsi="Arial"/>
          <w:sz w:val="16"/>
          <w:szCs w:val="16"/>
          <w:color w:val="auto"/>
        </w:rPr>
        <w:t>or otherwise), then the applicable Borrower will pay to such Lender, the Issuing Bank or such other Recipient, as the case may be, such additional amount or amounts as will compensate such Lender, the Issuing Bank or such other Recipient, as the case may be, for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costs incurred or reduction suffered; </w:t>
      </w:r>
      <w:r>
        <w:rPr>
          <w:rFonts w:ascii="Arial" w:cs="Arial" w:eastAsia="Arial" w:hAnsi="Arial"/>
          <w:sz w:val="16"/>
          <w:szCs w:val="16"/>
          <w:i w:val="1"/>
          <w:iCs w:val="1"/>
          <w:color w:val="auto"/>
        </w:rPr>
        <w:t>provided</w:t>
      </w:r>
      <w:r>
        <w:rPr>
          <w:rFonts w:ascii="Arial" w:cs="Arial" w:eastAsia="Arial" w:hAnsi="Arial"/>
          <w:sz w:val="16"/>
          <w:szCs w:val="16"/>
          <w:color w:val="auto"/>
        </w:rPr>
        <w:t>, that no Borrower shall be obligated to pay any such compensation unless the Lender</w:t>
      </w:r>
    </w:p>
    <w:p>
      <w:pPr>
        <w:spacing w:after="0" w:line="1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or other Recipient requesting such compensation is also requesting compensation as a result of such Change in Law from other similarly situated customers under agreements relating to similar credit transactions that include provisions similar to this Section 2.15(a).</w:t>
      </w:r>
    </w:p>
    <w:p>
      <w:pPr>
        <w:spacing w:after="0" w:line="113" w:lineRule="exact"/>
        <w:rPr>
          <w:sz w:val="20"/>
          <w:szCs w:val="20"/>
          <w:color w:val="auto"/>
        </w:rPr>
      </w:pPr>
    </w:p>
    <w:p>
      <w:pPr>
        <w:ind w:firstLine="1304"/>
        <w:spacing w:after="0" w:line="235" w:lineRule="auto"/>
        <w:tabs>
          <w:tab w:leader="none" w:pos="172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applicable Borrower will pay to such Lender or the Issuing Bank, as the case may be, such additional amount or amounts as will compensate such Lender or the Issuing Bank or such Lender’s or the Issuing Bank’s holding company for any such reduction suffered; </w:t>
      </w:r>
      <w:r>
        <w:rPr>
          <w:rFonts w:ascii="Arial" w:cs="Arial" w:eastAsia="Arial" w:hAnsi="Arial"/>
          <w:sz w:val="18"/>
          <w:szCs w:val="18"/>
          <w:i w:val="1"/>
          <w:iCs w:val="1"/>
          <w:color w:val="auto"/>
        </w:rPr>
        <w:t>provided</w:t>
      </w:r>
      <w:r>
        <w:rPr>
          <w:rFonts w:ascii="Arial" w:cs="Arial" w:eastAsia="Arial" w:hAnsi="Arial"/>
          <w:sz w:val="18"/>
          <w:szCs w:val="18"/>
          <w:color w:val="auto"/>
        </w:rPr>
        <w:t>, that no Borrower shall be obligated to pay any such compensation unless the Lender or other Recipient requesting such compensation is also requesting compensation as a result of such Change in Law from other similarly situated customers under agreements relating to similar credit transactions that include provisions similar to this Section 2.15(b).</w:t>
      </w:r>
    </w:p>
    <w:p>
      <w:pPr>
        <w:spacing w:after="0" w:line="160" w:lineRule="exact"/>
        <w:rPr>
          <w:rFonts w:ascii="Arial" w:cs="Arial" w:eastAsia="Arial" w:hAnsi="Arial"/>
          <w:sz w:val="18"/>
          <w:szCs w:val="18"/>
          <w:color w:val="auto"/>
        </w:rPr>
      </w:pPr>
    </w:p>
    <w:p>
      <w:pPr>
        <w:ind w:firstLine="1304"/>
        <w:spacing w:after="0" w:line="231" w:lineRule="auto"/>
        <w:tabs>
          <w:tab w:leader="none" w:pos="170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 certificate of a Lender or the Issuing Bank setting forth the amount or amounts necessary to compensate such Lender or the Issuing Bank or its holding company, as the case may be, as specified in paragraph (a) or (b) of this Section shall be delivered to the applicable Borrower and shall be conclusive absent manifest error. Such Borrower shall pay such Lender or the Issuing Bank, as the case may be, the amount shown as due on any such certificate within 10 days after receipt thereof.</w:t>
      </w:r>
    </w:p>
    <w:p>
      <w:pPr>
        <w:spacing w:after="0" w:line="171" w:lineRule="exact"/>
        <w:rPr>
          <w:rFonts w:ascii="Arial" w:cs="Arial" w:eastAsia="Arial" w:hAnsi="Arial"/>
          <w:sz w:val="19"/>
          <w:szCs w:val="19"/>
          <w:color w:val="auto"/>
        </w:rPr>
      </w:pPr>
    </w:p>
    <w:p>
      <w:pPr>
        <w:ind w:right="40" w:firstLine="1304"/>
        <w:spacing w:after="0" w:line="225" w:lineRule="auto"/>
        <w:tabs>
          <w:tab w:leader="none" w:pos="172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Borrower shall be required to compensate a Lender or the Issuing Bank pursuant to this Section for any increased costs or reductions incurred more than 270 days prior to the date that such Lender or the Issuing Bank, as the case may be, notifies such Borrower of the Change in Law giving rise to such increased costs or reductions and of such Lender’s or the Issuing Bank’s intention to claim compensation therefor;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5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(a) the payment of any principal of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or Foreign Currency Loan other than on the last day of an Interest Period applicable thereto (including as a result of an Event of Default), (b) the conversion of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or Foreign Currency Loan other than on the last day of the Interest Period applicable thereto,</w:t>
      </w:r>
    </w:p>
    <w:p>
      <w:pPr>
        <w:spacing w:after="0" w:line="2" w:lineRule="exact"/>
        <w:rPr>
          <w:sz w:val="20"/>
          <w:szCs w:val="20"/>
          <w:color w:val="auto"/>
        </w:rPr>
      </w:pPr>
    </w:p>
    <w:p>
      <w:pPr>
        <w:ind w:right="80" w:firstLine="8"/>
        <w:spacing w:after="0" w:line="233" w:lineRule="auto"/>
        <w:tabs>
          <w:tab w:leader="none" w:pos="26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failure to borrow, convert, continue or prepay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or Foreign Currency Loan on the date specified in any notice delivered pursuant hereto (regardless of whether such notice may be revoked under Section 2.11(b) and is revoked in accordance therewith), or (d) the assignment of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or Foreign Currency Loan other than on the last day of the Interest Period applicable thereto as a result of a request by a Borrower pursuant to Section 2.19, then, in any such event, such Borrower shall compensate each Lender for the loss, cost and expense attributable to such event (excluding loss of anticipated profits), including, without limitation, costs associated with foreign currency hedging obligations incurred by such Lender in connection with any Foreign Currency Loan. </w:t>
      </w:r>
      <w:r>
        <w:rPr>
          <w:rFonts w:ascii="Arial" w:cs="Arial" w:eastAsia="Arial" w:hAnsi="Arial"/>
          <w:sz w:val="18"/>
          <w:szCs w:val="18"/>
          <w:color w:val="FF0000"/>
          <w:strike w:val="1"/>
        </w:rPr>
        <w:t>In the case of a Eurodollar Loan or a Foreign Currency Loan, such loss, cost or expense to any Lender shall be deemed to include an</w:t>
      </w:r>
      <w:r>
        <w:rPr>
          <w:rFonts w:ascii="Arial" w:cs="Arial" w:eastAsia="Arial" w:hAnsi="Arial"/>
          <w:sz w:val="18"/>
          <w:szCs w:val="18"/>
          <w:color w:val="auto"/>
        </w:rPr>
        <w:t xml:space="preserve"> </w:t>
      </w:r>
      <w:r>
        <w:rPr>
          <w:rFonts w:ascii="Arial" w:cs="Arial" w:eastAsia="Arial" w:hAnsi="Arial"/>
          <w:sz w:val="18"/>
          <w:szCs w:val="18"/>
          <w:color w:val="FF0000"/>
          <w:strike w:val="1"/>
        </w:rPr>
        <w:t>amount determined by such Lender to be the excess, if any, of (i) the amount of interest which would have accrued on the principal amount of such Loan had such event not occurred, at the Adjusted LIBO Rate or the Adjusted Foreign Currency Rate, as applicable, that would have been applicable to such Loan, for the period from the date of such event to the last day of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FF0000"/>
          <w:strike w:val="1"/>
        </w:rPr>
        <w:t>current Interest Period therefor (or, in the case of a failure to borrow, convert or continue, for the period that would have been the Interest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Period for such Loan), over (ii) the amount of interest which would accrue on such principal amount for such period at the interest rate which such Lender would bid were it to bid, at the commencement of such period, for Dollar deposits of a comparable amount and period from</w:t>
      </w:r>
    </w:p>
    <w:p>
      <w:pPr>
        <w:spacing w:after="0" w:line="236" w:lineRule="auto"/>
        <w:rPr>
          <w:sz w:val="20"/>
          <w:szCs w:val="20"/>
          <w:color w:val="auto"/>
        </w:rPr>
      </w:pPr>
      <w:r>
        <w:rPr>
          <w:rFonts w:ascii="Arial" w:cs="Arial" w:eastAsia="Arial" w:hAnsi="Arial"/>
          <w:sz w:val="18"/>
          <w:szCs w:val="18"/>
          <w:color w:val="FF0000"/>
          <w:strike w:val="1"/>
        </w:rPr>
        <w:t>other banks in the eurodollar market.</w:t>
      </w:r>
      <w:r>
        <w:rPr>
          <w:rFonts w:ascii="Arial" w:cs="Arial" w:eastAsia="Arial" w:hAnsi="Arial"/>
          <w:sz w:val="18"/>
          <w:szCs w:val="18"/>
          <w:color w:val="FF0000"/>
        </w:rPr>
        <w:t xml:space="preserve"> </w:t>
      </w:r>
      <w:r>
        <w:rPr>
          <w:rFonts w:ascii="Arial" w:cs="Arial" w:eastAsia="Arial" w:hAnsi="Arial"/>
          <w:sz w:val="18"/>
          <w:szCs w:val="18"/>
          <w:color w:val="000000"/>
        </w:rPr>
        <w:t>A certificate of any Lender setting forth any amount or amounts that such Lender is entitled to receive</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color w:val="auto"/>
        </w:rPr>
        <w:t>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6"/>
          <w:szCs w:val="16"/>
          <w:u w:val="single" w:color="auto"/>
          <w:color w:val="auto"/>
        </w:rPr>
        <w:t>Payments Free of Taxes</w:t>
      </w:r>
      <w:r>
        <w:rPr>
          <w:rFonts w:ascii="Arial" w:cs="Arial" w:eastAsia="Arial" w:hAnsi="Arial"/>
          <w:sz w:val="16"/>
          <w:szCs w:val="16"/>
          <w:color w:val="auto"/>
        </w:rPr>
        <w:t>. (a) Any and all payments by or on account of any obligation of any Loan Party under any</w:t>
      </w:r>
    </w:p>
    <w:p>
      <w:pPr>
        <w:ind w:right="80"/>
        <w:spacing w:after="0" w:line="226" w:lineRule="auto"/>
        <w:rPr>
          <w:sz w:val="20"/>
          <w:szCs w:val="20"/>
          <w:color w:val="auto"/>
        </w:rPr>
      </w:pPr>
      <w:r>
        <w:rPr>
          <w:rFonts w:ascii="Arial" w:cs="Arial" w:eastAsia="Arial" w:hAnsi="Arial"/>
          <w:sz w:val="18"/>
          <w:szCs w:val="18"/>
          <w:color w:val="auto"/>
        </w:rPr>
        <w:t>Loan Document shall be made free and clear of and without deduction or withholding for any Taxes, except as required by applicable law. If any applicable law (as determined in the good faith discretion of an applicable Withholding Agent) requires the deduction or withholding of</w:t>
      </w:r>
    </w:p>
    <w:p>
      <w:pPr>
        <w:spacing w:after="0" w:line="236" w:lineRule="auto"/>
        <w:rPr>
          <w:sz w:val="20"/>
          <w:szCs w:val="20"/>
          <w:color w:val="auto"/>
        </w:rPr>
      </w:pPr>
      <w:r>
        <w:rPr>
          <w:rFonts w:ascii="Arial" w:cs="Arial" w:eastAsia="Arial" w:hAnsi="Arial"/>
          <w:sz w:val="18"/>
          <w:szCs w:val="18"/>
          <w:color w:val="auto"/>
        </w:rPr>
        <w:t>any Tax from any such payment by a Withholding Agent, then the applicable Withholding Agent shall be entitled to make such deduction or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withholding and shall timely pay the full amount deducted or withheld to the relevant Governmental Authority in accordance with applicable law and, if such Tax is an Indemnified Tax, then the sum payable by the applicable Loan Party shall be increased as necessary so that after</w:t>
      </w:r>
    </w:p>
    <w:p>
      <w:pPr>
        <w:spacing w:after="0" w:line="236" w:lineRule="auto"/>
        <w:rPr>
          <w:sz w:val="20"/>
          <w:szCs w:val="20"/>
          <w:color w:val="auto"/>
        </w:rPr>
      </w:pPr>
      <w:r>
        <w:rPr>
          <w:rFonts w:ascii="Arial" w:cs="Arial" w:eastAsia="Arial" w:hAnsi="Arial"/>
          <w:sz w:val="18"/>
          <w:szCs w:val="18"/>
          <w:color w:val="auto"/>
        </w:rPr>
        <w:t>such deduction or withholding has been made (including such deductions and withholdings applicable to additional sums payable under this</w:t>
      </w:r>
    </w:p>
    <w:p>
      <w:pPr>
        <w:spacing w:after="0" w:line="1" w:lineRule="exact"/>
        <w:rPr>
          <w:sz w:val="20"/>
          <w:szCs w:val="20"/>
          <w:color w:val="auto"/>
        </w:rPr>
      </w:pPr>
    </w:p>
    <w:p>
      <w:pPr>
        <w:ind w:right="360"/>
        <w:spacing w:after="0" w:line="220" w:lineRule="auto"/>
        <w:rPr>
          <w:sz w:val="20"/>
          <w:szCs w:val="20"/>
          <w:color w:val="auto"/>
        </w:rPr>
      </w:pPr>
      <w:r>
        <w:rPr>
          <w:rFonts w:ascii="Arial" w:cs="Arial" w:eastAsia="Arial" w:hAnsi="Arial"/>
          <w:sz w:val="20"/>
          <w:szCs w:val="20"/>
          <w:color w:val="auto"/>
        </w:rPr>
        <w:t>Section 2.17) the applicable Recipient receives an amount equal to the sum it would have received had no such deduction or withholding been made.</w:t>
      </w:r>
    </w:p>
    <w:p>
      <w:pPr>
        <w:spacing w:after="0" w:line="170" w:lineRule="exact"/>
        <w:rPr>
          <w:sz w:val="20"/>
          <w:szCs w:val="20"/>
          <w:color w:val="auto"/>
        </w:rPr>
      </w:pPr>
    </w:p>
    <w:p>
      <w:pPr>
        <w:ind w:right="20" w:firstLine="1304"/>
        <w:spacing w:after="0" w:line="257" w:lineRule="auto"/>
        <w:tabs>
          <w:tab w:leader="none" w:pos="1724"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Loan Parties</w:t>
      </w:r>
      <w:r>
        <w:rPr>
          <w:rFonts w:ascii="Arial" w:cs="Arial" w:eastAsia="Arial" w:hAnsi="Arial"/>
          <w:sz w:val="19"/>
          <w:szCs w:val="19"/>
          <w:color w:val="auto"/>
        </w:rPr>
        <w:t>. The Loan Parties shall timely pay to the relevant Governmental Authority in accordance with applicable law, or at the option of the Administrative Agent timely reimburse it for, Other Taxes.</w:t>
      </w:r>
    </w:p>
    <w:p>
      <w:pPr>
        <w:spacing w:after="0" w:line="139" w:lineRule="exact"/>
        <w:rPr>
          <w:rFonts w:ascii="Arial" w:cs="Arial" w:eastAsia="Arial" w:hAnsi="Arial"/>
          <w:sz w:val="19"/>
          <w:szCs w:val="19"/>
          <w:color w:val="auto"/>
        </w:rPr>
      </w:pPr>
    </w:p>
    <w:p>
      <w:pPr>
        <w:ind w:right="60" w:firstLine="1304"/>
        <w:spacing w:after="0" w:line="220" w:lineRule="auto"/>
        <w:tabs>
          <w:tab w:leader="none" w:pos="1713"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9" w:lineRule="exact"/>
        <w:rPr>
          <w:rFonts w:ascii="Arial" w:cs="Arial" w:eastAsia="Arial" w:hAnsi="Arial"/>
          <w:sz w:val="20"/>
          <w:szCs w:val="20"/>
          <w:color w:val="auto"/>
        </w:rPr>
      </w:pPr>
    </w:p>
    <w:p>
      <w:pPr>
        <w:ind w:right="20" w:firstLine="1304"/>
        <w:spacing w:after="0" w:line="234" w:lineRule="auto"/>
        <w:tabs>
          <w:tab w:leader="none" w:pos="1724"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applicable Borrower shall indemnify each Recipient, within 10 days after written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Borrower shall not be required to compensate any Recipient pursuant to this Section 2.17(d) for any interest, additions to tax or penalties that accrue as a result of such Recipient’s failure to request an indemnity within 270 days after the earlier of the date such Recipient first acquired knowledge that the relevant Indemnified Taxes are payable or received written notification from such Borrower that such Indemnified Taxes are potentially payable. Any Recipient claiming indemnity pursuant to this Section 2.17(d) shall notify the Borrowers of the imposition of the relevant Indemnified Taxes as soon as reasonably practicable after the Recipient becomes aware of such imposition.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170" w:lineRule="exact"/>
        <w:rPr>
          <w:rFonts w:ascii="Arial" w:cs="Arial" w:eastAsia="Arial" w:hAnsi="Arial"/>
          <w:sz w:val="18"/>
          <w:szCs w:val="18"/>
          <w:color w:val="auto"/>
        </w:rPr>
      </w:pPr>
    </w:p>
    <w:p>
      <w:pPr>
        <w:ind w:right="40" w:firstLine="1304"/>
        <w:spacing w:after="0" w:line="238" w:lineRule="auto"/>
        <w:tabs>
          <w:tab w:leader="none" w:pos="171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48</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05" w:right="3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amount of such payment or liability delivered to any Lender by the Administrative Agent shall be conclusive absent manifest error. Each</w:t>
      </w:r>
    </w:p>
    <w:p>
      <w:pPr>
        <w:spacing w:after="0" w:line="12"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Lender hereby authorizes the Administrative Agent to set off and apply any and all amounts at any time owing to such Lender under any Loan Document or otherwise payable by the Administrative Agent to the Lender from any other source against any amount due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under this paragraph (e).</w:t>
      </w:r>
    </w:p>
    <w:p>
      <w:pPr>
        <w:spacing w:after="0" w:line="173" w:lineRule="exact"/>
        <w:rPr>
          <w:sz w:val="20"/>
          <w:szCs w:val="20"/>
          <w:color w:val="auto"/>
        </w:rPr>
      </w:pPr>
    </w:p>
    <w:p>
      <w:pPr>
        <w:ind w:firstLine="1304"/>
        <w:spacing w:after="0" w:line="234" w:lineRule="auto"/>
        <w:tabs>
          <w:tab w:leader="none" w:pos="1692"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(i) Any Recipient that is entitled to an exemption from or reduction of withholding Tax with respect to payments made under any Loan Document shall deliver to the Borrowers and the Administrative Agent, at the time or times reasonably requested by the Borrowers or the Administrative Agent, such information or properly completed and executed documentation reasonably requested by the Borrowers or the Administrative Agent as will permit such payments to be made without withholding or at a reduced rate of withholding. In addition, any Recipient, if reasonably requested by the Borrowers or the Administrative Agent, shall deliver such other information and documentation prescribed by applicable law or reasonably requested by the Borrowers or the Administrative Agent as will enable the Borrowers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Recipient’s reasonable judgment such completion, execution or submission would subject such Recipient to any material unreimbursed cost or expense or would materially prejudice the legal or commercial position of such Recipient.</w:t>
      </w:r>
    </w:p>
    <w:p>
      <w:pPr>
        <w:spacing w:after="0" w:line="169" w:lineRule="exact"/>
        <w:rPr>
          <w:rFonts w:ascii="Arial" w:cs="Arial" w:eastAsia="Arial" w:hAnsi="Arial"/>
          <w:sz w:val="18"/>
          <w:szCs w:val="18"/>
          <w:color w:val="auto"/>
        </w:rPr>
      </w:pPr>
    </w:p>
    <w:p>
      <w:pPr>
        <w:ind w:left="2380" w:hanging="428"/>
        <w:spacing w:after="0"/>
        <w:tabs>
          <w:tab w:leader="none" w:pos="238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188" w:lineRule="exact"/>
        <w:rPr>
          <w:rFonts w:ascii="Arial" w:cs="Arial" w:eastAsia="Arial" w:hAnsi="Arial"/>
          <w:sz w:val="20"/>
          <w:szCs w:val="20"/>
          <w:color w:val="auto"/>
        </w:rPr>
      </w:pPr>
    </w:p>
    <w:p>
      <w:pPr>
        <w:ind w:left="1300" w:right="60" w:firstLine="1300"/>
        <w:spacing w:after="0" w:line="228" w:lineRule="auto"/>
        <w:tabs>
          <w:tab w:leader="none" w:pos="3069" w:val="left"/>
        </w:tabs>
        <w:numPr>
          <w:ilvl w:val="2"/>
          <w:numId w:val="157"/>
        </w:numPr>
        <w:rPr>
          <w:rFonts w:ascii="Arial" w:cs="Arial" w:eastAsia="Arial" w:hAnsi="Arial"/>
          <w:sz w:val="19"/>
          <w:szCs w:val="19"/>
          <w:color w:val="auto"/>
        </w:rPr>
      </w:pPr>
      <w:r>
        <w:rPr>
          <w:rFonts w:ascii="Arial" w:cs="Arial" w:eastAsia="Arial" w:hAnsi="Arial"/>
          <w:sz w:val="19"/>
          <w:szCs w:val="19"/>
          <w:color w:val="auto"/>
        </w:rPr>
        <w:t>any Recipient that is a U.S. Person shall deliver to such Borrower and the Administrative Agent on or prior to the date on which such Recipient becomes a party to this Agreement (and from time to time thereafter upon the reasonable request of such Borrower or the Administrative Agent), executed originals or certified copies of IRS Form W-9 certifying that such Recipient is exempt from U.S. Federal backup withholding tax;</w:t>
      </w:r>
    </w:p>
    <w:p>
      <w:pPr>
        <w:spacing w:after="0" w:line="168" w:lineRule="exact"/>
        <w:rPr>
          <w:rFonts w:ascii="Arial" w:cs="Arial" w:eastAsia="Arial" w:hAnsi="Arial"/>
          <w:sz w:val="19"/>
          <w:szCs w:val="19"/>
          <w:color w:val="auto"/>
        </w:rPr>
      </w:pPr>
    </w:p>
    <w:p>
      <w:pPr>
        <w:jc w:val="both"/>
        <w:ind w:left="1300" w:right="60" w:firstLine="1300"/>
        <w:spacing w:after="0" w:line="231" w:lineRule="auto"/>
        <w:tabs>
          <w:tab w:leader="none" w:pos="3058" w:val="left"/>
        </w:tabs>
        <w:numPr>
          <w:ilvl w:val="2"/>
          <w:numId w:val="15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such Borrower and the Administrative Agent (in such number of copies as shall be requested by the recipient) on or prior to the date on which such Foreign Lender becomes a party to this Agreement (and from time to time thereafter upon the reasonable request of such Borrower or the Administrative Agent), whichever of the following is applicable:</w:t>
      </w:r>
    </w:p>
    <w:p>
      <w:pPr>
        <w:spacing w:after="0" w:line="171" w:lineRule="exact"/>
        <w:rPr>
          <w:rFonts w:ascii="Arial" w:cs="Arial" w:eastAsia="Arial" w:hAnsi="Arial"/>
          <w:sz w:val="19"/>
          <w:szCs w:val="19"/>
          <w:color w:val="auto"/>
        </w:rPr>
      </w:pPr>
    </w:p>
    <w:p>
      <w:pPr>
        <w:ind w:left="1960" w:right="80" w:firstLine="1288"/>
        <w:spacing w:after="0" w:line="214" w:lineRule="auto"/>
        <w:tabs>
          <w:tab w:leader="none" w:pos="3685" w:val="left"/>
        </w:tabs>
        <w:numPr>
          <w:ilvl w:val="3"/>
          <w:numId w:val="157"/>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originals or certified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57" w:lineRule="exact"/>
        <w:rPr>
          <w:rFonts w:ascii="Arial" w:cs="Arial" w:eastAsia="Arial" w:hAnsi="Arial"/>
          <w:sz w:val="20"/>
          <w:szCs w:val="20"/>
          <w:color w:val="auto"/>
        </w:rPr>
      </w:pPr>
    </w:p>
    <w:p>
      <w:pPr>
        <w:ind w:left="1960" w:right="160" w:firstLine="1288"/>
        <w:spacing w:after="0" w:line="259" w:lineRule="auto"/>
        <w:tabs>
          <w:tab w:leader="none" w:pos="3685" w:val="left"/>
        </w:tabs>
        <w:numPr>
          <w:ilvl w:val="3"/>
          <w:numId w:val="157"/>
        </w:numPr>
        <w:rPr>
          <w:rFonts w:ascii="Arial" w:cs="Arial" w:eastAsia="Arial" w:hAnsi="Arial"/>
          <w:sz w:val="18"/>
          <w:szCs w:val="18"/>
          <w:color w:val="auto"/>
        </w:rPr>
      </w:pPr>
      <w:r>
        <w:rPr>
          <w:rFonts w:ascii="Arial" w:cs="Arial" w:eastAsia="Arial" w:hAnsi="Arial"/>
          <w:sz w:val="18"/>
          <w:szCs w:val="18"/>
          <w:color w:val="auto"/>
        </w:rPr>
        <w:t>executed originals or certified copies of IRS Form W-8ECI claiming that specified payments (as applicable) hereunder or any other Loan Documents (as applicable) constitute income that is effectively connected with such Foreign Lender’s conduct of a trade or business in the United States or IRS Form W-8EXP;</w:t>
      </w:r>
    </w:p>
    <w:p>
      <w:pPr>
        <w:spacing w:after="0" w:line="139" w:lineRule="exact"/>
        <w:rPr>
          <w:rFonts w:ascii="Arial" w:cs="Arial" w:eastAsia="Arial" w:hAnsi="Arial"/>
          <w:sz w:val="18"/>
          <w:szCs w:val="18"/>
          <w:color w:val="auto"/>
        </w:rPr>
      </w:pPr>
    </w:p>
    <w:p>
      <w:pPr>
        <w:ind w:left="1960" w:right="280" w:firstLine="1288"/>
        <w:spacing w:after="0" w:line="236" w:lineRule="auto"/>
        <w:tabs>
          <w:tab w:leader="none" w:pos="3685" w:val="left"/>
        </w:tabs>
        <w:numPr>
          <w:ilvl w:val="3"/>
          <w:numId w:val="157"/>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Code, (x)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20" w:top="1405" w:right="399" w:bottom="1440" w:gutter="0" w:footer="0" w:header="0"/>
        </w:sectPr>
      </w:pPr>
    </w:p>
    <w:bookmarkStart w:id="178" w:name="page179"/>
    <w:bookmarkEnd w:id="178"/>
    <w:p>
      <w:pPr>
        <w:ind w:left="1960"/>
        <w:spacing w:after="0"/>
        <w:rPr>
          <w:sz w:val="20"/>
          <w:szCs w:val="20"/>
          <w:color w:val="auto"/>
        </w:rPr>
      </w:pPr>
      <w:r>
        <w:rPr>
          <w:rFonts w:ascii="Arial" w:cs="Arial" w:eastAsia="Arial" w:hAnsi="Arial"/>
          <w:sz w:val="18"/>
          <w:szCs w:val="18"/>
          <w:color w:val="auto"/>
        </w:rPr>
        <w:t xml:space="preserve">certificate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to the effect that such Foreign Lender is not a “bank” within the</w:t>
      </w:r>
    </w:p>
    <w:p>
      <w:pPr>
        <w:spacing w:after="0" w:line="12" w:lineRule="exact"/>
        <w:rPr>
          <w:sz w:val="20"/>
          <w:szCs w:val="20"/>
          <w:color w:val="auto"/>
        </w:rPr>
      </w:pPr>
    </w:p>
    <w:p>
      <w:pPr>
        <w:ind w:left="1960" w:right="240"/>
        <w:spacing w:after="0" w:line="226" w:lineRule="auto"/>
        <w:rPr>
          <w:sz w:val="20"/>
          <w:szCs w:val="20"/>
          <w:color w:val="auto"/>
        </w:rPr>
      </w:pPr>
      <w:r>
        <w:rPr>
          <w:rFonts w:ascii="Arial" w:cs="Arial" w:eastAsia="Arial" w:hAnsi="Arial"/>
          <w:sz w:val="18"/>
          <w:szCs w:val="18"/>
          <w:color w:val="auto"/>
        </w:rPr>
        <w:t>meaning of Section 881(c)(3)(A) of the Code, a “10 percent shareholder” of such Borrower within the meaning of Section 881(c)(3)(B) of the Code, or a “controlled foreign corporation” described in Section 881(c)(3)(C) of the</w:t>
      </w:r>
    </w:p>
    <w:p>
      <w:pPr>
        <w:spacing w:after="0" w:line="2" w:lineRule="exact"/>
        <w:rPr>
          <w:sz w:val="20"/>
          <w:szCs w:val="20"/>
          <w:color w:val="auto"/>
        </w:rPr>
      </w:pPr>
    </w:p>
    <w:p>
      <w:pPr>
        <w:ind w:left="1960" w:right="80"/>
        <w:spacing w:after="0" w:line="227" w:lineRule="auto"/>
        <w:rPr>
          <w:sz w:val="20"/>
          <w:szCs w:val="20"/>
          <w:color w:val="auto"/>
        </w:rPr>
      </w:pPr>
      <w:r>
        <w:rPr>
          <w:rFonts w:ascii="Arial" w:cs="Arial" w:eastAsia="Arial" w:hAnsi="Arial"/>
          <w:sz w:val="20"/>
          <w:szCs w:val="20"/>
          <w:color w:val="auto"/>
        </w:rPr>
        <w:t>Code (a “</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and (y) executed originals or certified copies of IRS Form W-8BEN or IRS Form W-8BEN-E; or</w:t>
      </w:r>
    </w:p>
    <w:p>
      <w:pPr>
        <w:spacing w:after="0" w:line="156" w:lineRule="exact"/>
        <w:rPr>
          <w:sz w:val="20"/>
          <w:szCs w:val="20"/>
          <w:color w:val="auto"/>
        </w:rPr>
      </w:pPr>
    </w:p>
    <w:p>
      <w:pPr>
        <w:ind w:left="1960" w:firstLine="1288"/>
        <w:spacing w:after="0" w:line="225" w:lineRule="auto"/>
        <w:tabs>
          <w:tab w:leader="none" w:pos="368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or certified copies of IRS Form W-8IMY, accompanied by IRS Form W-8ECI, IRS Form W-8BEN or IRS Form W-8BEN-E, a U.S. Tax Compliance Certificate substantially in the form of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C-3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C-4</w:t>
      </w:r>
      <w:r>
        <w:rPr>
          <w:rFonts w:ascii="Arial" w:cs="Arial" w:eastAsia="Arial" w:hAnsi="Arial"/>
          <w:sz w:val="19"/>
          <w:szCs w:val="19"/>
          <w:color w:val="auto"/>
        </w:rPr>
        <w:t xml:space="preserve"> on behalf of each such direct and indirect partner;</w:t>
      </w:r>
    </w:p>
    <w:p>
      <w:pPr>
        <w:spacing w:after="0" w:line="172" w:lineRule="exact"/>
        <w:rPr>
          <w:rFonts w:ascii="Arial" w:cs="Arial" w:eastAsia="Arial" w:hAnsi="Arial"/>
          <w:sz w:val="19"/>
          <w:szCs w:val="19"/>
          <w:color w:val="auto"/>
        </w:rPr>
      </w:pPr>
    </w:p>
    <w:p>
      <w:pPr>
        <w:ind w:left="1300" w:right="40" w:firstLine="1300"/>
        <w:spacing w:after="0" w:line="225" w:lineRule="auto"/>
        <w:tabs>
          <w:tab w:leader="none" w:pos="305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such Borrower and the Administrative Agent (in such number of copies as shall be requested by the recipient) on or prior to the date on which such Foreign Lender becomes a party to this Agreement (and from time to time thereafter upon the reasonable request of such Borrower or the Administrative Agent), executed originals or certified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59" w:lineRule="exact"/>
        <w:rPr>
          <w:rFonts w:ascii="Arial" w:cs="Arial" w:eastAsia="Arial" w:hAnsi="Arial"/>
          <w:sz w:val="19"/>
          <w:szCs w:val="19"/>
          <w:color w:val="auto"/>
        </w:rPr>
      </w:pPr>
    </w:p>
    <w:p>
      <w:pPr>
        <w:ind w:left="1300" w:right="80" w:firstLine="1300"/>
        <w:spacing w:after="0" w:line="235" w:lineRule="auto"/>
        <w:tabs>
          <w:tab w:leader="none" w:pos="306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Recipient has complied with such Recipient’s obligations under FATCA or to determine the amount to deduct and withhold from such payment. Solely for purposes of this clause (D), “FATCA” shall include any amendments made to FATCA after the date of this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Recipient agrees that if any form or certification it previously delivered expires or becomes obsolete or inaccurate in any</w:t>
      </w:r>
    </w:p>
    <w:p>
      <w:pPr>
        <w:ind w:right="220"/>
        <w:spacing w:after="0" w:line="226" w:lineRule="auto"/>
        <w:rPr>
          <w:sz w:val="20"/>
          <w:szCs w:val="20"/>
          <w:color w:val="auto"/>
        </w:rPr>
      </w:pPr>
      <w:r>
        <w:rPr>
          <w:rFonts w:ascii="Arial" w:cs="Arial" w:eastAsia="Arial" w:hAnsi="Arial"/>
          <w:sz w:val="18"/>
          <w:szCs w:val="18"/>
          <w:color w:val="auto"/>
        </w:rPr>
        <w:t>respect, it shall update such form or certification or promptly notify the applicable Borrower and the Administrative Agent in writing of its legal inability to do so. Notwithstanding any other provision of this paragraph (f), a Recipient shall not be required to deliver any form that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Recipient is not legally eligible to deliver.</w:t>
      </w:r>
    </w:p>
    <w:p>
      <w:pPr>
        <w:spacing w:after="0" w:line="173" w:lineRule="exact"/>
        <w:rPr>
          <w:sz w:val="20"/>
          <w:szCs w:val="20"/>
          <w:color w:val="auto"/>
        </w:rPr>
      </w:pPr>
    </w:p>
    <w:p>
      <w:pPr>
        <w:ind w:right="60" w:firstLine="1304"/>
        <w:spacing w:after="0" w:line="214" w:lineRule="auto"/>
        <w:tabs>
          <w:tab w:leader="none" w:pos="1724"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If any party determines, in its sole discretion exercised in good faith, that it has received a refund (directly or on an affiliated group basis) of any Taxes (for this purpose, including a credit in lieu of a refund (for the avoidance of doubt, any such credit shall not include a federal foreign tax credit under Code Section 901)) as to which it has been indemnified pursuant to this Section 2.17 (including by the payment of additional amounts pursuant to this Section 2.17), it shall pay to the indemnifying party an amount equal to such refund (but only to the extent of indemnity payments made, or additional amounts paid, under this Section 2.17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the Taxes giving rise to such refund), net of all out-of-pocket expenses (including Taxes) of such indemnified party and without interest</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(other than any interest paid by the relevant Governmental Authority with respect to such refund). Such indemnifying party, upon the request of such indemnified party, shall repay to such indemnified party the amount paid over pursuant to this paragraph (g) (plus any penalties,</w:t>
      </w:r>
    </w:p>
    <w:p>
      <w:pPr>
        <w:spacing w:after="0" w:line="236" w:lineRule="auto"/>
        <w:rPr>
          <w:sz w:val="20"/>
          <w:szCs w:val="20"/>
          <w:color w:val="auto"/>
        </w:rPr>
      </w:pPr>
      <w:r>
        <w:rPr>
          <w:rFonts w:ascii="Arial" w:cs="Arial" w:eastAsia="Arial" w:hAnsi="Arial"/>
          <w:sz w:val="18"/>
          <w:szCs w:val="18"/>
          <w:color w:val="auto"/>
        </w:rPr>
        <w:t>interest or other charges imposed by the relevant Governmental Authority) in the event that such indemnified party is required to repay such</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refund to such Governmental Authority. Notwithstanding anything to the contrary in this paragraph (g) in no event will the indemnified party be required to pay any amount to an indemnifying party pursuant to this paragraph (g) the payment of which would place the indemnified</w:t>
      </w:r>
    </w:p>
    <w:p>
      <w:pPr>
        <w:spacing w:after="0" w:line="236" w:lineRule="auto"/>
        <w:rPr>
          <w:sz w:val="20"/>
          <w:szCs w:val="20"/>
          <w:color w:val="auto"/>
        </w:rPr>
      </w:pPr>
      <w:r>
        <w:rPr>
          <w:rFonts w:ascii="Arial" w:cs="Arial" w:eastAsia="Arial" w:hAnsi="Arial"/>
          <w:sz w:val="18"/>
          <w:szCs w:val="18"/>
          <w:color w:val="auto"/>
        </w:rPr>
        <w:t>party in a less favorable net after-Tax position than the indemnified party would have been in if the Tax subject to indemnification and giving</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rise to such refund had not been deducted, withheld or otherwise imposed and the indemnification payments or additional amounts with respect to such Tax had never been paid. This paragraph shall not be construed to require any indemnified party to make available its Tax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returns (or any other information relating to its Taxes that it deems confidential) to the indemnifying party or any other Person.</w:t>
      </w:r>
    </w:p>
    <w:p>
      <w:pPr>
        <w:spacing w:after="0" w:line="173" w:lineRule="exact"/>
        <w:rPr>
          <w:sz w:val="20"/>
          <w:szCs w:val="20"/>
          <w:color w:val="auto"/>
        </w:rPr>
      </w:pPr>
    </w:p>
    <w:p>
      <w:pPr>
        <w:jc w:val="both"/>
        <w:ind w:right="880" w:firstLine="1304"/>
        <w:spacing w:after="0" w:line="235" w:lineRule="auto"/>
        <w:tabs>
          <w:tab w:leader="none" w:pos="1724"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8" w:lineRule="exact"/>
        <w:rPr>
          <w:rFonts w:ascii="Arial" w:cs="Arial" w:eastAsia="Arial" w:hAnsi="Arial"/>
          <w:sz w:val="19"/>
          <w:szCs w:val="19"/>
          <w:color w:val="auto"/>
        </w:rPr>
      </w:pPr>
    </w:p>
    <w:p>
      <w:pPr>
        <w:ind w:right="900" w:firstLine="1304"/>
        <w:spacing w:after="0" w:line="229" w:lineRule="auto"/>
        <w:tabs>
          <w:tab w:leader="none" w:pos="1681"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2.17, the term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includes any Issuing Bank and the term “</w:t>
      </w:r>
      <w:r>
        <w:rPr>
          <w:rFonts w:ascii="Arial" w:cs="Arial" w:eastAsia="Arial" w:hAnsi="Arial"/>
          <w:sz w:val="20"/>
          <w:szCs w:val="20"/>
          <w:b w:val="1"/>
          <w:bCs w:val="1"/>
          <w:i w:val="1"/>
          <w:iCs w:val="1"/>
          <w:color w:val="auto"/>
        </w:rPr>
        <w:t>applicable law</w:t>
      </w:r>
      <w:r>
        <w:rPr>
          <w:rFonts w:ascii="Arial" w:cs="Arial" w:eastAsia="Arial" w:hAnsi="Arial"/>
          <w:sz w:val="20"/>
          <w:szCs w:val="20"/>
          <w:color w:val="auto"/>
        </w:rPr>
        <w:t>” includes FATCA.</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(a) Each Borrower shall make each payment required to</w:t>
      </w:r>
    </w:p>
    <w:p>
      <w:pPr>
        <w:ind w:right="360"/>
        <w:spacing w:after="0" w:line="226" w:lineRule="auto"/>
        <w:rPr>
          <w:sz w:val="20"/>
          <w:szCs w:val="20"/>
          <w:color w:val="auto"/>
        </w:rPr>
      </w:pPr>
      <w:r>
        <w:rPr>
          <w:rFonts w:ascii="Arial" w:cs="Arial" w:eastAsia="Arial" w:hAnsi="Arial"/>
          <w:sz w:val="18"/>
          <w:szCs w:val="18"/>
          <w:color w:val="auto"/>
        </w:rPr>
        <w:t>be made by it hereunder (whether of principal, interest, fees or reimbursement of LC Disbursements, or of amounts payable under Section 2.15, 2.16 or 2.17, or otherwise) prior to 12:00 noon, New York City time, on the date when due, in immediately available funds,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without set off or counterclaim. Any amounts received after such time on any date may, in the discretion of the Administrative Agent, be deemed to have been received on the next succeeding Business Day for purposes of calculating interest thereon. All such payments shall be</w:t>
      </w:r>
    </w:p>
    <w:p>
      <w:pPr>
        <w:spacing w:after="0" w:line="235" w:lineRule="auto"/>
        <w:rPr>
          <w:sz w:val="20"/>
          <w:szCs w:val="20"/>
          <w:color w:val="auto"/>
        </w:rPr>
      </w:pPr>
      <w:r>
        <w:rPr>
          <w:rFonts w:ascii="Arial" w:cs="Arial" w:eastAsia="Arial" w:hAnsi="Arial"/>
          <w:sz w:val="18"/>
          <w:szCs w:val="18"/>
          <w:color w:val="auto"/>
        </w:rPr>
        <w:t>made to the Administrative Agent at the Payment Office, except payments to be made directly to the Issuing Bank or Swingline Lender as</w:t>
      </w:r>
    </w:p>
    <w:p>
      <w:pPr>
        <w:ind w:right="400"/>
        <w:spacing w:after="0" w:line="255" w:lineRule="auto"/>
        <w:rPr>
          <w:sz w:val="20"/>
          <w:szCs w:val="20"/>
          <w:color w:val="auto"/>
        </w:rPr>
      </w:pPr>
      <w:r>
        <w:rPr>
          <w:rFonts w:ascii="Arial" w:cs="Arial" w:eastAsia="Arial" w:hAnsi="Arial"/>
          <w:sz w:val="16"/>
          <w:szCs w:val="16"/>
          <w:color w:val="auto"/>
        </w:rPr>
        <w:t>expressly provided herein and except that payments pursuant to Sections 2.15, 2.16, 2.17 and 10.03 shall be made directly to the Persons entitled thereto. The Administrative Agent shall distribute any such payments received by it for the account of any other Person to the</w:t>
      </w:r>
    </w:p>
    <w:p>
      <w:pPr>
        <w:spacing w:after="0" w:line="235" w:lineRule="auto"/>
        <w:rPr>
          <w:sz w:val="20"/>
          <w:szCs w:val="20"/>
          <w:color w:val="auto"/>
        </w:rPr>
      </w:pPr>
      <w:r>
        <w:rPr>
          <w:rFonts w:ascii="Arial" w:cs="Arial" w:eastAsia="Arial" w:hAnsi="Arial"/>
          <w:sz w:val="18"/>
          <w:szCs w:val="18"/>
          <w:color w:val="auto"/>
        </w:rPr>
        <w:t>appropriate recipient promptly following receipt thereof. If any payment hereunder shall be due on a day that is not a Business Day, the date</w:t>
      </w:r>
    </w:p>
    <w:p>
      <w:pPr>
        <w:ind w:right="120"/>
        <w:spacing w:after="0" w:line="255" w:lineRule="auto"/>
        <w:rPr>
          <w:sz w:val="20"/>
          <w:szCs w:val="20"/>
          <w:color w:val="auto"/>
        </w:rPr>
      </w:pPr>
      <w:r>
        <w:rPr>
          <w:rFonts w:ascii="Arial" w:cs="Arial" w:eastAsia="Arial" w:hAnsi="Arial"/>
          <w:sz w:val="16"/>
          <w:szCs w:val="16"/>
          <w:color w:val="auto"/>
        </w:rPr>
        <w:t xml:space="preserve">for payment shall be extended to the next succeeding Business Day, and, in the case of any payment accruing interest, interest thereon shall be payable for the period of such extension. All payments hereunder shall be made in dollars;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with respect to any</w:t>
      </w:r>
    </w:p>
    <w:p>
      <w:pPr>
        <w:spacing w:after="0" w:line="223" w:lineRule="auto"/>
        <w:rPr>
          <w:sz w:val="20"/>
          <w:szCs w:val="20"/>
          <w:color w:val="auto"/>
        </w:rPr>
      </w:pPr>
      <w:r>
        <w:rPr>
          <w:rFonts w:ascii="Arial" w:cs="Arial" w:eastAsia="Arial" w:hAnsi="Arial"/>
          <w:sz w:val="19"/>
          <w:szCs w:val="19"/>
          <w:color w:val="auto"/>
        </w:rPr>
        <w:t>Foreign Currency Loan, all payments (including prepayments) to any Revolving Lender of the principal of or interest on such Foreign</w:t>
      </w:r>
    </w:p>
    <w:p>
      <w:pPr>
        <w:ind w:right="300"/>
        <w:spacing w:after="0" w:line="255" w:lineRule="auto"/>
        <w:rPr>
          <w:sz w:val="20"/>
          <w:szCs w:val="20"/>
          <w:color w:val="auto"/>
        </w:rPr>
      </w:pPr>
      <w:r>
        <w:rPr>
          <w:rFonts w:ascii="Arial" w:cs="Arial" w:eastAsia="Arial" w:hAnsi="Arial"/>
          <w:sz w:val="16"/>
          <w:szCs w:val="16"/>
          <w:color w:val="auto"/>
        </w:rPr>
        <w:t>Currency Loan shall be made in the same Designated Foreign Currency as the original Loan, and (ii) with respect to any Letter of Credit issued in a Designated Foreign Currency, all payments with respect to such Letter of Credit shall be made in the same Designated Foreign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Currency in which each such Letter of Credit was issued. Each payment (including each prepayment) by the Term Loan Borrower on account</w:t>
      </w:r>
    </w:p>
    <w:p>
      <w:pPr>
        <w:spacing w:after="0" w:line="19"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of principal of and interest on the Term Loans shall be made pro rata according to the respective outstanding principal amounts of the Term Loans then held by the Term Loan Lenders. Each payment (including each prepayment) by a Revolving Borrower on account of principal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interest on the Revolving Loans shall be made pro rata according to the respective Revolving Percentages of the Revolving Lenders.</w:t>
      </w:r>
    </w:p>
    <w:p>
      <w:pPr>
        <w:spacing w:after="0" w:line="196" w:lineRule="exact"/>
        <w:rPr>
          <w:sz w:val="20"/>
          <w:szCs w:val="20"/>
          <w:color w:val="auto"/>
        </w:rPr>
      </w:pPr>
    </w:p>
    <w:p>
      <w:pPr>
        <w:ind w:firstLine="1304"/>
        <w:spacing w:after="0" w:line="239" w:lineRule="auto"/>
        <w:tabs>
          <w:tab w:leader="none" w:pos="172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80" w:name="page181"/>
    <w:bookmarkEnd w:id="180"/>
    <w:p>
      <w:pPr>
        <w:ind w:right="40" w:firstLine="1304"/>
        <w:spacing w:after="0" w:line="233" w:lineRule="auto"/>
        <w:tabs>
          <w:tab w:leader="none" w:pos="171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 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3" w:lineRule="exact"/>
        <w:rPr>
          <w:rFonts w:ascii="Arial" w:cs="Arial" w:eastAsia="Arial" w:hAnsi="Arial"/>
          <w:sz w:val="18"/>
          <w:szCs w:val="18"/>
          <w:color w:val="auto"/>
        </w:rPr>
      </w:pPr>
    </w:p>
    <w:p>
      <w:pPr>
        <w:ind w:right="40" w:firstLine="1304"/>
        <w:spacing w:after="0" w:line="223" w:lineRule="auto"/>
        <w:tabs>
          <w:tab w:leader="none" w:pos="172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applicable Borrower prior to the date on which any payment is due to the Administrative Agent for the account of the Lenders or the Issuing Bank hereunder that such Borrower will not make such payment, the Administrative Agent may assume that such Borrower has made such payment on such date in accordance herewith and may, in reliance upon such assumption, distribute to the Lenders or the Issuing Bank, as the case may be, the amount due. In such event, if such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57" w:lineRule="exact"/>
        <w:rPr>
          <w:rFonts w:ascii="Arial" w:cs="Arial" w:eastAsia="Arial" w:hAnsi="Arial"/>
          <w:sz w:val="19"/>
          <w:szCs w:val="19"/>
          <w:color w:val="auto"/>
        </w:rPr>
      </w:pPr>
    </w:p>
    <w:p>
      <w:pPr>
        <w:ind w:right="160" w:firstLine="1304"/>
        <w:spacing w:after="0" w:line="225" w:lineRule="auto"/>
        <w:tabs>
          <w:tab w:leader="none" w:pos="1713"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pursuant to Section 2.05(c), Section 2.06(d), Section 2.06(e), Section 2.07(b), Section 2.18(d) or Section 10.03(c), then the Administrative Agent may, in its discretion and notwithstanding any contrary provision hereof, apply any amounts thereafter received by the Administrative Agent for the account of such Lender to satisfy such Lender’s obligations under such Sections until all such unsatisfied obligations are fully paid, and/or (ii) hold such amounts in a segregated account over which the Administrative Agent shall have exclusive control as cash collateral for, and application to, any future funding obligations of such Lender under any such Section, in the case of each of clause (i) and (ii) above, in any order as determined by the Administrative Agent in its discretion.</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 (a) If any Lender requests compensation under Section 2.15, or if a</w:t>
      </w:r>
    </w:p>
    <w:p>
      <w:pPr>
        <w:ind w:right="240"/>
        <w:spacing w:after="0" w:line="226" w:lineRule="auto"/>
        <w:rPr>
          <w:sz w:val="20"/>
          <w:szCs w:val="20"/>
          <w:color w:val="auto"/>
        </w:rPr>
      </w:pPr>
      <w:r>
        <w:rPr>
          <w:rFonts w:ascii="Arial" w:cs="Arial" w:eastAsia="Arial" w:hAnsi="Arial"/>
          <w:sz w:val="18"/>
          <w:szCs w:val="18"/>
          <w:color w:val="auto"/>
        </w:rPr>
        <w:t>Borrower is required to pay any Indemnified Taxes or additional amounts to any Lender or any Governmental Authority for the account of any Lender pursuant to Section 2.17, then such Lender shall use reasonable efforts to designate a different lending office for funding or</w:t>
      </w:r>
    </w:p>
    <w:p>
      <w:pPr>
        <w:spacing w:after="0" w:line="224" w:lineRule="auto"/>
        <w:rPr>
          <w:sz w:val="20"/>
          <w:szCs w:val="20"/>
          <w:color w:val="auto"/>
        </w:rPr>
      </w:pPr>
      <w:r>
        <w:rPr>
          <w:rFonts w:ascii="Arial" w:cs="Arial" w:eastAsia="Arial" w:hAnsi="Arial"/>
          <w:sz w:val="19"/>
          <w:szCs w:val="19"/>
          <w:color w:val="auto"/>
        </w:rPr>
        <w:t>booking its Loans hereunder or to assign its rights and obligations hereunder to another of its offices, branches or affiliates, if, in the</w:t>
      </w:r>
    </w:p>
    <w:p>
      <w:pPr>
        <w:spacing w:after="0" w:line="226" w:lineRule="auto"/>
        <w:rPr>
          <w:sz w:val="20"/>
          <w:szCs w:val="20"/>
          <w:color w:val="auto"/>
        </w:rPr>
      </w:pPr>
      <w:r>
        <w:rPr>
          <w:rFonts w:ascii="Arial" w:cs="Arial" w:eastAsia="Arial" w:hAnsi="Arial"/>
          <w:sz w:val="18"/>
          <w:szCs w:val="18"/>
          <w:color w:val="auto"/>
        </w:rPr>
        <w:t>judgment of such Lender, such designation or assignment (i) would eliminate or reduce amounts payable pursuant to Sections 2.15 or 2.17, as the case may be, in the future and (ii) would not subject such Lender to any unreimbursed cost or expense and would not otherwise be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disadvantageous to such Lender. Each Borrower hereby agrees to pay all reasonable costs and expenses incurred by any Lender in connection with any such designation or assignment.</w:t>
      </w:r>
    </w:p>
    <w:p>
      <w:pPr>
        <w:spacing w:after="0" w:line="156" w:lineRule="exact"/>
        <w:rPr>
          <w:sz w:val="20"/>
          <w:szCs w:val="20"/>
          <w:color w:val="auto"/>
        </w:rPr>
      </w:pPr>
    </w:p>
    <w:p>
      <w:pPr>
        <w:ind w:right="340" w:firstLine="1304"/>
        <w:spacing w:after="0" w:line="236" w:lineRule="auto"/>
        <w:tabs>
          <w:tab w:leader="none" w:pos="1725"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If (i) any Lender requests compensation under Section 2.15, or (ii) if a Borrower is required to pay any Indemnified Taxes or additional amounts to any Lender or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Authority for the account of any Lender pursuant to Section 2.17, or (iii) if any Lender becomes Defaulting Lender, or (iv) any Lender has</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refused to consent to any proposed amendment, modification, waiver, termination or consent with respect to any provision of this Agreement or any other Loan Document that, pursuant to Section 10.02, requires the consent of all Lenders or each Lender affected thereby and with</w:t>
      </w:r>
    </w:p>
    <w:p>
      <w:pPr>
        <w:spacing w:after="0" w:line="236" w:lineRule="auto"/>
        <w:rPr>
          <w:sz w:val="20"/>
          <w:szCs w:val="20"/>
          <w:color w:val="auto"/>
        </w:rPr>
      </w:pPr>
      <w:r>
        <w:rPr>
          <w:rFonts w:ascii="Arial" w:cs="Arial" w:eastAsia="Arial" w:hAnsi="Arial"/>
          <w:sz w:val="18"/>
          <w:szCs w:val="18"/>
          <w:color w:val="auto"/>
        </w:rPr>
        <w:t>respect to which Lenders constituting the Required Lenders have consented to such proposed amendment, modification, waiver, termination</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or consent, or (v) any Lender constitutes a Non-Extending Lender, then such Borrower may, at its sole expense and effort, upon notice to such Lender and the Administrative Agent, require such Lender to assign and delegate, without recourse (in accordance with and subject to</w:t>
      </w:r>
    </w:p>
    <w:p>
      <w:pPr>
        <w:spacing w:after="0" w:line="235" w:lineRule="auto"/>
        <w:rPr>
          <w:sz w:val="20"/>
          <w:szCs w:val="20"/>
          <w:color w:val="auto"/>
        </w:rPr>
      </w:pPr>
      <w:r>
        <w:rPr>
          <w:rFonts w:ascii="Arial" w:cs="Arial" w:eastAsia="Arial" w:hAnsi="Arial"/>
          <w:sz w:val="18"/>
          <w:szCs w:val="18"/>
          <w:color w:val="auto"/>
        </w:rPr>
        <w:t>the restrictions contained in Section 10.04), all its interests, rights (other than its existing rights to payments pursuant to Sections 2.15 or</w:t>
      </w:r>
    </w:p>
    <w:p>
      <w:pPr>
        <w:ind w:right="180"/>
        <w:spacing w:after="0" w:line="255" w:lineRule="auto"/>
        <w:rPr>
          <w:sz w:val="20"/>
          <w:szCs w:val="20"/>
          <w:color w:val="auto"/>
        </w:rPr>
      </w:pPr>
      <w:r>
        <w:rPr>
          <w:rFonts w:ascii="Arial" w:cs="Arial" w:eastAsia="Arial" w:hAnsi="Arial"/>
          <w:sz w:val="16"/>
          <w:szCs w:val="16"/>
          <w:color w:val="auto"/>
        </w:rPr>
        <w:t xml:space="preserve">2.17) and obligations under this Agreement to an assignee that shall assume such obligations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Borrower shall have received the prior written consent of the Administrative Agent</w:t>
      </w:r>
    </w:p>
    <w:p>
      <w:pPr>
        <w:spacing w:after="0" w:line="235" w:lineRule="auto"/>
        <w:rPr>
          <w:sz w:val="20"/>
          <w:szCs w:val="20"/>
          <w:color w:val="auto"/>
        </w:rPr>
      </w:pPr>
      <w:r>
        <w:rPr>
          <w:rFonts w:ascii="Arial" w:cs="Arial" w:eastAsia="Arial" w:hAnsi="Arial"/>
          <w:sz w:val="18"/>
          <w:szCs w:val="18"/>
          <w:color w:val="auto"/>
        </w:rPr>
        <w:t>(and if a Revolving Commitment is being assigned, the Issuing Bank and the Swingline Lender), which consent shall not unreasonably be</w:t>
      </w:r>
    </w:p>
    <w:p>
      <w:pPr>
        <w:ind w:right="120"/>
        <w:spacing w:after="0" w:line="255" w:lineRule="auto"/>
        <w:rPr>
          <w:sz w:val="20"/>
          <w:szCs w:val="20"/>
          <w:color w:val="auto"/>
        </w:rPr>
      </w:pPr>
      <w:r>
        <w:rPr>
          <w:rFonts w:ascii="Arial" w:cs="Arial" w:eastAsia="Arial" w:hAnsi="Arial"/>
          <w:sz w:val="16"/>
          <w:szCs w:val="16"/>
          <w:color w:val="auto"/>
        </w:rPr>
        <w:t>withheld, (ii) such Lender shall have received payment of an amount equal to the outstanding principal of its Loans and participations in LC Disbursements and Swingline Loans, accrued interest thereon, accrued fees and all other amounts payable to it hereunder, from the assignee</w:t>
      </w:r>
    </w:p>
    <w:p>
      <w:pPr>
        <w:spacing w:after="0" w:line="235" w:lineRule="auto"/>
        <w:rPr>
          <w:sz w:val="20"/>
          <w:szCs w:val="20"/>
          <w:color w:val="auto"/>
        </w:rPr>
      </w:pPr>
      <w:r>
        <w:rPr>
          <w:rFonts w:ascii="Arial" w:cs="Arial" w:eastAsia="Arial" w:hAnsi="Arial"/>
          <w:sz w:val="18"/>
          <w:szCs w:val="18"/>
          <w:color w:val="auto"/>
        </w:rPr>
        <w:t>(to the extent of such outstanding principal and accrued interest and fees) or such Borrower (in the case of all other amounts), (iii) in the case</w:t>
      </w:r>
    </w:p>
    <w:p>
      <w:pPr>
        <w:ind w:right="540"/>
        <w:spacing w:after="0" w:line="255" w:lineRule="auto"/>
        <w:rPr>
          <w:sz w:val="20"/>
          <w:szCs w:val="20"/>
          <w:color w:val="auto"/>
        </w:rPr>
      </w:pPr>
      <w:r>
        <w:rPr>
          <w:rFonts w:ascii="Arial" w:cs="Arial" w:eastAsia="Arial" w:hAnsi="Arial"/>
          <w:sz w:val="16"/>
          <w:szCs w:val="16"/>
          <w:color w:val="auto"/>
        </w:rPr>
        <w:t>of any such assignment resulting from a claim for compensation under Section 2.15 or payments required to be made pursuant to Section 2.17, such assignment will result in a reduction in such compensation or payments, and (iv) in the case of any such assignment</w:t>
      </w:r>
    </w:p>
    <w:p>
      <w:pPr>
        <w:spacing w:after="0" w:line="235" w:lineRule="auto"/>
        <w:rPr>
          <w:sz w:val="20"/>
          <w:szCs w:val="20"/>
          <w:color w:val="auto"/>
        </w:rPr>
      </w:pPr>
      <w:r>
        <w:rPr>
          <w:rFonts w:ascii="Arial" w:cs="Arial" w:eastAsia="Arial" w:hAnsi="Arial"/>
          <w:sz w:val="18"/>
          <w:szCs w:val="18"/>
          <w:color w:val="auto"/>
        </w:rPr>
        <w:t>resulting from a Lender’s refusal to consent to a proposed amendment, modification, waiver, termination or consent, the assignee shall</w:t>
      </w:r>
    </w:p>
    <w:p>
      <w:pPr>
        <w:ind w:right="20"/>
        <w:spacing w:after="0" w:line="255" w:lineRule="auto"/>
        <w:rPr>
          <w:sz w:val="20"/>
          <w:szCs w:val="20"/>
          <w:color w:val="auto"/>
        </w:rPr>
      </w:pPr>
      <w:r>
        <w:rPr>
          <w:rFonts w:ascii="Arial" w:cs="Arial" w:eastAsia="Arial" w:hAnsi="Arial"/>
          <w:sz w:val="16"/>
          <w:szCs w:val="16"/>
          <w:color w:val="auto"/>
        </w:rPr>
        <w:t>approve the proposed amendment, modification, waiver, termination or consent. A Lender shall not be required to make any such assignment and delegation if, prior thereto, as a result of a waiver by such Lender or otherwise, the circumstances entitling the applicable Borrower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require such assignment and delegation cease to apply.</w:t>
      </w:r>
    </w:p>
    <w:p>
      <w:pPr>
        <w:spacing w:after="0" w:line="14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2.20</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 (a) Notwithstanding any provision of this Agreement to the contrary, if any Lender becomes a</w:t>
      </w: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173" w:lineRule="exact"/>
        <w:rPr>
          <w:sz w:val="20"/>
          <w:szCs w:val="20"/>
          <w:color w:val="auto"/>
        </w:rPr>
      </w:pPr>
    </w:p>
    <w:p>
      <w:pPr>
        <w:ind w:left="660" w:right="20" w:firstLine="1292"/>
        <w:spacing w:after="0" w:line="223" w:lineRule="auto"/>
        <w:tabs>
          <w:tab w:leader="none" w:pos="234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no Defaulting Lender shall be entitled to receive any commitment fee pursuant to Section 2.12(a) for any period during which that Lender is a Defaulting Lender (and the Borrowers shall not be required to pay at any time any such fee that otherwise would have been required to have been paid to that Defaulting Lender);</w:t>
      </w:r>
    </w:p>
    <w:p>
      <w:pPr>
        <w:spacing w:after="0" w:line="168" w:lineRule="exact"/>
        <w:rPr>
          <w:rFonts w:ascii="Arial" w:cs="Arial" w:eastAsia="Arial" w:hAnsi="Arial"/>
          <w:sz w:val="20"/>
          <w:szCs w:val="20"/>
          <w:color w:val="auto"/>
        </w:rPr>
      </w:pPr>
    </w:p>
    <w:p>
      <w:pPr>
        <w:ind w:left="660" w:firstLine="1292"/>
        <w:spacing w:after="0" w:line="226" w:lineRule="auto"/>
        <w:tabs>
          <w:tab w:leader="none" w:pos="239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the Commitments, Term Loan Exposure and Revolving Credit Exposure of such Defaulting Lender shall not be included in determining whether the Required Lenders or the Required Facility Lenders have taken or may take any action hereunder (including any consent to any amendment, waiver or other modification pursuant to Section 10.02); </w:t>
      </w:r>
      <w:r>
        <w:rPr>
          <w:rFonts w:ascii="Arial" w:cs="Arial" w:eastAsia="Arial" w:hAnsi="Arial"/>
          <w:sz w:val="19"/>
          <w:szCs w:val="19"/>
          <w:i w:val="1"/>
          <w:iCs w:val="1"/>
          <w:color w:val="auto"/>
        </w:rPr>
        <w:t>provided</w:t>
      </w:r>
      <w:r>
        <w:rPr>
          <w:rFonts w:ascii="Arial" w:cs="Arial" w:eastAsia="Arial" w:hAnsi="Arial"/>
          <w:sz w:val="19"/>
          <w:szCs w:val="19"/>
          <w:color w:val="auto"/>
        </w:rPr>
        <w:t>, that (y) such Defaulting Lender’s Commitments may not be increased or extended without its consent and (z) the principal amount of, or interest or fees payable on, Loans or LC Disbursements may not be reduced or excused or the scheduled date of payment may not be postponed as to such Defaulting Lender without such Defaulting Lender’s consent;</w:t>
      </w:r>
    </w:p>
    <w:p>
      <w:pPr>
        <w:spacing w:after="0" w:line="169" w:lineRule="exact"/>
        <w:rPr>
          <w:rFonts w:ascii="Arial" w:cs="Arial" w:eastAsia="Arial" w:hAnsi="Arial"/>
          <w:sz w:val="19"/>
          <w:szCs w:val="19"/>
          <w:color w:val="auto"/>
        </w:rPr>
      </w:pPr>
    </w:p>
    <w:p>
      <w:pPr>
        <w:ind w:left="2440" w:hanging="488"/>
        <w:spacing w:after="0"/>
        <w:tabs>
          <w:tab w:leader="none" w:pos="24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198" w:lineRule="exact"/>
        <w:rPr>
          <w:rFonts w:ascii="Arial" w:cs="Arial" w:eastAsia="Arial" w:hAnsi="Arial"/>
          <w:sz w:val="18"/>
          <w:szCs w:val="18"/>
          <w:color w:val="auto"/>
        </w:rPr>
      </w:pPr>
    </w:p>
    <w:p>
      <w:pPr>
        <w:ind w:left="1300" w:right="40" w:firstLine="1300"/>
        <w:spacing w:after="0" w:line="228" w:lineRule="auto"/>
        <w:tabs>
          <w:tab w:leader="none" w:pos="3069" w:val="left"/>
        </w:tabs>
        <w:numPr>
          <w:ilvl w:val="1"/>
          <w:numId w:val="165"/>
        </w:numPr>
        <w:rPr>
          <w:rFonts w:ascii="Arial" w:cs="Arial" w:eastAsia="Arial" w:hAnsi="Arial"/>
          <w:sz w:val="19"/>
          <w:szCs w:val="19"/>
          <w:color w:val="auto"/>
        </w:rPr>
      </w:pPr>
      <w:r>
        <w:rPr>
          <w:rFonts w:ascii="Arial" w:cs="Arial" w:eastAsia="Arial" w:hAnsi="Arial"/>
          <w:sz w:val="19"/>
          <w:szCs w:val="19"/>
          <w:color w:val="auto"/>
        </w:rPr>
        <w:t>all or any part of the Swingline Exposure and LC Exposure of such Defaulting Lender shall be reallocated among the non-Defaulting Lenders that are Revolving Lenders in accordance with their respective Revolving Percentages (calculated without regard to such Defaulting Lender’s Revolving Commitment) but only to the extent that (x) the sum of all such non-Defaulting Lenders’ Revolving Credit Exposures plus such Defaulting Lender’s Swingline Exposure and LC Exposure does not exceed the total of all non-Defaulting Lenders’ Revolving Commitments and (y) the conditions set forth in Section 4.02(a) and (b) are satisfied at such time;</w:t>
      </w:r>
    </w:p>
    <w:p>
      <w:pPr>
        <w:spacing w:after="0" w:line="158" w:lineRule="exact"/>
        <w:rPr>
          <w:rFonts w:ascii="Arial" w:cs="Arial" w:eastAsia="Arial" w:hAnsi="Arial"/>
          <w:sz w:val="19"/>
          <w:szCs w:val="19"/>
          <w:color w:val="auto"/>
        </w:rPr>
      </w:pPr>
    </w:p>
    <w:p>
      <w:pPr>
        <w:ind w:left="1300" w:firstLine="1300"/>
        <w:spacing w:after="0" w:line="236" w:lineRule="auto"/>
        <w:tabs>
          <w:tab w:leader="none" w:pos="3058" w:val="left"/>
        </w:tabs>
        <w:numPr>
          <w:ilvl w:val="1"/>
          <w:numId w:val="165"/>
        </w:numPr>
        <w:rPr>
          <w:rFonts w:ascii="Arial" w:cs="Arial" w:eastAsia="Arial" w:hAnsi="Arial"/>
          <w:sz w:val="20"/>
          <w:szCs w:val="20"/>
          <w:color w:val="auto"/>
        </w:rPr>
      </w:pPr>
      <w:r>
        <w:rPr>
          <w:rFonts w:ascii="Arial" w:cs="Arial" w:eastAsia="Arial" w:hAnsi="Arial"/>
          <w:sz w:val="20"/>
          <w:szCs w:val="20"/>
          <w:color w:val="auto"/>
        </w:rPr>
        <w:t>if the reallocation described in clause (i) above cannot, or can only partially, be effected, the Revolving Borrowers shall within one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53</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82" w:name="page183"/>
    <w:bookmarkEnd w:id="182"/>
    <w:p>
      <w:pPr>
        <w:ind w:left="1280"/>
        <w:spacing w:after="0"/>
        <w:rPr>
          <w:sz w:val="20"/>
          <w:szCs w:val="20"/>
          <w:color w:val="auto"/>
        </w:rPr>
      </w:pPr>
      <w:r>
        <w:rPr>
          <w:rFonts w:ascii="Arial" w:cs="Arial" w:eastAsia="Arial" w:hAnsi="Arial"/>
          <w:sz w:val="18"/>
          <w:szCs w:val="18"/>
          <w:color w:val="auto"/>
        </w:rPr>
        <w:t>following notice by the Administrative Agent, without prejudice to any right or remedy available to them hereunder or under</w:t>
      </w:r>
    </w:p>
    <w:p>
      <w:pPr>
        <w:spacing w:after="0" w:line="12" w:lineRule="exact"/>
        <w:rPr>
          <w:sz w:val="20"/>
          <w:szCs w:val="20"/>
          <w:color w:val="auto"/>
        </w:rPr>
      </w:pPr>
    </w:p>
    <w:p>
      <w:pPr>
        <w:ind w:left="1280" w:right="20"/>
        <w:spacing w:after="0" w:line="226" w:lineRule="auto"/>
        <w:rPr>
          <w:sz w:val="20"/>
          <w:szCs w:val="20"/>
          <w:color w:val="auto"/>
        </w:rPr>
      </w:pPr>
      <w:r>
        <w:rPr>
          <w:rFonts w:ascii="Arial" w:cs="Arial" w:eastAsia="Arial" w:hAnsi="Arial"/>
          <w:sz w:val="18"/>
          <w:szCs w:val="18"/>
          <w:color w:val="auto"/>
        </w:rPr>
        <w:t>law, (x) first, prepay such Swingline Exposure and (y) second, cash collateralize for the benefit of the Issuing Bank only the Revolving Borrowers’ obligations corresponding to such Defaulting Lender’s LC Exposure (after giving effect to any partial</w:t>
      </w:r>
    </w:p>
    <w:p>
      <w:pPr>
        <w:spacing w:after="0" w:line="2" w:lineRule="exact"/>
        <w:rPr>
          <w:sz w:val="20"/>
          <w:szCs w:val="20"/>
          <w:color w:val="auto"/>
        </w:rPr>
      </w:pPr>
    </w:p>
    <w:p>
      <w:pPr>
        <w:ind w:left="1280" w:right="240"/>
        <w:spacing w:after="0" w:line="227" w:lineRule="auto"/>
        <w:rPr>
          <w:sz w:val="20"/>
          <w:szCs w:val="20"/>
          <w:color w:val="auto"/>
        </w:rPr>
      </w:pPr>
      <w:r>
        <w:rPr>
          <w:rFonts w:ascii="Arial" w:cs="Arial" w:eastAsia="Arial" w:hAnsi="Arial"/>
          <w:sz w:val="20"/>
          <w:szCs w:val="20"/>
          <w:color w:val="auto"/>
        </w:rPr>
        <w:t>reallocation pursuant to clause (i) above) in accordance with the procedures set forth in Section 2.06(j) for so long as such LC Exposure is outstanding;</w:t>
      </w:r>
    </w:p>
    <w:p>
      <w:pPr>
        <w:spacing w:after="0" w:line="156" w:lineRule="exact"/>
        <w:rPr>
          <w:sz w:val="20"/>
          <w:szCs w:val="20"/>
          <w:color w:val="auto"/>
        </w:rPr>
      </w:pPr>
    </w:p>
    <w:p>
      <w:pPr>
        <w:ind w:left="1280" w:right="380" w:firstLine="1300"/>
        <w:spacing w:after="0" w:line="220" w:lineRule="auto"/>
        <w:tabs>
          <w:tab w:leader="none" w:pos="3038" w:val="left"/>
        </w:tabs>
        <w:numPr>
          <w:ilvl w:val="2"/>
          <w:numId w:val="166"/>
        </w:numPr>
        <w:rPr>
          <w:rFonts w:ascii="Arial" w:cs="Arial" w:eastAsia="Arial" w:hAnsi="Arial"/>
          <w:sz w:val="20"/>
          <w:szCs w:val="20"/>
          <w:color w:val="auto"/>
        </w:rPr>
      </w:pPr>
      <w:r>
        <w:rPr>
          <w:rFonts w:ascii="Arial" w:cs="Arial" w:eastAsia="Arial" w:hAnsi="Arial"/>
          <w:sz w:val="20"/>
          <w:szCs w:val="20"/>
          <w:color w:val="auto"/>
        </w:rPr>
        <w:t>if a Revolving Borrower cash collateralizes any portion of such Defaulting Lender’s LC Exposure pursuant to clause (ii) above, such Revolving Borrower shall not be required to pay any fees to such Defaulting Lender pursuant to Section 2.12(c) with respect to such Defaulting Lender’s LC Exposure during the period such Defaulting Lender’s LC Exposure is cash collateralized;</w:t>
      </w:r>
    </w:p>
    <w:p>
      <w:pPr>
        <w:spacing w:after="0" w:line="169" w:lineRule="exact"/>
        <w:rPr>
          <w:rFonts w:ascii="Arial" w:cs="Arial" w:eastAsia="Arial" w:hAnsi="Arial"/>
          <w:sz w:val="20"/>
          <w:szCs w:val="20"/>
          <w:color w:val="auto"/>
        </w:rPr>
      </w:pPr>
    </w:p>
    <w:p>
      <w:pPr>
        <w:ind w:left="1280" w:right="100" w:firstLine="1300"/>
        <w:spacing w:after="0" w:line="223" w:lineRule="auto"/>
        <w:tabs>
          <w:tab w:leader="none" w:pos="3049" w:val="left"/>
        </w:tabs>
        <w:numPr>
          <w:ilvl w:val="2"/>
          <w:numId w:val="166"/>
        </w:numPr>
        <w:rPr>
          <w:rFonts w:ascii="Arial" w:cs="Arial" w:eastAsia="Arial" w:hAnsi="Arial"/>
          <w:sz w:val="20"/>
          <w:szCs w:val="20"/>
          <w:color w:val="auto"/>
        </w:rPr>
      </w:pPr>
      <w:r>
        <w:rPr>
          <w:rFonts w:ascii="Arial" w:cs="Arial" w:eastAsia="Arial" w:hAnsi="Arial"/>
          <w:sz w:val="20"/>
          <w:szCs w:val="20"/>
          <w:color w:val="auto"/>
        </w:rPr>
        <w:t>if the LC Exposure of the non-Defaulting Lenders is reallocated pursuant to clause (i) above, then the fees payable to the Lenders pursuant to Section 2.12(a) and Section 2.12(c) shall be adjusted in accordance with such non-Defaulting Lenders’ Revolving Percentages; and</w:t>
      </w:r>
    </w:p>
    <w:p>
      <w:pPr>
        <w:spacing w:after="0" w:line="168" w:lineRule="exact"/>
        <w:rPr>
          <w:rFonts w:ascii="Arial" w:cs="Arial" w:eastAsia="Arial" w:hAnsi="Arial"/>
          <w:sz w:val="20"/>
          <w:szCs w:val="20"/>
          <w:color w:val="auto"/>
        </w:rPr>
      </w:pPr>
    </w:p>
    <w:p>
      <w:pPr>
        <w:ind w:left="1280" w:firstLine="1300"/>
        <w:spacing w:after="0" w:line="218" w:lineRule="auto"/>
        <w:tabs>
          <w:tab w:leader="none" w:pos="3026" w:val="left"/>
        </w:tabs>
        <w:numPr>
          <w:ilvl w:val="2"/>
          <w:numId w:val="166"/>
        </w:numPr>
        <w:rPr>
          <w:rFonts w:ascii="Arial" w:cs="Arial" w:eastAsia="Arial" w:hAnsi="Arial"/>
          <w:sz w:val="20"/>
          <w:szCs w:val="20"/>
          <w:color w:val="auto"/>
        </w:rPr>
      </w:pPr>
      <w:r>
        <w:rPr>
          <w:rFonts w:ascii="Arial" w:cs="Arial" w:eastAsia="Arial" w:hAnsi="Arial"/>
          <w:sz w:val="20"/>
          <w:szCs w:val="20"/>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w:t>
      </w:r>
    </w:p>
    <w:p>
      <w:pPr>
        <w:spacing w:after="0" w:line="157" w:lineRule="exact"/>
        <w:rPr>
          <w:rFonts w:ascii="Arial" w:cs="Arial" w:eastAsia="Arial" w:hAnsi="Arial"/>
          <w:sz w:val="20"/>
          <w:szCs w:val="20"/>
          <w:color w:val="auto"/>
        </w:rPr>
      </w:pPr>
    </w:p>
    <w:p>
      <w:pPr>
        <w:ind w:left="640" w:right="40" w:firstLine="1292"/>
        <w:spacing w:after="0" w:line="214" w:lineRule="auto"/>
        <w:tabs>
          <w:tab w:leader="none" w:pos="242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so long as such Revolving Lender is a Defaulting Lender, the Swingline Lender shall not be required to fund any Swingline Loan and the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Revolving Borrowers in accordance with Section 2.20(a)(iii), and participating interests in any newly made Swingline Loan or any newly issued or increased Letter of Credit shall be allocated among non-Defaulting Lenders in a manner consistent with Section 2.20(a)(iii)(C) (and such Defaulting Lender shall not participate therein).</w:t>
      </w:r>
    </w:p>
    <w:p>
      <w:pPr>
        <w:spacing w:after="0" w:line="171" w:lineRule="exact"/>
        <w:rPr>
          <w:rFonts w:ascii="Arial" w:cs="Arial" w:eastAsia="Arial" w:hAnsi="Arial"/>
          <w:sz w:val="20"/>
          <w:szCs w:val="20"/>
          <w:color w:val="auto"/>
        </w:rPr>
      </w:pPr>
    </w:p>
    <w:p>
      <w:pPr>
        <w:ind w:left="-20" w:right="20" w:firstLine="1304"/>
        <w:spacing w:after="0" w:line="239" w:lineRule="auto"/>
        <w:tabs>
          <w:tab w:leader="none" w:pos="170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event that the Administrative Agent, the Revolving Borrowers, the Swingline Lender and the Issuing Bank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Loans of the other Lenders (other than Swingline Loans) as the Administrative Agent shall determine may be necessary in order for such Lender to hold such Loans in accordance with its Revolving Percentage.</w:t>
      </w:r>
    </w:p>
    <w:p>
      <w:pPr>
        <w:spacing w:after="0" w:line="170" w:lineRule="exact"/>
        <w:rPr>
          <w:rFonts w:ascii="Arial" w:cs="Arial" w:eastAsia="Arial" w:hAnsi="Arial"/>
          <w:sz w:val="18"/>
          <w:szCs w:val="18"/>
          <w:color w:val="auto"/>
        </w:rPr>
      </w:pPr>
    </w:p>
    <w:p>
      <w:pPr>
        <w:ind w:left="-20" w:firstLine="1304"/>
        <w:spacing w:after="0" w:line="235" w:lineRule="auto"/>
        <w:tabs>
          <w:tab w:leader="none" w:pos="168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10.08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any Issuing Bank or Swingline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Issuing Banks’ LC Exposure with respect to such Defaulting Lender;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40" w:top="1405" w:right="37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t xml:space="preserve">of Credit issued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to the payment of any amounts owing to the Lenders, the Issuing Bank or Swingline Lender as a</w:t>
      </w:r>
    </w:p>
    <w:p>
      <w:pPr>
        <w:spacing w:after="0" w:line="35"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 xml:space="preserve">result of any judgment of a court of competent jurisdiction obtained by any Lender, the Issuing Banks or Swingline Lenders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w:t>
      </w:r>
    </w:p>
    <w:p>
      <w:pPr>
        <w:spacing w:after="0" w:line="224" w:lineRule="auto"/>
        <w:rPr>
          <w:sz w:val="20"/>
          <w:szCs w:val="20"/>
          <w:color w:val="auto"/>
        </w:rPr>
      </w:pPr>
      <w:r>
        <w:rPr>
          <w:rFonts w:ascii="Arial" w:cs="Arial" w:eastAsia="Arial" w:hAnsi="Arial"/>
          <w:sz w:val="19"/>
          <w:szCs w:val="19"/>
          <w:color w:val="auto"/>
        </w:rPr>
        <w:t>Event of Default exists, to the payment of any amounts owing to the Borrower as a result of any judgment of a court of competent</w:t>
      </w:r>
    </w:p>
    <w:p>
      <w:pPr>
        <w:ind w:right="100"/>
        <w:spacing w:after="0" w:line="226" w:lineRule="auto"/>
        <w:rPr>
          <w:sz w:val="20"/>
          <w:szCs w:val="20"/>
          <w:color w:val="auto"/>
        </w:rPr>
      </w:pPr>
      <w:r>
        <w:rPr>
          <w:rFonts w:ascii="Arial" w:cs="Arial" w:eastAsia="Arial" w:hAnsi="Arial"/>
          <w:sz w:val="18"/>
          <w:szCs w:val="18"/>
          <w:color w:val="auto"/>
        </w:rPr>
        <w:t xml:space="preserve">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(x) such</w:t>
      </w:r>
    </w:p>
    <w:p>
      <w:pPr>
        <w:spacing w:after="0" w:line="236" w:lineRule="auto"/>
        <w:rPr>
          <w:sz w:val="20"/>
          <w:szCs w:val="20"/>
          <w:color w:val="auto"/>
        </w:rPr>
      </w:pPr>
      <w:r>
        <w:rPr>
          <w:rFonts w:ascii="Arial" w:cs="Arial" w:eastAsia="Arial" w:hAnsi="Arial"/>
          <w:sz w:val="18"/>
          <w:szCs w:val="18"/>
          <w:color w:val="auto"/>
        </w:rPr>
        <w:t>payment is a payment of the principal amount of any Loans or LC Disbursements in respect of which such Defaulting Lender has not fully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funded its appropriate share, and (y) such Loans were made or the related Letters of Credit were issued at a time when the conditions set forth in Section 4.02 were satisfied or waived, such payment shall be applied solely to pay the Loans of, and LC Disbursements owed to, all non-</w:t>
      </w:r>
    </w:p>
    <w:p>
      <w:pPr>
        <w:spacing w:after="0" w:line="235" w:lineRule="auto"/>
        <w:rPr>
          <w:sz w:val="20"/>
          <w:szCs w:val="20"/>
          <w:color w:val="auto"/>
        </w:rPr>
      </w:pPr>
      <w:r>
        <w:rPr>
          <w:rFonts w:ascii="Arial" w:cs="Arial" w:eastAsia="Arial" w:hAnsi="Arial"/>
          <w:sz w:val="18"/>
          <w:szCs w:val="18"/>
          <w:color w:val="auto"/>
        </w:rPr>
        <w:t>Defaulting Lenders on a pro rata basis prior to being applied to the payment of any Loans of, or LC Disbursements owed to, such Defaulting</w:t>
      </w:r>
    </w:p>
    <w:p>
      <w:pPr>
        <w:ind w:right="200"/>
        <w:spacing w:after="0" w:line="226" w:lineRule="auto"/>
        <w:rPr>
          <w:sz w:val="20"/>
          <w:szCs w:val="20"/>
          <w:color w:val="auto"/>
        </w:rPr>
      </w:pPr>
      <w:r>
        <w:rPr>
          <w:rFonts w:ascii="Arial" w:cs="Arial" w:eastAsia="Arial" w:hAnsi="Arial"/>
          <w:sz w:val="18"/>
          <w:szCs w:val="18"/>
          <w:color w:val="auto"/>
        </w:rPr>
        <w:t>Lender until such time as all Loans and funded and unfunded participations in obligations under any issued Letters of Credit and Swingline Loans are held by the Lenders pro rata in accordance with the commitments under the applicable Facility without giving effect to Section</w:t>
      </w:r>
    </w:p>
    <w:p>
      <w:pPr>
        <w:spacing w:after="0" w:line="236" w:lineRule="auto"/>
        <w:rPr>
          <w:sz w:val="20"/>
          <w:szCs w:val="20"/>
          <w:color w:val="auto"/>
        </w:rPr>
      </w:pPr>
      <w:r>
        <w:rPr>
          <w:rFonts w:ascii="Arial" w:cs="Arial" w:eastAsia="Arial" w:hAnsi="Arial"/>
          <w:sz w:val="18"/>
          <w:szCs w:val="18"/>
          <w:color w:val="auto"/>
        </w:rPr>
        <w:t>2.20(a)(iii). Any payments, prepayments or other amounts paid or payable to a Defaulting Lender that are applied (or held) to pay amounts</w:t>
      </w:r>
    </w:p>
    <w:p>
      <w:pPr>
        <w:spacing w:after="0" w:line="1" w:lineRule="exact"/>
        <w:rPr>
          <w:sz w:val="20"/>
          <w:szCs w:val="20"/>
          <w:color w:val="auto"/>
        </w:rPr>
      </w:pPr>
    </w:p>
    <w:p>
      <w:pPr>
        <w:ind w:right="640"/>
        <w:spacing w:after="0" w:line="220" w:lineRule="auto"/>
        <w:rPr>
          <w:sz w:val="20"/>
          <w:szCs w:val="20"/>
          <w:color w:val="auto"/>
        </w:rPr>
      </w:pPr>
      <w:r>
        <w:rPr>
          <w:rFonts w:ascii="Arial" w:cs="Arial" w:eastAsia="Arial" w:hAnsi="Arial"/>
          <w:sz w:val="20"/>
          <w:szCs w:val="20"/>
          <w:color w:val="auto"/>
        </w:rPr>
        <w:t>owed by a Defaulting Lender or to post cash collateral pursuant to this Section 2.20(c) shall be deemed paid to and redirected by such Defaulting Lender, and each Lender irrevocably consents hereto.</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2.21</w:t>
      </w:r>
      <w:r>
        <w:rPr>
          <w:sz w:val="20"/>
          <w:szCs w:val="20"/>
          <w:color w:val="auto"/>
        </w:rPr>
        <w:tab/>
      </w:r>
      <w:r>
        <w:rPr>
          <w:rFonts w:ascii="Arial" w:cs="Arial" w:eastAsia="Arial" w:hAnsi="Arial"/>
          <w:sz w:val="18"/>
          <w:szCs w:val="18"/>
          <w:u w:val="single" w:color="auto"/>
          <w:color w:val="auto"/>
        </w:rPr>
        <w:t>Designation of Additional Revolving Borrowers</w:t>
      </w:r>
      <w:r>
        <w:rPr>
          <w:rFonts w:ascii="Arial" w:cs="Arial" w:eastAsia="Arial" w:hAnsi="Arial"/>
          <w:sz w:val="18"/>
          <w:szCs w:val="18"/>
          <w:color w:val="FF0000"/>
          <w:strike w:val="1"/>
        </w:rPr>
        <w:t>.</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w:t>
      </w:r>
    </w:p>
    <w:p>
      <w:pPr>
        <w:spacing w:after="0" w:line="189" w:lineRule="exact"/>
        <w:rPr>
          <w:sz w:val="20"/>
          <w:szCs w:val="20"/>
          <w:color w:val="auto"/>
        </w:rPr>
      </w:pPr>
    </w:p>
    <w:p>
      <w:pPr>
        <w:ind w:right="120" w:firstLine="1304"/>
        <w:spacing w:after="0" w:line="215" w:lineRule="auto"/>
        <w:tabs>
          <w:tab w:leader="none" w:pos="1713"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Designation</w:t>
      </w:r>
      <w:r>
        <w:rPr>
          <w:rFonts w:ascii="Arial" w:cs="Arial" w:eastAsia="Arial" w:hAnsi="Arial"/>
          <w:sz w:val="20"/>
          <w:szCs w:val="20"/>
          <w:color w:val="auto"/>
        </w:rPr>
        <w:t>. Subject to the terms and conditions of this Section 2.21, the Company may, at any time or from time to time on or after the Closing Date, upon not less than 5 Business Days’ notice (or such shorter period which is reasonably acceptable to the Administrative Agent) to the Administrative Agent (which shall promptly notify the Lenders thereof), request the designation of a wholly-owned Subsidiary as an Additional Revolving Borrower hereunder. Each such notice shall specify (A) the name of the applicable Subsidiary and (B) its jurisdiction of organization.</w:t>
      </w:r>
    </w:p>
    <w:p>
      <w:pPr>
        <w:spacing w:after="0" w:line="171" w:lineRule="exact"/>
        <w:rPr>
          <w:rFonts w:ascii="Arial" w:cs="Arial" w:eastAsia="Arial" w:hAnsi="Arial"/>
          <w:sz w:val="20"/>
          <w:szCs w:val="20"/>
          <w:color w:val="auto"/>
        </w:rPr>
      </w:pPr>
    </w:p>
    <w:p>
      <w:pPr>
        <w:ind w:right="280" w:firstLine="1304"/>
        <w:spacing w:after="0" w:line="214" w:lineRule="auto"/>
        <w:tabs>
          <w:tab w:leader="none" w:pos="1724"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Effect of Designation</w:t>
      </w:r>
      <w:r>
        <w:rPr>
          <w:rFonts w:ascii="Arial" w:cs="Arial" w:eastAsia="Arial" w:hAnsi="Arial"/>
          <w:sz w:val="20"/>
          <w:szCs w:val="20"/>
          <w:color w:val="auto"/>
        </w:rPr>
        <w:t>. Upon the satisfaction of the conditions specified in paragraph (c) of this Section 2.21, the applicable designated Additional Revolving Borrower shall become a party to this Agreement as a Revolving Borrower and a Borrower hereunder and, subject to the terms and conditions of this Agreement, such Additional Revolving Borrower shall be entitled to borrow Revolving Loans or request the issuance of Letters of Credit hereunder (and, in each case, such Additional Revolving Borrower shall have and shall assume all of the obligations of a Borrower hereunder). The Administrative Agent shall promptly notify the Lenders of the effectiveness of any such designation.</w:t>
      </w:r>
    </w:p>
    <w:p>
      <w:pPr>
        <w:spacing w:after="0" w:line="173" w:lineRule="exact"/>
        <w:rPr>
          <w:rFonts w:ascii="Arial" w:cs="Arial" w:eastAsia="Arial" w:hAnsi="Arial"/>
          <w:sz w:val="20"/>
          <w:szCs w:val="20"/>
          <w:color w:val="auto"/>
        </w:rPr>
      </w:pPr>
    </w:p>
    <w:p>
      <w:pPr>
        <w:ind w:right="40" w:firstLine="1304"/>
        <w:spacing w:after="0" w:line="215" w:lineRule="auto"/>
        <w:tabs>
          <w:tab w:leader="none" w:pos="1713"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Conditions to Designation</w:t>
      </w:r>
      <w:r>
        <w:rPr>
          <w:rFonts w:ascii="Arial" w:cs="Arial" w:eastAsia="Arial" w:hAnsi="Arial"/>
          <w:sz w:val="20"/>
          <w:szCs w:val="20"/>
          <w:color w:val="auto"/>
        </w:rPr>
        <w:t>. The designation by the Company of any Subsidiary as an Additional Revolving Borrower hereunder shall be subject to the satisfaction of the following conditions (including delivery to the Administrative Agent of the following documents, each of which shall be reasonably satisfactory to the Administrative Agent in form and substance or may be waived by the Administrative Agent in its sole discretion) and such designation shall become effective on the date on which all such conditions are satisfied (or so waived):</w:t>
      </w:r>
    </w:p>
    <w:p>
      <w:pPr>
        <w:spacing w:after="0" w:line="171" w:lineRule="exact"/>
        <w:rPr>
          <w:rFonts w:ascii="Arial" w:cs="Arial" w:eastAsia="Arial" w:hAnsi="Arial"/>
          <w:sz w:val="20"/>
          <w:szCs w:val="20"/>
          <w:color w:val="auto"/>
        </w:rPr>
      </w:pPr>
    </w:p>
    <w:p>
      <w:pPr>
        <w:ind w:left="3080" w:hanging="480"/>
        <w:spacing w:after="0"/>
        <w:tabs>
          <w:tab w:leader="none" w:pos="3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immediately prior to and after giving effect to such designation, no Default shall have occurred and be</w:t>
      </w:r>
    </w:p>
    <w:p>
      <w:pPr>
        <w:spacing w:after="0" w:line="1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continuing;</w:t>
      </w:r>
    </w:p>
    <w:p>
      <w:pPr>
        <w:spacing w:after="0" w:line="159" w:lineRule="exact"/>
        <w:rPr>
          <w:rFonts w:ascii="Arial" w:cs="Arial" w:eastAsia="Arial" w:hAnsi="Arial"/>
          <w:sz w:val="18"/>
          <w:szCs w:val="18"/>
          <w:color w:val="auto"/>
        </w:rPr>
      </w:pPr>
    </w:p>
    <w:p>
      <w:pPr>
        <w:ind w:left="1300" w:right="180" w:firstLine="1300"/>
        <w:spacing w:after="0" w:line="285" w:lineRule="auto"/>
        <w:tabs>
          <w:tab w:leader="none" w:pos="305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Administrative Agent shall have received an Additional Revolving Borrower Joinder Agreement, duly completed and executed by the Company, such Additional Revolving Borrower and the Administrative Agent;</w:t>
      </w:r>
    </w:p>
    <w:p>
      <w:pPr>
        <w:spacing w:after="0" w:line="129" w:lineRule="exact"/>
        <w:rPr>
          <w:rFonts w:ascii="Arial" w:cs="Arial" w:eastAsia="Arial" w:hAnsi="Arial"/>
          <w:sz w:val="18"/>
          <w:szCs w:val="18"/>
          <w:color w:val="auto"/>
        </w:rPr>
      </w:pPr>
    </w:p>
    <w:p>
      <w:pPr>
        <w:ind w:left="1300" w:right="80" w:firstLine="1300"/>
        <w:spacing w:after="0" w:line="229" w:lineRule="auto"/>
        <w:tabs>
          <w:tab w:leader="none" w:pos="3058" w:val="left"/>
        </w:tabs>
        <w:numPr>
          <w:ilvl w:val="1"/>
          <w:numId w:val="169"/>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an Authorized Officer of the Company to the effect that the conditions to such designation set forth in this Section 2.21 shall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84" w:name="page185"/>
    <w:bookmarkEnd w:id="184"/>
    <w:p>
      <w:pPr>
        <w:ind w:left="1280" w:right="100" w:firstLine="1300"/>
        <w:spacing w:after="0" w:line="231" w:lineRule="auto"/>
        <w:tabs>
          <w:tab w:leader="none" w:pos="3049"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proof of corporate or other action, incumbency of officers, legal opinion and other documents as are consistent with those delivered by the Borrowers pursuant to Section 4.01 on the Closing Date as the Administrative Agent shall reasonably request, all in form, content and scope substantially consistent with those delivered by the Borrowers on the Closing Date; and</w:t>
      </w:r>
    </w:p>
    <w:p>
      <w:pPr>
        <w:spacing w:after="0" w:line="171" w:lineRule="exact"/>
        <w:rPr>
          <w:rFonts w:ascii="Arial" w:cs="Arial" w:eastAsia="Arial" w:hAnsi="Arial"/>
          <w:sz w:val="19"/>
          <w:szCs w:val="19"/>
          <w:color w:val="auto"/>
        </w:rPr>
      </w:pPr>
    </w:p>
    <w:p>
      <w:pPr>
        <w:ind w:left="1280" w:right="200" w:firstLine="1300"/>
        <w:spacing w:after="0" w:line="231" w:lineRule="auto"/>
        <w:tabs>
          <w:tab w:leader="none" w:pos="302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to the extent requested by the Administrative Agent or any Lender at least three (3) Business Days in advance of the effectiveness of such designation, the Administrative Agent or such Lender shall have received all documentation and other information with respect to such Subsidiary required by regulatory authorities under applicable Sanctions Laws and Regulations or the Beneficial Ownership Regulation.</w:t>
      </w:r>
    </w:p>
    <w:p>
      <w:pPr>
        <w:spacing w:after="0" w:line="157" w:lineRule="exact"/>
        <w:rPr>
          <w:rFonts w:ascii="Arial" w:cs="Arial" w:eastAsia="Arial" w:hAnsi="Arial"/>
          <w:sz w:val="19"/>
          <w:szCs w:val="19"/>
          <w:color w:val="auto"/>
        </w:rPr>
      </w:pPr>
    </w:p>
    <w:p>
      <w:pPr>
        <w:ind w:left="-20" w:right="20" w:firstLine="1304"/>
        <w:spacing w:after="0" w:line="224" w:lineRule="auto"/>
        <w:tabs>
          <w:tab w:leader="none" w:pos="1704"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Inability to Lend</w:t>
      </w:r>
      <w:r>
        <w:rPr>
          <w:rFonts w:ascii="Arial" w:cs="Arial" w:eastAsia="Arial" w:hAnsi="Arial"/>
          <w:sz w:val="19"/>
          <w:szCs w:val="19"/>
          <w:color w:val="auto"/>
        </w:rPr>
        <w:t>. If (a) by reason of the fact that any Additional Revolving Borrower is organized in, or conducts business in, a jurisdiction outside the United States (including, for purposes of this Section 2.21(d), Puerto Rico) (other than the United Kingdom or the Netherlands), it is unlawful, in the sole determination of any Lender, for such Lender (or its applicable lending office) to make or maintain Loans to such Additional Revolving Borrower or (b) on or after the date hereof, it becomes unlawful for any Lender (or its applicable lending office) to perform any of its obligations as contemplated by this Agreement or make, maintain or fund any of its Loans to any Additional Revolving Borrower, and such Lender shall so notify the Administrative Agent, the Administrative Agent shall forthwith give notice thereof to the other Lenders and the Company, whereupon until such Lender notifies the Company and the Administrative Agent that the circumstances giving rise to such suspension no longer exist, the obligation of such Lender to make or maintain Loans to such Additional Revolving Borrower shall be suspended.</w:t>
      </w:r>
    </w:p>
    <w:p>
      <w:pPr>
        <w:spacing w:after="0" w:line="163"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20"/>
          <w:szCs w:val="20"/>
          <w:color w:val="auto"/>
        </w:rPr>
        <w:t>Section 2.22</w:t>
      </w:r>
      <w:r>
        <w:rPr>
          <w:sz w:val="20"/>
          <w:szCs w:val="20"/>
          <w:color w:val="auto"/>
        </w:rPr>
        <w:tab/>
      </w:r>
      <w:r>
        <w:rPr>
          <w:rFonts w:ascii="Arial" w:cs="Arial" w:eastAsia="Arial" w:hAnsi="Arial"/>
          <w:sz w:val="18"/>
          <w:szCs w:val="18"/>
          <w:u w:val="single" w:color="auto"/>
          <w:color w:val="auto"/>
        </w:rPr>
        <w:t>Extension of Maturity Dates</w:t>
      </w:r>
      <w:r>
        <w:rPr>
          <w:rFonts w:ascii="Arial" w:cs="Arial" w:eastAsia="Arial" w:hAnsi="Arial"/>
          <w:sz w:val="18"/>
          <w:szCs w:val="18"/>
          <w:color w:val="FF0000"/>
          <w:strike w:val="1"/>
        </w:rPr>
        <w:t>.</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w:t>
      </w:r>
    </w:p>
    <w:p>
      <w:pPr>
        <w:spacing w:after="0" w:line="189" w:lineRule="exact"/>
        <w:rPr>
          <w:sz w:val="20"/>
          <w:szCs w:val="20"/>
          <w:color w:val="auto"/>
        </w:rPr>
      </w:pPr>
    </w:p>
    <w:p>
      <w:pPr>
        <w:ind w:left="-20" w:firstLine="1304"/>
        <w:spacing w:after="0" w:line="214" w:lineRule="auto"/>
        <w:tabs>
          <w:tab w:leader="none" w:pos="1693"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Requests for Extension</w:t>
      </w:r>
      <w:r>
        <w:rPr>
          <w:rFonts w:ascii="Arial" w:cs="Arial" w:eastAsia="Arial" w:hAnsi="Arial"/>
          <w:sz w:val="20"/>
          <w:szCs w:val="20"/>
          <w:color w:val="auto"/>
        </w:rPr>
        <w:t>. The applicable Borrower(s) may, by notice to the Administrative Agent (who shall promptly notify the applicable Class of Lenders) not later than 30 days prior to the date of a proposed extension (each such date of such proposed extension, an “</w:t>
      </w:r>
      <w:r>
        <w:rPr>
          <w:rFonts w:ascii="Arial" w:cs="Arial" w:eastAsia="Arial" w:hAnsi="Arial"/>
          <w:sz w:val="20"/>
          <w:szCs w:val="20"/>
          <w:b w:val="1"/>
          <w:bCs w:val="1"/>
          <w:i w:val="1"/>
          <w:iCs w:val="1"/>
          <w:color w:val="auto"/>
        </w:rPr>
        <w:t>Extension Date</w:t>
      </w:r>
      <w:r>
        <w:rPr>
          <w:rFonts w:ascii="Arial" w:cs="Arial" w:eastAsia="Arial" w:hAnsi="Arial"/>
          <w:sz w:val="20"/>
          <w:szCs w:val="20"/>
          <w:color w:val="auto"/>
        </w:rPr>
        <w:t>”), request that each applicable Lender extend such Lender’s Revolving Maturity Date and/or Term Loan Maturity Date, as the case may be, then in effect for such Lender (the “</w:t>
      </w:r>
      <w:r>
        <w:rPr>
          <w:rFonts w:ascii="Arial" w:cs="Arial" w:eastAsia="Arial" w:hAnsi="Arial"/>
          <w:sz w:val="20"/>
          <w:szCs w:val="20"/>
          <w:b w:val="1"/>
          <w:bCs w:val="1"/>
          <w:i w:val="1"/>
          <w:iCs w:val="1"/>
          <w:color w:val="auto"/>
        </w:rPr>
        <w:t>Applicable Maturity Date</w:t>
      </w:r>
      <w:r>
        <w:rPr>
          <w:rFonts w:ascii="Arial" w:cs="Arial" w:eastAsia="Arial" w:hAnsi="Arial"/>
          <w:sz w:val="20"/>
          <w:szCs w:val="20"/>
          <w:color w:val="auto"/>
        </w:rPr>
        <w:t>”), to a date (the “</w:t>
      </w:r>
      <w:r>
        <w:rPr>
          <w:rFonts w:ascii="Arial" w:cs="Arial" w:eastAsia="Arial" w:hAnsi="Arial"/>
          <w:sz w:val="20"/>
          <w:szCs w:val="20"/>
          <w:b w:val="1"/>
          <w:bCs w:val="1"/>
          <w:i w:val="1"/>
          <w:iCs w:val="1"/>
          <w:color w:val="auto"/>
        </w:rPr>
        <w:t>Extended Maturity Date</w:t>
      </w:r>
      <w:r>
        <w:rPr>
          <w:rFonts w:ascii="Arial" w:cs="Arial" w:eastAsia="Arial" w:hAnsi="Arial"/>
          <w:sz w:val="20"/>
          <w:szCs w:val="20"/>
          <w:color w:val="auto"/>
        </w:rPr>
        <w:t>”) that is at least one year after the Applicable Maturity Date. For the avoidance of doubt, the applicable Borrower(s) may request extensions of any Class without requesting an extension of any other Class.</w:t>
      </w:r>
    </w:p>
    <w:p>
      <w:pPr>
        <w:spacing w:after="0" w:line="173" w:lineRule="exact"/>
        <w:rPr>
          <w:rFonts w:ascii="Arial" w:cs="Arial" w:eastAsia="Arial" w:hAnsi="Arial"/>
          <w:sz w:val="20"/>
          <w:szCs w:val="20"/>
          <w:color w:val="auto"/>
        </w:rPr>
      </w:pPr>
    </w:p>
    <w:p>
      <w:pPr>
        <w:ind w:left="-20" w:right="100" w:firstLine="1304"/>
        <w:spacing w:after="0" w:line="223" w:lineRule="auto"/>
        <w:tabs>
          <w:tab w:leader="none" w:pos="1704"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Lender Elections to Extend</w:t>
      </w:r>
      <w:r>
        <w:rPr>
          <w:rFonts w:ascii="Arial" w:cs="Arial" w:eastAsia="Arial" w:hAnsi="Arial"/>
          <w:sz w:val="19"/>
          <w:szCs w:val="19"/>
          <w:color w:val="auto"/>
        </w:rPr>
        <w:t>. Each Lender of the applicable Class, acting in its sole and individual discretion, shall, by notice to the Administrative Agent given not later than the date that is 10 days after the date on which the Administrative Agent received the applicable Borrowers’ extension request (the “</w:t>
      </w:r>
      <w:r>
        <w:rPr>
          <w:rFonts w:ascii="Arial" w:cs="Arial" w:eastAsia="Arial" w:hAnsi="Arial"/>
          <w:sz w:val="19"/>
          <w:szCs w:val="19"/>
          <w:b w:val="1"/>
          <w:bCs w:val="1"/>
          <w:i w:val="1"/>
          <w:iCs w:val="1"/>
          <w:color w:val="auto"/>
        </w:rPr>
        <w:t>Lender Notice Date</w:t>
      </w:r>
      <w:r>
        <w:rPr>
          <w:rFonts w:ascii="Arial" w:cs="Arial" w:eastAsia="Arial" w:hAnsi="Arial"/>
          <w:sz w:val="19"/>
          <w:szCs w:val="19"/>
          <w:color w:val="auto"/>
        </w:rPr>
        <w:t>”), advise the Administrative Agent whether or not such Lender agrees to such extension (each Lender of the applicable Class that determines to so extend its Applicable Maturity Date, an “</w:t>
      </w:r>
      <w:r>
        <w:rPr>
          <w:rFonts w:ascii="Arial" w:cs="Arial" w:eastAsia="Arial" w:hAnsi="Arial"/>
          <w:sz w:val="19"/>
          <w:szCs w:val="19"/>
          <w:b w:val="1"/>
          <w:bCs w:val="1"/>
          <w:i w:val="1"/>
          <w:iCs w:val="1"/>
          <w:color w:val="auto"/>
        </w:rPr>
        <w:t>Extending Lender</w:t>
      </w:r>
      <w:r>
        <w:rPr>
          <w:rFonts w:ascii="Arial" w:cs="Arial" w:eastAsia="Arial" w:hAnsi="Arial"/>
          <w:sz w:val="19"/>
          <w:szCs w:val="19"/>
          <w:color w:val="auto"/>
        </w:rPr>
        <w:t>”). Each Lender of the applicable Class that determines not to so extend its Applicable Maturity Date (a “</w:t>
      </w:r>
      <w:r>
        <w:rPr>
          <w:rFonts w:ascii="Arial" w:cs="Arial" w:eastAsia="Arial" w:hAnsi="Arial"/>
          <w:sz w:val="19"/>
          <w:szCs w:val="19"/>
          <w:b w:val="1"/>
          <w:bCs w:val="1"/>
          <w:i w:val="1"/>
          <w:iCs w:val="1"/>
          <w:color w:val="auto"/>
        </w:rPr>
        <w:t>Non-Extending Lender</w:t>
      </w:r>
      <w:r>
        <w:rPr>
          <w:rFonts w:ascii="Arial" w:cs="Arial" w:eastAsia="Arial" w:hAnsi="Arial"/>
          <w:sz w:val="19"/>
          <w:szCs w:val="19"/>
          <w:color w:val="auto"/>
        </w:rPr>
        <w:t>”) shall notify the Administrative Agent of such fact promptly after such determination (but in any event no later than the Lender Notice Date), and any Lender of the applicable Class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any Borrower for extension of the Applicable Maturity Date.</w:t>
      </w:r>
    </w:p>
    <w:p>
      <w:pPr>
        <w:spacing w:after="0" w:line="156" w:lineRule="exact"/>
        <w:rPr>
          <w:rFonts w:ascii="Arial" w:cs="Arial" w:eastAsia="Arial" w:hAnsi="Arial"/>
          <w:sz w:val="19"/>
          <w:szCs w:val="19"/>
          <w:color w:val="auto"/>
        </w:rPr>
      </w:pPr>
    </w:p>
    <w:p>
      <w:pPr>
        <w:ind w:left="-20" w:right="20" w:firstLine="1304"/>
        <w:spacing w:after="0" w:line="259" w:lineRule="auto"/>
        <w:tabs>
          <w:tab w:leader="none" w:pos="1693"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w:t>
      </w:r>
      <w:r>
        <w:rPr>
          <w:rFonts w:ascii="Arial" w:cs="Arial" w:eastAsia="Arial" w:hAnsi="Arial"/>
          <w:sz w:val="18"/>
          <w:szCs w:val="18"/>
          <w:color w:val="auto"/>
        </w:rPr>
        <w:t>t. The Administrative Agent shall notify the Borrowers of each applicable Lender’s determination under this Section 2.22 no later than the earlier of (i) the date that is 15 days prior to the applicable Extension Date (or, if such date is not a Business Day, on the next preceding Business Day) and (ii) the date that is 5 days following the applicable Lender Notice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40" w:top="1405" w:right="339" w:bottom="1440" w:gutter="0" w:footer="0" w:header="0"/>
        </w:sectPr>
      </w:pPr>
    </w:p>
    <w:bookmarkStart w:id="185" w:name="page186"/>
    <w:bookmarkEnd w:id="185"/>
    <w:p>
      <w:pPr>
        <w:ind w:left="-20" w:firstLine="1304"/>
        <w:spacing w:after="0" w:line="220" w:lineRule="auto"/>
        <w:tabs>
          <w:tab w:leader="none" w:pos="170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Additional Commitment Lenders</w:t>
      </w:r>
      <w:r>
        <w:rPr>
          <w:rFonts w:ascii="Arial" w:cs="Arial" w:eastAsia="Arial" w:hAnsi="Arial"/>
          <w:sz w:val="19"/>
          <w:szCs w:val="19"/>
          <w:color w:val="auto"/>
        </w:rPr>
        <w:t>. The applicable Borrower(s) shall have the right, but shall not be obligated, on or before the Applicable Maturity Date for any Non-Extending Lender to replace such Non-Extending Lender with, and add as a “Revolving Lender” (in the case of an extension of the Revolving Maturity Date) or as a “Term Loan Lender” (in the case of any extension of the Term Loan Maturity Date) under this Agreement in place thereof, one or more financial institutions that are Eligible Assignees (each, an “</w:t>
      </w:r>
      <w:r>
        <w:rPr>
          <w:rFonts w:ascii="Arial" w:cs="Arial" w:eastAsia="Arial" w:hAnsi="Arial"/>
          <w:sz w:val="19"/>
          <w:szCs w:val="19"/>
          <w:b w:val="1"/>
          <w:bCs w:val="1"/>
          <w:i w:val="1"/>
          <w:iCs w:val="1"/>
          <w:color w:val="auto"/>
        </w:rPr>
        <w:t>Additional Commitment Lender</w:t>
      </w:r>
      <w:r>
        <w:rPr>
          <w:rFonts w:ascii="Arial" w:cs="Arial" w:eastAsia="Arial" w:hAnsi="Arial"/>
          <w:sz w:val="19"/>
          <w:szCs w:val="19"/>
          <w:color w:val="auto"/>
        </w:rPr>
        <w:t>”) approved by the Administrative Agent and, in the case of an Additional Commitment Lender assuming a new or additional Revolving Commitment, the Issuing Bank and the Swingline Lender in accordance with the procedures provided in Section 2.19(b), each of which applicable Additional Commitment Lenders shall have entered into an Assignment and Assumption (in accordance with and subject to the restrictions contained in Section 10.04, with the applicable Borrower(s) or replacement Lender obligated to pay any applicable processing or recordation fee) with such Non-Extending Lender, pursuant to which such Additional Commitment Lenders shall, effective on or before the Applicable Maturity Date for such Non-Extending Lender, assume a Revolving Commitment and/or Term Loans, as the case may be (and, if any such Additional Commitment Lender is already a Lender of the applicable Class, its Revolving Commitment and/or its outstanding Term Loans, as applicable, so assumed shall be in addition to such Lender’s Revolving Commitment and its outstanding Term Loans, as applicable, hereunder on such date). The Administrative Agent may effect such amendments to this Agreement as are reasonably necessary to provide for any such extensions with the consent of the applicable Borrower(s) but without the consent of any other Lenders.</w:t>
      </w:r>
    </w:p>
    <w:p>
      <w:pPr>
        <w:spacing w:after="0" w:line="181" w:lineRule="exact"/>
        <w:rPr>
          <w:rFonts w:ascii="Arial" w:cs="Arial" w:eastAsia="Arial" w:hAnsi="Arial"/>
          <w:sz w:val="19"/>
          <w:szCs w:val="19"/>
          <w:color w:val="auto"/>
        </w:rPr>
      </w:pPr>
    </w:p>
    <w:p>
      <w:pPr>
        <w:ind w:left="-20" w:firstLine="1304"/>
        <w:spacing w:after="0" w:line="268" w:lineRule="auto"/>
        <w:tabs>
          <w:tab w:leader="none" w:pos="1693"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Minimum Extension Requirement</w:t>
      </w:r>
      <w:r>
        <w:rPr>
          <w:rFonts w:ascii="Arial" w:cs="Arial" w:eastAsia="Arial" w:hAnsi="Arial"/>
          <w:sz w:val="16"/>
          <w:szCs w:val="16"/>
          <w:color w:val="auto"/>
        </w:rPr>
        <w:t>. If (and only if) the total of the applicable Revolving Commitments or the applicable outstanding Term Loans of the Lenders of the applicable Class that have agreed to extend their Applicable Maturity Date and the new or increased Revolving Commitments or the applicable newly assumed outstanding Term Loans of any Additional Commitment Lenders is more than 50% of the aggregate amount of the Revolving Credit Commitments or the outstanding Term Loans, as applicable, in effect immediately prior to the applicable Extension Date, then, effective as of the applicable Extension Date, the Applicable Maturity Date of each Extending Lender and of each Additional Commitment Lender of the applicable Class shall be extended to the Extended Maturity Date (except that, if such date is not a Business Day, such Extended Maturity Date shall be the next preceding Business Day), and each Additional Commitment Lender of such Class shall thereupon become a “Revolving Lender” and/or a “Term Loan Lender”, as the case may be, for all purposes of this Agreement and shall be bound by the provisions of this Agreement as a Revolving Lender and/or a Term Loan Lender, as the case may be, hereunder and shall have the obligations of a Revolving Lender and/or a Term Loan Lender, as the case may be, hereunder.</w:t>
      </w:r>
    </w:p>
    <w:p>
      <w:pPr>
        <w:spacing w:after="0" w:line="337" w:lineRule="exact"/>
        <w:rPr>
          <w:rFonts w:ascii="Arial" w:cs="Arial" w:eastAsia="Arial" w:hAnsi="Arial"/>
          <w:sz w:val="16"/>
          <w:szCs w:val="16"/>
          <w:color w:val="auto"/>
        </w:rPr>
      </w:pPr>
    </w:p>
    <w:p>
      <w:pPr>
        <w:ind w:left="-20" w:right="60" w:firstLine="1304"/>
        <w:spacing w:after="0" w:line="237" w:lineRule="auto"/>
        <w:tabs>
          <w:tab w:leader="none" w:pos="1672"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w:t>
      </w:r>
      <w:r>
        <w:rPr>
          <w:rFonts w:ascii="Arial" w:cs="Arial" w:eastAsia="Arial" w:hAnsi="Arial"/>
          <w:sz w:val="18"/>
          <w:szCs w:val="18"/>
          <w:color w:val="auto"/>
        </w:rPr>
        <w:t>. Notwithstanding the foregoing, any extension of any Applicable Maturity Date pursuant to this Section 2.22 shall not be effective with respect to any Extending Lender and each Additional Commitment Lender unless (i) no Default or Event of Default shall have occurred and be continuing on the applicable Extension Date and immediately after giving effect thereto; and (ii) the representations and warranties of the Borrowers set forth in this Agreement, and of each Loan Party in each of the other Loan Documents to which it is a party, are true and correct in all material respects (or in all respects if the applicable representation or warranty is qualified by Material Adverse Effect or materiality) on and as of the applicable Extension Date and after giving effect thereto, as though made on and as of such date (or, if any such representation or warranty is expressly stated to have been made as of a specific date, as of such date), as evidenced by delivery of a certificate of a Financial Officer of the Company on the Extension Date.</w:t>
      </w:r>
    </w:p>
    <w:p>
      <w:pPr>
        <w:spacing w:after="0" w:line="173" w:lineRule="exact"/>
        <w:rPr>
          <w:rFonts w:ascii="Arial" w:cs="Arial" w:eastAsia="Arial" w:hAnsi="Arial"/>
          <w:sz w:val="18"/>
          <w:szCs w:val="18"/>
          <w:color w:val="auto"/>
        </w:rPr>
      </w:pPr>
    </w:p>
    <w:p>
      <w:pPr>
        <w:ind w:left="-20" w:right="20" w:firstLine="1304"/>
        <w:spacing w:after="0" w:line="223" w:lineRule="auto"/>
        <w:tabs>
          <w:tab w:leader="none" w:pos="1704"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Maturity Date for Non-Extending Lenders</w:t>
      </w:r>
      <w:r>
        <w:rPr>
          <w:rFonts w:ascii="Arial" w:cs="Arial" w:eastAsia="Arial" w:hAnsi="Arial"/>
          <w:sz w:val="19"/>
          <w:szCs w:val="19"/>
          <w:color w:val="auto"/>
        </w:rPr>
        <w:t xml:space="preserve">. On the Applicable Maturity Date of each Non-Extending Lender with respect to any Class, (i) to the extent of the Revolving Commitments of each Non-Extending Lender of the relevant Class not assigned to the Additional Commitment Lenders of such Class, the Revolving Commitment of each Non-Extending Lender of such Class shall automatically terminate and (ii) the applicable Borrower(s) shall repay such Non-Extending Lender of such Class in accordance with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shall pay to such Non-Extending Lender all of the other Obligations due and owing to it under this Agreement, including any additional amounts required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and the Administrative Agent shall administer any necessary reallocation of the applicable Revolving Credit Exposures with respect to Revolving Commitments to the extent necessary to keep outstanding Revolving Loans of the applicable Class ratable with any revised Revolving Percentages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40" w:top="1405" w:right="359" w:bottom="1440" w:gutter="0" w:footer="0" w:header="0"/>
        </w:sectPr>
      </w:pPr>
    </w:p>
    <w:bookmarkStart w:id="186" w:name="page187"/>
    <w:bookmarkEnd w:id="186"/>
    <w:p>
      <w:pPr>
        <w:ind w:right="80"/>
        <w:spacing w:after="0" w:line="236" w:lineRule="auto"/>
        <w:rPr>
          <w:sz w:val="20"/>
          <w:szCs w:val="20"/>
          <w:color w:val="auto"/>
        </w:rPr>
      </w:pPr>
      <w:r>
        <w:rPr>
          <w:rFonts w:ascii="Arial" w:cs="Arial" w:eastAsia="Arial" w:hAnsi="Arial"/>
          <w:sz w:val="20"/>
          <w:szCs w:val="20"/>
          <w:color w:val="auto"/>
        </w:rPr>
        <w:t>the respective Lenders of such Class effective as of such date (without regard to any minimum borrowing, pro rata borrowing and/or pro rata payment requirements contained elsewhere in this Agreement).</w:t>
      </w:r>
    </w:p>
    <w:p>
      <w:pPr>
        <w:spacing w:after="0" w:line="14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u w:val="single" w:color="auto"/>
          <w:color w:val="auto"/>
        </w:rPr>
        <w:t>Conflicting Provisions</w:t>
      </w:r>
      <w:r>
        <w:rPr>
          <w:rFonts w:ascii="Arial" w:cs="Arial" w:eastAsia="Arial" w:hAnsi="Arial"/>
          <w:sz w:val="16"/>
          <w:szCs w:val="16"/>
          <w:color w:val="auto"/>
        </w:rPr>
        <w:t>. This Section 2.22 shall supersede any provisions in Section 2.18 or Section 10.02 to the</w:t>
      </w:r>
    </w:p>
    <w:p>
      <w:pPr>
        <w:spacing w:after="0"/>
        <w:rPr>
          <w:sz w:val="20"/>
          <w:szCs w:val="20"/>
          <w:color w:val="auto"/>
        </w:rPr>
      </w:pPr>
      <w:r>
        <w:rPr>
          <w:rFonts w:ascii="Arial" w:cs="Arial" w:eastAsia="Arial" w:hAnsi="Arial"/>
          <w:sz w:val="20"/>
          <w:szCs w:val="20"/>
          <w:color w:val="auto"/>
        </w:rPr>
        <w:t>contrary.</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2.23</w:t>
      </w:r>
      <w:r>
        <w:rPr>
          <w:sz w:val="20"/>
          <w:szCs w:val="20"/>
          <w:color w:val="auto"/>
        </w:rPr>
        <w:tab/>
      </w: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 Notwithstanding anything to the contrary herein or in any other Loan Document:</w:t>
      </w:r>
    </w:p>
    <w:p>
      <w:pPr>
        <w:spacing w:after="0" w:line="175" w:lineRule="exact"/>
        <w:rPr>
          <w:sz w:val="20"/>
          <w:szCs w:val="20"/>
          <w:color w:val="auto"/>
        </w:rPr>
      </w:pPr>
    </w:p>
    <w:p>
      <w:pPr>
        <w:ind w:firstLine="1304"/>
        <w:spacing w:after="0" w:line="232" w:lineRule="auto"/>
        <w:tabs>
          <w:tab w:leader="none" w:pos="1713" w:val="left"/>
        </w:tabs>
        <w:numPr>
          <w:ilvl w:val="0"/>
          <w:numId w:val="174"/>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Replacing LIBOR</w:t>
      </w:r>
      <w:r>
        <w:rPr>
          <w:rFonts w:ascii="Arial" w:cs="Arial" w:eastAsia="Arial" w:hAnsi="Arial"/>
          <w:sz w:val="18"/>
          <w:szCs w:val="18"/>
          <w:color w:val="FF0000"/>
          <w:strike w:val="1"/>
        </w:rPr>
        <w:t>. On March 5, 2021 ICE Benchmark Administration (“</w:t>
      </w:r>
      <w:r>
        <w:rPr>
          <w:rFonts w:ascii="Arial" w:cs="Arial" w:eastAsia="Arial" w:hAnsi="Arial"/>
          <w:sz w:val="18"/>
          <w:szCs w:val="18"/>
          <w:b w:val="1"/>
          <w:bCs w:val="1"/>
          <w:i w:val="1"/>
          <w:iCs w:val="1"/>
          <w:color w:val="FF0000"/>
          <w:strike w:val="1"/>
        </w:rPr>
        <w:t>IBA</w:t>
      </w:r>
      <w:r>
        <w:rPr>
          <w:rFonts w:ascii="Arial" w:cs="Arial" w:eastAsia="Arial" w:hAnsi="Arial"/>
          <w:sz w:val="18"/>
          <w:szCs w:val="18"/>
          <w:color w:val="FF0000"/>
          <w:strike w:val="1"/>
        </w:rPr>
        <w:t>”), the entity that calculates and publishes</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LIBOR, and the U.K. Financial Conduct Authority (“</w:t>
      </w:r>
      <w:r>
        <w:rPr>
          <w:rFonts w:ascii="Arial" w:cs="Arial" w:eastAsia="Arial" w:hAnsi="Arial"/>
          <w:sz w:val="18"/>
          <w:szCs w:val="18"/>
          <w:b w:val="1"/>
          <w:bCs w:val="1"/>
          <w:i w:val="1"/>
          <w:iCs w:val="1"/>
          <w:color w:val="FF0000"/>
          <w:strike w:val="1"/>
        </w:rPr>
        <w:t>FCA</w:t>
      </w:r>
      <w:r>
        <w:rPr>
          <w:rFonts w:ascii="Arial" w:cs="Arial" w:eastAsia="Arial" w:hAnsi="Arial"/>
          <w:sz w:val="18"/>
          <w:szCs w:val="18"/>
          <w:color w:val="FF0000"/>
          <w:strike w:val="1"/>
        </w:rPr>
        <w:t>”), the regulatory supervisor of IBA, made public statements regarding the future cessation of LIBOR. According to the FCA, IBA will permanently cease publication of (i) all GBP, EUR, CHF and JPY LIBOR settings, and the 1-week and 2-month USD LIBOR settings following the publication of such settings on December 31, 2021, and (ii) the overnight/Spot Next, 1-month, 3-month, 6-month and 12-month USD LIBOR settings, immediately following the publication of such settings on June 30, 2023. As a consequence, (x) on January 1, 2022 (the “</w:t>
      </w:r>
      <w:r>
        <w:rPr>
          <w:rFonts w:ascii="Arial" w:cs="Arial" w:eastAsia="Arial" w:hAnsi="Arial"/>
          <w:sz w:val="18"/>
          <w:szCs w:val="18"/>
          <w:b w:val="1"/>
          <w:bCs w:val="1"/>
          <w:i w:val="1"/>
          <w:iCs w:val="1"/>
          <w:color w:val="FF0000"/>
          <w:strike w:val="1"/>
        </w:rPr>
        <w:t>Affected Currency Benchmark Replacement Effective Date</w:t>
      </w:r>
      <w:r>
        <w:rPr>
          <w:rFonts w:ascii="Arial" w:cs="Arial" w:eastAsia="Arial" w:hAnsi="Arial"/>
          <w:sz w:val="18"/>
          <w:szCs w:val="18"/>
          <w:color w:val="FF0000"/>
          <w:strike w:val="1"/>
        </w:rPr>
        <w:t xml:space="preserve">”, each applicable Benchmark Replacement replaced all LIBOR settings for any Loans denominated in GPB, EUR, CHF and JPY, and any option to select 1 week or 2-month USD LIBOR will no longer be available and (y) on the earliest of (i) July 1, 2023, (ii) the date that all Available Tenors of LIBOR have either permanently or indefinitely ceased to be provided by IBA or have been announced by the FCA pursuant to </w:t>
      </w:r>
      <w:r>
        <w:rPr>
          <w:rFonts w:ascii="Arial" w:cs="Arial" w:eastAsia="Arial" w:hAnsi="Arial"/>
          <w:sz w:val="18"/>
          <w:szCs w:val="18"/>
          <w:color w:val="008000"/>
          <w:strike w:val="1"/>
        </w:rPr>
        <w:t>public</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statement or publication of information </w:t>
      </w:r>
      <w:r>
        <w:rPr>
          <w:rFonts w:ascii="Arial" w:cs="Arial" w:eastAsia="Arial" w:hAnsi="Arial"/>
          <w:sz w:val="18"/>
          <w:szCs w:val="18"/>
          <w:color w:val="FF0000"/>
          <w:strike w:val="1"/>
        </w:rPr>
        <w:t>to be no longer representative and (iii) the Early Opt-in Effective Date, if the then-current Benchmark</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is LIBOR, the applicable Benchmark Replacement will replace such Benchmark, in the case of both clauses (x) and (y), </w:t>
      </w:r>
      <w:r>
        <w:rPr>
          <w:rFonts w:ascii="Arial" w:cs="Arial" w:eastAsia="Arial" w:hAnsi="Arial"/>
          <w:sz w:val="18"/>
          <w:szCs w:val="18"/>
          <w:color w:val="008000"/>
          <w:strike w:val="1"/>
        </w:rPr>
        <w:t>for all purposes</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hereunder and under any Loan Document in respect of any setting of such Benchmark on such day and all subsequent settings without any amendment to, or further action by or consent of any other party to, this Agreement or any other Loan Document</w:t>
      </w:r>
      <w:r>
        <w:rPr>
          <w:rFonts w:ascii="Arial" w:cs="Arial" w:eastAsia="Arial" w:hAnsi="Arial"/>
          <w:sz w:val="18"/>
          <w:szCs w:val="18"/>
          <w:color w:val="FF0000"/>
          <w:strike w:val="1"/>
        </w:rPr>
        <w:t>. Notwithstanding anything</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to the contrary herein or in any other Loan Document, effective as of the Affected Currency Benchmark Replacement Effective Date, (i) all LIBOR settings for any Loans denominated in GPB, EUR, CHF or JPY, and (ii) any request for a new Loan denominated in GPB, EUR, CHF or JPY, or to continue or convert an existing Loan denominated in GPB, EUR, CHF and JPY, shall be deemed to be a request for a new RFR Loan or EURIBOR Loan, as applicable;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to the extent any Loan denominated in GPB, EUR, CHF or JPY and bearing interest at a rate based on LIBOR is outstanding on the Effective Date, such Loan shall continue to bear interest at such rate until the end of the current Interest Period or Interest Payment Date applicable to such Loan. </w:t>
      </w:r>
      <w:r>
        <w:rPr>
          <w:rFonts w:ascii="Arial" w:cs="Arial" w:eastAsia="Arial" w:hAnsi="Arial"/>
          <w:sz w:val="18"/>
          <w:szCs w:val="18"/>
          <w:color w:val="008000"/>
          <w:strike w:val="1"/>
        </w:rPr>
        <w:t>If the Benchmark Replacement for Loans denominated in</w:t>
      </w:r>
      <w:r>
        <w:rPr>
          <w:rFonts w:ascii="Arial" w:cs="Arial" w:eastAsia="Arial" w:hAnsi="Arial"/>
          <w:sz w:val="18"/>
          <w:szCs w:val="18"/>
          <w:color w:val="FF0000"/>
          <w:strike w:val="1"/>
        </w:rPr>
        <w:t xml:space="preserve"> U.S. Dollars is </w:t>
      </w:r>
      <w:r>
        <w:rPr>
          <w:rFonts w:ascii="Arial" w:cs="Arial" w:eastAsia="Arial" w:hAnsi="Arial"/>
          <w:sz w:val="18"/>
          <w:szCs w:val="18"/>
          <w:color w:val="008000"/>
          <w:strike w:val="1"/>
        </w:rPr>
        <w:t>Daily Simple SOFR all interest payments in respect of such Loans will be payable on a quarterly basis.</w:t>
      </w:r>
    </w:p>
    <w:p>
      <w:pPr>
        <w:spacing w:after="0" w:line="158"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b</w:t>
      </w:r>
      <w:r>
        <w:rPr>
          <w:rFonts w:ascii="Arial" w:cs="Arial" w:eastAsia="Arial" w:hAnsi="Arial"/>
          <w:sz w:val="20"/>
          <w:szCs w:val="20"/>
          <w:u w:val="single" w:color="auto"/>
          <w:color w:val="0000FF"/>
        </w:rPr>
        <w:t>a</w:t>
      </w:r>
      <w:r>
        <w:rPr>
          <w:rFonts w:ascii="Arial" w:cs="Arial" w:eastAsia="Arial" w:hAnsi="Arial"/>
          <w:sz w:val="20"/>
          <w:szCs w:val="20"/>
          <w:color w:val="auto"/>
        </w:rPr>
        <w:t>)</w:t>
      </w:r>
      <w:r>
        <w:rPr>
          <w:sz w:val="20"/>
          <w:szCs w:val="20"/>
          <w:color w:val="auto"/>
        </w:rPr>
        <w:tab/>
      </w:r>
      <w:r>
        <w:rPr>
          <w:rFonts w:ascii="Arial" w:cs="Arial" w:eastAsia="Arial" w:hAnsi="Arial"/>
          <w:sz w:val="16"/>
          <w:szCs w:val="16"/>
          <w:u w:val="single" w:color="auto"/>
          <w:color w:val="FF0000"/>
          <w:strike w:val="1"/>
        </w:rPr>
        <w:t>Replacing Other Benchmarks</w:t>
      </w:r>
      <w:r>
        <w:rPr>
          <w:rFonts w:ascii="Arial" w:cs="Arial" w:eastAsia="Arial" w:hAnsi="Arial"/>
          <w:sz w:val="16"/>
          <w:szCs w:val="16"/>
          <w:u w:val="single" w:color="auto"/>
          <w:color w:val="0000FF"/>
          <w:strike w:val="1"/>
        </w:rPr>
        <w:t>Benchmark Replacement</w:t>
      </w:r>
      <w:r>
        <w:rPr>
          <w:rFonts w:ascii="Arial" w:cs="Arial" w:eastAsia="Arial" w:hAnsi="Arial"/>
          <w:sz w:val="16"/>
          <w:szCs w:val="16"/>
          <w:color w:val="000000"/>
          <w:strike w:val="1"/>
        </w:rPr>
        <w:t>. If any Benchmark Transition Event</w:t>
      </w:r>
      <w:r>
        <w:rPr>
          <w:rFonts w:ascii="Arial" w:cs="Arial" w:eastAsia="Arial" w:hAnsi="Arial"/>
          <w:sz w:val="16"/>
          <w:szCs w:val="16"/>
          <w:u w:val="single" w:color="auto"/>
          <w:color w:val="FF0000"/>
          <w:strike w:val="1"/>
        </w:rPr>
        <w:t xml:space="preserve"> </w:t>
      </w:r>
      <w:r>
        <w:rPr>
          <w:rFonts w:ascii="Arial" w:cs="Arial" w:eastAsia="Arial" w:hAnsi="Arial"/>
          <w:sz w:val="16"/>
          <w:szCs w:val="16"/>
          <w:u w:val="single" w:color="auto"/>
          <w:color w:val="0000FF"/>
          <w:strike w:val="1"/>
        </w:rPr>
        <w:t>and its related Benchmark</w:t>
      </w:r>
    </w:p>
    <w:p>
      <w:pPr>
        <w:spacing w:after="0" w:line="234" w:lineRule="auto"/>
        <w:rPr>
          <w:sz w:val="20"/>
          <w:szCs w:val="20"/>
          <w:color w:val="auto"/>
        </w:rPr>
      </w:pPr>
      <w:r>
        <w:rPr>
          <w:rFonts w:ascii="Arial" w:cs="Arial" w:eastAsia="Arial" w:hAnsi="Arial"/>
          <w:sz w:val="18"/>
          <w:szCs w:val="18"/>
          <w:u w:val="single" w:color="auto"/>
          <w:color w:val="0000FF"/>
        </w:rPr>
        <w:t>Replacement Date</w:t>
      </w:r>
      <w:r>
        <w:rPr>
          <w:rFonts w:ascii="Arial" w:cs="Arial" w:eastAsia="Arial" w:hAnsi="Arial"/>
          <w:sz w:val="18"/>
          <w:szCs w:val="18"/>
          <w:color w:val="0000FF"/>
        </w:rPr>
        <w:t xml:space="preserve"> </w:t>
      </w:r>
      <w:r>
        <w:rPr>
          <w:rFonts w:ascii="Arial" w:cs="Arial" w:eastAsia="Arial" w:hAnsi="Arial"/>
          <w:sz w:val="18"/>
          <w:szCs w:val="18"/>
          <w:color w:val="000000"/>
        </w:rPr>
        <w:t>occurs after the date hereof</w:t>
      </w:r>
      <w:r>
        <w:rPr>
          <w:rFonts w:ascii="Arial" w:cs="Arial" w:eastAsia="Arial" w:hAnsi="Arial"/>
          <w:sz w:val="18"/>
          <w:szCs w:val="18"/>
          <w:color w:val="0000FF"/>
        </w:rPr>
        <w:t xml:space="preserve"> </w:t>
      </w:r>
      <w:r>
        <w:rPr>
          <w:rFonts w:ascii="Arial" w:cs="Arial" w:eastAsia="Arial" w:hAnsi="Arial"/>
          <w:sz w:val="18"/>
          <w:szCs w:val="18"/>
          <w:color w:val="FF0000"/>
          <w:strike w:val="1"/>
        </w:rPr>
        <w:t>(other than as described above in clause (a))</w:t>
      </w:r>
      <w:r>
        <w:rPr>
          <w:rFonts w:ascii="Arial" w:cs="Arial" w:eastAsia="Arial" w:hAnsi="Arial"/>
          <w:sz w:val="18"/>
          <w:szCs w:val="18"/>
          <w:color w:val="0000FF"/>
        </w:rPr>
        <w:t xml:space="preserve"> </w:t>
      </w:r>
      <w:r>
        <w:rPr>
          <w:rFonts w:ascii="Arial" w:cs="Arial" w:eastAsia="Arial" w:hAnsi="Arial"/>
          <w:sz w:val="18"/>
          <w:szCs w:val="18"/>
          <w:color w:val="000000"/>
        </w:rPr>
        <w:t>with respect to any</w:t>
      </w:r>
      <w:r>
        <w:rPr>
          <w:rFonts w:ascii="Arial" w:cs="Arial" w:eastAsia="Arial" w:hAnsi="Arial"/>
          <w:sz w:val="18"/>
          <w:szCs w:val="18"/>
          <w:color w:val="0000FF"/>
        </w:rPr>
        <w:t xml:space="preserve"> </w:t>
      </w:r>
      <w:r>
        <w:rPr>
          <w:rFonts w:ascii="Arial" w:cs="Arial" w:eastAsia="Arial" w:hAnsi="Arial"/>
          <w:sz w:val="18"/>
          <w:szCs w:val="18"/>
          <w:color w:val="FF0000"/>
          <w:strike w:val="1"/>
        </w:rPr>
        <w:t>Benchmark</w:t>
      </w:r>
      <w:r>
        <w:rPr>
          <w:rFonts w:ascii="Arial" w:cs="Arial" w:eastAsia="Arial" w:hAnsi="Arial"/>
          <w:sz w:val="18"/>
          <w:szCs w:val="18"/>
          <w:u w:val="single" w:color="auto"/>
          <w:color w:val="0000FF"/>
        </w:rPr>
        <w:t>then-current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 xml:space="preserve">Benchmark, then (x) if a Benchmark Replacement is determined in accordance with clause (1) of the definition of “Benchmark Replacement” for such Benchmark Replacement Date, such Benchmark Replacement will replace such Benchmark </w:t>
      </w:r>
      <w:r>
        <w:rPr>
          <w:rFonts w:ascii="Arial" w:cs="Arial" w:eastAsia="Arial" w:hAnsi="Arial"/>
          <w:sz w:val="18"/>
          <w:szCs w:val="18"/>
          <w:u w:val="single" w:color="auto"/>
          <w:color w:val="008000"/>
        </w:rPr>
        <w:t>for all purposes hereunder and under</w:t>
      </w:r>
    </w:p>
    <w:p>
      <w:pPr>
        <w:spacing w:after="0" w:line="236" w:lineRule="auto"/>
        <w:rPr>
          <w:sz w:val="20"/>
          <w:szCs w:val="20"/>
          <w:color w:val="auto"/>
        </w:rPr>
      </w:pPr>
      <w:r>
        <w:rPr>
          <w:rFonts w:ascii="Arial" w:cs="Arial" w:eastAsia="Arial" w:hAnsi="Arial"/>
          <w:sz w:val="18"/>
          <w:szCs w:val="18"/>
          <w:u w:val="single" w:color="auto"/>
          <w:color w:val="008000"/>
        </w:rPr>
        <w:t>any Loan Document in respect of any setting of such Benchmark on such day and all subsequent settings without any amendment to, or</w:t>
      </w:r>
    </w:p>
    <w:p>
      <w:pPr>
        <w:spacing w:after="0" w:line="1" w:lineRule="exact"/>
        <w:rPr>
          <w:sz w:val="20"/>
          <w:szCs w:val="20"/>
          <w:color w:val="auto"/>
        </w:rPr>
      </w:pPr>
    </w:p>
    <w:p>
      <w:pPr>
        <w:ind w:right="580"/>
        <w:spacing w:after="0" w:line="226" w:lineRule="auto"/>
        <w:rPr>
          <w:sz w:val="20"/>
          <w:szCs w:val="20"/>
          <w:color w:val="auto"/>
        </w:rPr>
      </w:pPr>
      <w:r>
        <w:rPr>
          <w:rFonts w:ascii="Arial" w:cs="Arial" w:eastAsia="Arial" w:hAnsi="Arial"/>
          <w:sz w:val="18"/>
          <w:szCs w:val="18"/>
          <w:u w:val="single" w:color="auto"/>
          <w:color w:val="008000"/>
        </w:rPr>
        <w:t xml:space="preserve">further action by or consent of any other party to, this Agreement or any other Loan Document </w:t>
      </w:r>
      <w:r>
        <w:rPr>
          <w:rFonts w:ascii="Arial" w:cs="Arial" w:eastAsia="Arial" w:hAnsi="Arial"/>
          <w:sz w:val="18"/>
          <w:szCs w:val="18"/>
          <w:u w:val="single" w:color="auto"/>
          <w:color w:val="0000FF"/>
        </w:rPr>
        <w:t>and (y) if a Benchmark Replacement is</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determined in accordance with clause (2) of the definition of “Benchmark Replacement” for such Benchmark Replacement Date</w:t>
      </w:r>
      <w:r>
        <w:rPr>
          <w:rFonts w:ascii="Arial" w:cs="Arial" w:eastAsia="Arial" w:hAnsi="Arial"/>
          <w:sz w:val="18"/>
          <w:szCs w:val="18"/>
          <w:color w:val="000000"/>
        </w:rPr>
        <w:t>, the</w:t>
      </w:r>
    </w:p>
    <w:p>
      <w:pPr>
        <w:spacing w:after="0" w:line="224" w:lineRule="auto"/>
        <w:rPr>
          <w:sz w:val="20"/>
          <w:szCs w:val="20"/>
          <w:color w:val="auto"/>
        </w:rPr>
      </w:pPr>
      <w:r>
        <w:rPr>
          <w:rFonts w:ascii="Arial" w:cs="Arial" w:eastAsia="Arial" w:hAnsi="Arial"/>
          <w:sz w:val="19"/>
          <w:szCs w:val="19"/>
          <w:color w:val="auto"/>
        </w:rPr>
        <w:t>applicable Benchmark will be replaced with the applicable Benchmark Replacement for all purposes hereunder and under any Loan</w:t>
      </w:r>
    </w:p>
    <w:p>
      <w:pPr>
        <w:ind w:right="100"/>
        <w:spacing w:after="0" w:line="255" w:lineRule="auto"/>
        <w:rPr>
          <w:sz w:val="20"/>
          <w:szCs w:val="20"/>
          <w:color w:val="auto"/>
        </w:rPr>
      </w:pPr>
      <w:r>
        <w:rPr>
          <w:rFonts w:ascii="Arial" w:cs="Arial" w:eastAsia="Arial" w:hAnsi="Arial"/>
          <w:sz w:val="16"/>
          <w:szCs w:val="16"/>
          <w:color w:val="auto"/>
        </w:rPr>
        <w:t>Document in respect of any Benchmark setting on the later of (i) 5:00 p.m. (New York City time) on the fifth (5th) Business Day after the date notice of such Benchmark Replacement is provided to the Lenders and the Company (together, if applicable, with an amendment to this</w:t>
      </w:r>
    </w:p>
    <w:p>
      <w:pPr>
        <w:spacing w:after="0" w:line="235" w:lineRule="auto"/>
        <w:rPr>
          <w:sz w:val="20"/>
          <w:szCs w:val="20"/>
          <w:color w:val="auto"/>
        </w:rPr>
      </w:pPr>
      <w:r>
        <w:rPr>
          <w:rFonts w:ascii="Arial" w:cs="Arial" w:eastAsia="Arial" w:hAnsi="Arial"/>
          <w:sz w:val="18"/>
          <w:szCs w:val="18"/>
          <w:color w:val="auto"/>
        </w:rPr>
        <w:t>Agreement implementing such Benchmark Replacement and any applicable Benchmark Replacement Conforming Changes) or (ii) such</w:t>
      </w:r>
    </w:p>
    <w:p>
      <w:pPr>
        <w:ind w:right="280"/>
        <w:spacing w:after="0" w:line="255" w:lineRule="auto"/>
        <w:rPr>
          <w:sz w:val="20"/>
          <w:szCs w:val="20"/>
          <w:color w:val="auto"/>
        </w:rPr>
      </w:pPr>
      <w:r>
        <w:rPr>
          <w:rFonts w:ascii="Arial" w:cs="Arial" w:eastAsia="Arial" w:hAnsi="Arial"/>
          <w:sz w:val="16"/>
          <w:szCs w:val="16"/>
          <w:color w:val="auto"/>
        </w:rPr>
        <w:t>other date as may be determined by the Administrative Agent, in each case, without any further action or consent of any other party to this Agreement or any other Loan Document, so long as the Administrative Agent has not received, by such time (or, in the case of clause (ii)</w:t>
      </w:r>
    </w:p>
    <w:p>
      <w:pPr>
        <w:spacing w:after="0" w:line="235" w:lineRule="auto"/>
        <w:rPr>
          <w:sz w:val="20"/>
          <w:szCs w:val="20"/>
          <w:color w:val="auto"/>
        </w:rPr>
      </w:pPr>
      <w:r>
        <w:rPr>
          <w:rFonts w:ascii="Arial" w:cs="Arial" w:eastAsia="Arial" w:hAnsi="Arial"/>
          <w:sz w:val="18"/>
          <w:szCs w:val="18"/>
          <w:color w:val="auto"/>
        </w:rPr>
        <w:t>above, such time as may be specified by the Administrative Agent as a deadline to receive objections, but in any case, no less than five (5)</w:t>
      </w:r>
    </w:p>
    <w:p>
      <w:pPr>
        <w:ind w:right="640"/>
        <w:spacing w:after="0" w:line="232" w:lineRule="auto"/>
        <w:rPr>
          <w:sz w:val="20"/>
          <w:szCs w:val="20"/>
          <w:color w:val="auto"/>
        </w:rPr>
      </w:pPr>
      <w:r>
        <w:rPr>
          <w:rFonts w:ascii="Arial" w:cs="Arial" w:eastAsia="Arial" w:hAnsi="Arial"/>
          <w:sz w:val="19"/>
          <w:szCs w:val="19"/>
          <w:color w:val="auto"/>
        </w:rPr>
        <w:t>Business Days after the date such notice is provided to the Lenders and the Company), written notice of objection to such Benchmark Replacement from Lenders comprising the Required Lenders. At any time that the administrator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then-current Benchmark has permanently or indefinitely ceased to provide such Benchmark or such Benchmark has been announced by the</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regulatory supervisor for the administrator of such Benchmark pursuant to public statement or publication of information to be no longer representative of the underlying market and economic reality that such Benchmark is intended to measure and that representativeness will not</w:t>
      </w:r>
    </w:p>
    <w:p>
      <w:pPr>
        <w:spacing w:after="0" w:line="223" w:lineRule="auto"/>
        <w:rPr>
          <w:sz w:val="20"/>
          <w:szCs w:val="20"/>
          <w:color w:val="auto"/>
        </w:rPr>
      </w:pPr>
      <w:r>
        <w:rPr>
          <w:rFonts w:ascii="Arial" w:cs="Arial" w:eastAsia="Arial" w:hAnsi="Arial"/>
          <w:sz w:val="19"/>
          <w:szCs w:val="19"/>
          <w:color w:val="auto"/>
        </w:rPr>
        <w:t>be restored, each Borrower (or the Company, on behalf of any Borrower) may revoke any request for a borrowing of, conversion to or</w:t>
      </w:r>
    </w:p>
    <w:p>
      <w:pPr>
        <w:spacing w:after="0" w:line="226" w:lineRule="auto"/>
        <w:rPr>
          <w:sz w:val="20"/>
          <w:szCs w:val="20"/>
          <w:color w:val="auto"/>
        </w:rPr>
      </w:pPr>
      <w:r>
        <w:rPr>
          <w:rFonts w:ascii="Arial" w:cs="Arial" w:eastAsia="Arial" w:hAnsi="Arial"/>
          <w:sz w:val="18"/>
          <w:szCs w:val="18"/>
          <w:color w:val="auto"/>
        </w:rPr>
        <w:t>continuation of Loans to be made, converted or continued that would bear interest by reference to such Benchmark until such Borrower’s receipt of notice from the Administrative Agent that a Benchmark Replacement has replaced such Benchmark, and, failing that, (i) in the case</w:t>
      </w:r>
    </w:p>
    <w:p>
      <w:pPr>
        <w:spacing w:after="0" w:line="236" w:lineRule="auto"/>
        <w:rPr>
          <w:sz w:val="20"/>
          <w:szCs w:val="20"/>
          <w:color w:val="auto"/>
        </w:rPr>
      </w:pPr>
      <w:r>
        <w:rPr>
          <w:rFonts w:ascii="Arial" w:cs="Arial" w:eastAsia="Arial" w:hAnsi="Arial"/>
          <w:sz w:val="18"/>
          <w:szCs w:val="18"/>
          <w:color w:val="auto"/>
        </w:rPr>
        <w:t xml:space="preserve">of any request for a borrowing of, conversion to or continuation of Loans denominated in </w:t>
      </w:r>
      <w:r>
        <w:rPr>
          <w:rFonts w:ascii="Arial" w:cs="Arial" w:eastAsia="Arial" w:hAnsi="Arial"/>
          <w:sz w:val="18"/>
          <w:szCs w:val="18"/>
          <w:color w:val="FF0000"/>
          <w:strike w:val="1"/>
        </w:rPr>
        <w:t>U.S.</w:t>
      </w:r>
      <w:r>
        <w:rPr>
          <w:rFonts w:ascii="Arial" w:cs="Arial" w:eastAsia="Arial" w:hAnsi="Arial"/>
          <w:sz w:val="18"/>
          <w:szCs w:val="18"/>
          <w:color w:val="auto"/>
        </w:rPr>
        <w:t xml:space="preserve"> Dollars, such Borrower will be deemed to</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have converted any such request into a request for a borrowing of or conversion to ABR Loans, and (ii) in the case of any request for a borrowing of, conversion to or continuation of Loans denominated in any Designated Foreign Currency, such Borrower will be deemed to</w:t>
      </w:r>
    </w:p>
    <w:p>
      <w:pPr>
        <w:spacing w:after="0" w:line="236" w:lineRule="auto"/>
        <w:rPr>
          <w:sz w:val="20"/>
          <w:szCs w:val="20"/>
          <w:color w:val="auto"/>
        </w:rPr>
      </w:pPr>
      <w:r>
        <w:rPr>
          <w:rFonts w:ascii="Arial" w:cs="Arial" w:eastAsia="Arial" w:hAnsi="Arial"/>
          <w:sz w:val="18"/>
          <w:szCs w:val="18"/>
          <w:color w:val="auto"/>
        </w:rPr>
        <w:t xml:space="preserve">have converted any such request into a request for a borrowing of or conversion to ABR Loans denominated in </w:t>
      </w:r>
      <w:r>
        <w:rPr>
          <w:rFonts w:ascii="Arial" w:cs="Arial" w:eastAsia="Arial" w:hAnsi="Arial"/>
          <w:sz w:val="18"/>
          <w:szCs w:val="18"/>
          <w:color w:val="FF0000"/>
          <w:strike w:val="1"/>
        </w:rPr>
        <w:t>U.S.</w:t>
      </w:r>
      <w:r>
        <w:rPr>
          <w:rFonts w:ascii="Arial" w:cs="Arial" w:eastAsia="Arial" w:hAnsi="Arial"/>
          <w:sz w:val="18"/>
          <w:szCs w:val="18"/>
          <w:color w:val="auto"/>
        </w:rPr>
        <w:t xml:space="preserve"> Dollars. During the</w:t>
      </w:r>
    </w:p>
    <w:p>
      <w:pPr>
        <w:spacing w:after="0" w:line="1"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 xml:space="preserve">period referenced in the foregoing sentence, the component of ABR based upon the applicable Benchmark will not be used in any determination of ABR. </w:t>
      </w:r>
      <w:r>
        <w:rPr>
          <w:rFonts w:ascii="Arial" w:cs="Arial" w:eastAsia="Arial" w:hAnsi="Arial"/>
          <w:sz w:val="18"/>
          <w:szCs w:val="18"/>
          <w:color w:val="008000"/>
        </w:rPr>
        <w:t>If the Benchmark Replacement for Loans denominated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Dollars is Adjusted</w:t>
      </w:r>
      <w:r>
        <w:rPr>
          <w:rFonts w:ascii="Arial" w:cs="Arial" w:eastAsia="Arial" w:hAnsi="Arial"/>
          <w:sz w:val="18"/>
          <w:szCs w:val="18"/>
          <w:color w:val="auto"/>
        </w:rPr>
        <w:t xml:space="preserve"> </w:t>
      </w:r>
      <w:r>
        <w:rPr>
          <w:rFonts w:ascii="Arial" w:cs="Arial" w:eastAsia="Arial" w:hAnsi="Arial"/>
          <w:sz w:val="18"/>
          <w:szCs w:val="18"/>
          <w:u w:val="single" w:color="auto"/>
          <w:color w:val="008000"/>
        </w:rPr>
        <w:t>Daily Simple SOFR all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-6350</wp:posOffset>
            </wp:positionV>
            <wp:extent cx="29546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95465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8000"/>
        </w:rPr>
        <w:t>payments in respect of such Loans will be payable on a quarterly basis.</w:t>
      </w:r>
    </w:p>
    <w:p>
      <w:pPr>
        <w:spacing w:after="0" w:line="173"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c</w:t>
      </w:r>
      <w:r>
        <w:rPr>
          <w:rFonts w:ascii="Arial" w:cs="Arial" w:eastAsia="Arial" w:hAnsi="Arial"/>
          <w:sz w:val="18"/>
          <w:szCs w:val="18"/>
          <w:u w:val="single" w:color="auto"/>
          <w:color w:val="0000FF"/>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With respect to any Daily Simple RFR, EURIBOR</w:t>
      </w:r>
      <w:r>
        <w:rPr>
          <w:rFonts w:ascii="Arial" w:cs="Arial" w:eastAsia="Arial" w:hAnsi="Arial"/>
          <w:sz w:val="18"/>
          <w:szCs w:val="18"/>
          <w:u w:val="single" w:color="auto"/>
          <w:color w:val="0000FF"/>
        </w:rPr>
        <w:t>, the CDOR Rate,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Adjusted Term SOFR</w:t>
      </w:r>
      <w:r>
        <w:rPr>
          <w:rFonts w:ascii="Arial" w:cs="Arial" w:eastAsia="Arial" w:hAnsi="Arial"/>
          <w:sz w:val="18"/>
          <w:szCs w:val="18"/>
          <w:color w:val="0000FF"/>
        </w:rPr>
        <w:t xml:space="preserve"> </w:t>
      </w:r>
      <w:r>
        <w:rPr>
          <w:rFonts w:ascii="Arial" w:cs="Arial" w:eastAsia="Arial" w:hAnsi="Arial"/>
          <w:sz w:val="18"/>
          <w:szCs w:val="18"/>
          <w:color w:val="000000"/>
        </w:rPr>
        <w:t>or any Benchmark Replacement</w:t>
      </w:r>
      <w:r>
        <w:rPr>
          <w:rFonts w:ascii="Arial" w:cs="Arial" w:eastAsia="Arial" w:hAnsi="Arial"/>
          <w:sz w:val="18"/>
          <w:szCs w:val="18"/>
          <w:color w:val="0000FF"/>
        </w:rPr>
        <w:t xml:space="preserve"> </w:t>
      </w:r>
      <w:r>
        <w:rPr>
          <w:rFonts w:ascii="Arial" w:cs="Arial" w:eastAsia="Arial" w:hAnsi="Arial"/>
          <w:sz w:val="18"/>
          <w:szCs w:val="18"/>
          <w:color w:val="FF0000"/>
          <w:strike w:val="1"/>
        </w:rPr>
        <w:t>(whether in connection with the replacement of LIBOR or any other Benchmark)</w:t>
      </w:r>
      <w:r>
        <w:rPr>
          <w:rFonts w:ascii="Arial" w:cs="Arial" w:eastAsia="Arial" w:hAnsi="Arial"/>
          <w:sz w:val="18"/>
          <w:szCs w:val="18"/>
          <w:color w:val="000000"/>
        </w:rPr>
        <w:t>, the</w:t>
      </w:r>
    </w:p>
    <w:p>
      <w:pPr>
        <w:spacing w:after="0" w:line="235" w:lineRule="auto"/>
        <w:rPr>
          <w:sz w:val="20"/>
          <w:szCs w:val="20"/>
          <w:color w:val="auto"/>
        </w:rPr>
      </w:pPr>
      <w:r>
        <w:rPr>
          <w:rFonts w:ascii="Arial" w:cs="Arial" w:eastAsia="Arial" w:hAnsi="Arial"/>
          <w:sz w:val="18"/>
          <w:szCs w:val="18"/>
          <w:color w:val="auto"/>
        </w:rPr>
        <w:t>Administrative Agent will have the right to make Benchmark Replacement Conforming Changes from time to time and, notwithstanding</w:t>
      </w:r>
    </w:p>
    <w:p>
      <w:pPr>
        <w:ind w:right="200"/>
        <w:spacing w:after="0" w:line="250" w:lineRule="auto"/>
        <w:rPr>
          <w:sz w:val="20"/>
          <w:szCs w:val="20"/>
          <w:color w:val="auto"/>
        </w:rPr>
      </w:pPr>
      <w:r>
        <w:rPr>
          <w:rFonts w:ascii="Arial" w:cs="Arial" w:eastAsia="Arial" w:hAnsi="Arial"/>
          <w:sz w:val="18"/>
          <w:szCs w:val="18"/>
          <w:color w:val="auto"/>
        </w:rPr>
        <w:t>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0" w:lineRule="exact"/>
        <w:rPr>
          <w:sz w:val="20"/>
          <w:szCs w:val="20"/>
          <w:color w:val="auto"/>
        </w:rPr>
      </w:pPr>
    </w:p>
    <w:p>
      <w:pPr>
        <w:ind w:right="2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d</w:t>
      </w:r>
      <w:r>
        <w:rPr>
          <w:rFonts w:ascii="Arial" w:cs="Arial" w:eastAsia="Arial" w:hAnsi="Arial"/>
          <w:sz w:val="18"/>
          <w:szCs w:val="18"/>
          <w:u w:val="single" w:color="auto"/>
          <w:color w:val="0000FF"/>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The Administrative Agent will promptly notify the Borrowers and the Lenders of (i) the implementation of any Benchmark Replacement and (ii) the effectiveness of any Benchmark Replacement</w:t>
      </w:r>
    </w:p>
    <w:p>
      <w:pPr>
        <w:spacing w:after="0" w:line="235" w:lineRule="auto"/>
        <w:rPr>
          <w:sz w:val="20"/>
          <w:szCs w:val="20"/>
          <w:color w:val="auto"/>
        </w:rPr>
      </w:pPr>
      <w:r>
        <w:rPr>
          <w:rFonts w:ascii="Arial" w:cs="Arial" w:eastAsia="Arial" w:hAnsi="Arial"/>
          <w:sz w:val="18"/>
          <w:szCs w:val="18"/>
          <w:color w:val="auto"/>
        </w:rPr>
        <w:t>Conforming Changes. Any determination, decision or election that may be made by the Administrative Agent or, if applicable, any Lender</w:t>
      </w:r>
    </w:p>
    <w:p>
      <w:pPr>
        <w:ind w:right="160"/>
        <w:spacing w:after="0" w:line="226" w:lineRule="auto"/>
        <w:rPr>
          <w:sz w:val="20"/>
          <w:szCs w:val="20"/>
          <w:color w:val="auto"/>
        </w:rPr>
      </w:pPr>
      <w:r>
        <w:rPr>
          <w:rFonts w:ascii="Arial" w:cs="Arial" w:eastAsia="Arial" w:hAnsi="Arial"/>
          <w:sz w:val="18"/>
          <w:szCs w:val="18"/>
          <w:color w:val="auto"/>
        </w:rPr>
        <w:t>(or group of Lenders) pursuant to this Section including, without limitation, any determination with respect to a tenor, rate or adjustment, or implementation of any Benchmark Replacement Conforming Changes, the timing of implementation of any Benchmark Replacement or of</w:t>
      </w:r>
    </w:p>
    <w:p>
      <w:pPr>
        <w:spacing w:after="0" w:line="224" w:lineRule="auto"/>
        <w:rPr>
          <w:sz w:val="20"/>
          <w:szCs w:val="20"/>
          <w:color w:val="auto"/>
        </w:rPr>
      </w:pPr>
      <w:r>
        <w:rPr>
          <w:rFonts w:ascii="Arial" w:cs="Arial" w:eastAsia="Arial" w:hAnsi="Arial"/>
          <w:sz w:val="19"/>
          <w:szCs w:val="19"/>
          <w:color w:val="auto"/>
        </w:rPr>
        <w:t>the occurrence or non-occurrence of an event, circumstance or date and any decision to take or refrain from taking any action, will be</w:t>
      </w:r>
    </w:p>
    <w:p>
      <w:pPr>
        <w:ind w:right="200"/>
        <w:spacing w:after="0" w:line="255" w:lineRule="auto"/>
        <w:rPr>
          <w:sz w:val="20"/>
          <w:szCs w:val="20"/>
          <w:color w:val="auto"/>
        </w:rPr>
      </w:pPr>
      <w:r>
        <w:rPr>
          <w:rFonts w:ascii="Arial" w:cs="Arial" w:eastAsia="Arial" w:hAnsi="Arial"/>
          <w:sz w:val="16"/>
          <w:szCs w:val="16"/>
          <w:color w:val="auto"/>
        </w:rPr>
        <w:t>conclusive and binding on all parties hereto absent manifest error and may be made in its or their, as applicable, sole discretion and without consent from any other party to this Agreement or any other Loan Document, except, in each case, as expressly required pursuant to this</w:t>
      </w:r>
    </w:p>
    <w:p>
      <w:pPr>
        <w:spacing w:after="0" w:line="1" w:lineRule="exact"/>
        <w:rPr>
          <w:sz w:val="20"/>
          <w:szCs w:val="20"/>
          <w:color w:val="auto"/>
        </w:rPr>
      </w:pPr>
    </w:p>
    <w:p>
      <w:pPr>
        <w:ind w:right="520"/>
        <w:spacing w:after="0" w:line="227" w:lineRule="auto"/>
        <w:rPr>
          <w:sz w:val="20"/>
          <w:szCs w:val="20"/>
          <w:color w:val="auto"/>
        </w:rPr>
      </w:pPr>
      <w:r>
        <w:rPr>
          <w:rFonts w:ascii="Arial" w:cs="Arial" w:eastAsia="Arial" w:hAnsi="Arial"/>
          <w:sz w:val="20"/>
          <w:szCs w:val="20"/>
          <w:color w:val="auto"/>
        </w:rPr>
        <w:t>Section, and shall not be a basis of any claim of liability of any kind or nature by any party hereto, all such claims being hereby waived individually by each party hereto.</w:t>
      </w:r>
    </w:p>
    <w:p>
      <w:pPr>
        <w:spacing w:after="0" w:line="156"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xml:space="preserve">. At any time (including in connection with the implementation of a Benchmark Replacement), (i) if a then-current Benchmark is a term rate (including </w:t>
      </w:r>
      <w:r>
        <w:rPr>
          <w:rFonts w:ascii="Arial" w:cs="Arial" w:eastAsia="Arial" w:hAnsi="Arial"/>
          <w:sz w:val="18"/>
          <w:szCs w:val="18"/>
          <w:u w:val="single" w:color="auto"/>
          <w:color w:val="0000FF"/>
        </w:rPr>
        <w:t>Adjusted</w:t>
      </w:r>
      <w:r>
        <w:rPr>
          <w:rFonts w:ascii="Arial" w:cs="Arial" w:eastAsia="Arial" w:hAnsi="Arial"/>
          <w:sz w:val="18"/>
          <w:szCs w:val="18"/>
          <w:color w:val="auto"/>
        </w:rPr>
        <w:t xml:space="preserve"> Term SOFR, EURIBOR</w:t>
      </w:r>
      <w:r>
        <w:rPr>
          <w:rFonts w:ascii="Arial" w:cs="Arial" w:eastAsia="Arial" w:hAnsi="Arial"/>
          <w:sz w:val="18"/>
          <w:szCs w:val="18"/>
          <w:color w:val="FF0000"/>
          <w:strike w:val="1"/>
        </w:rPr>
        <w:t>, USD LIBOR or any alternative</w:t>
      </w:r>
    </w:p>
    <w:p>
      <w:pPr>
        <w:ind w:right="20"/>
        <w:spacing w:after="0" w:line="226" w:lineRule="auto"/>
        <w:rPr>
          <w:sz w:val="20"/>
          <w:szCs w:val="20"/>
          <w:color w:val="auto"/>
        </w:rPr>
      </w:pPr>
      <w:r>
        <w:rPr>
          <w:rFonts w:ascii="Arial" w:cs="Arial" w:eastAsia="Arial" w:hAnsi="Arial"/>
          <w:sz w:val="18"/>
          <w:szCs w:val="18"/>
          <w:color w:val="FF0000"/>
          <w:strike w:val="1"/>
        </w:rPr>
        <w:t>rate selected in an Early Opt-in Election), then</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 the CDOR Rate),</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may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modify the definition of “Interest Period”</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any similar or analogous definition) to</w:t>
      </w:r>
      <w:r>
        <w:rPr>
          <w:rFonts w:ascii="Arial" w:cs="Arial" w:eastAsia="Arial" w:hAnsi="Arial"/>
          <w:sz w:val="18"/>
          <w:szCs w:val="18"/>
          <w:color w:val="0000FF"/>
        </w:rPr>
        <w:t xml:space="preserve"> </w:t>
      </w:r>
      <w:r>
        <w:rPr>
          <w:rFonts w:ascii="Arial" w:cs="Arial" w:eastAsia="Arial" w:hAnsi="Arial"/>
          <w:sz w:val="18"/>
          <w:szCs w:val="18"/>
          <w:color w:val="000000"/>
        </w:rPr>
        <w:t>remove any tenor of such Benchmark that is unavailable or non-representative for such Benchmark</w:t>
      </w:r>
    </w:p>
    <w:p>
      <w:pPr>
        <w:spacing w:after="0" w:line="236" w:lineRule="auto"/>
        <w:rPr>
          <w:sz w:val="20"/>
          <w:szCs w:val="20"/>
          <w:color w:val="auto"/>
        </w:rPr>
      </w:pPr>
      <w:r>
        <w:rPr>
          <w:rFonts w:ascii="Arial" w:cs="Arial" w:eastAsia="Arial" w:hAnsi="Arial"/>
          <w:sz w:val="18"/>
          <w:szCs w:val="18"/>
          <w:color w:val="auto"/>
        </w:rPr>
        <w:t>(including any Benchmark Replacement) settings and (ii) if such tenor becomes available or representative, the Administrative Agent may</w:t>
      </w:r>
    </w:p>
    <w:p>
      <w:pPr>
        <w:spacing w:after="0" w:line="1" w:lineRule="exact"/>
        <w:rPr>
          <w:sz w:val="20"/>
          <w:szCs w:val="20"/>
          <w:color w:val="auto"/>
        </w:rPr>
      </w:pPr>
    </w:p>
    <w:p>
      <w:pPr>
        <w:ind w:right="760"/>
        <w:spacing w:after="0" w:line="220" w:lineRule="auto"/>
        <w:rPr>
          <w:sz w:val="20"/>
          <w:szCs w:val="20"/>
          <w:color w:val="auto"/>
        </w:rPr>
      </w:pPr>
      <w:r>
        <w:rPr>
          <w:rFonts w:ascii="Arial" w:cs="Arial" w:eastAsia="Arial" w:hAnsi="Arial"/>
          <w:sz w:val="20"/>
          <w:szCs w:val="20"/>
          <w:u w:val="single" w:color="auto"/>
          <w:color w:val="0000FF"/>
        </w:rPr>
        <w:t>modify the definition of “Interest Period” (or any similar or analogous definition) to</w:t>
      </w:r>
      <w:r>
        <w:rPr>
          <w:rFonts w:ascii="Arial" w:cs="Arial" w:eastAsia="Arial" w:hAnsi="Arial"/>
          <w:sz w:val="20"/>
          <w:szCs w:val="20"/>
          <w:color w:val="0000FF"/>
        </w:rPr>
        <w:t xml:space="preserve"> </w:t>
      </w:r>
      <w:r>
        <w:rPr>
          <w:rFonts w:ascii="Arial" w:cs="Arial" w:eastAsia="Arial" w:hAnsi="Arial"/>
          <w:sz w:val="20"/>
          <w:szCs w:val="20"/>
          <w:color w:val="000000"/>
        </w:rPr>
        <w:t>reinstate any previously removed tenor for such</w:t>
      </w:r>
      <w:r>
        <w:rPr>
          <w:rFonts w:ascii="Arial" w:cs="Arial" w:eastAsia="Arial" w:hAnsi="Arial"/>
          <w:sz w:val="20"/>
          <w:szCs w:val="20"/>
          <w:color w:val="0000FF"/>
        </w:rPr>
        <w:t xml:space="preserve"> </w:t>
      </w:r>
      <w:r>
        <w:rPr>
          <w:rFonts w:ascii="Arial" w:cs="Arial" w:eastAsia="Arial" w:hAnsi="Arial"/>
          <w:sz w:val="20"/>
          <w:szCs w:val="20"/>
          <w:color w:val="000000"/>
        </w:rPr>
        <w:t>Benchmark (including any Benchmark Replacement) settings.</w:t>
      </w:r>
    </w:p>
    <w:p>
      <w:pPr>
        <w:spacing w:after="0" w:line="170" w:lineRule="exact"/>
        <w:rPr>
          <w:sz w:val="20"/>
          <w:szCs w:val="20"/>
          <w:color w:val="auto"/>
        </w:rPr>
      </w:pPr>
    </w:p>
    <w:p>
      <w:pPr>
        <w:ind w:left="1720" w:hanging="416"/>
        <w:spacing w:after="0"/>
        <w:tabs>
          <w:tab w:leader="none" w:pos="1720" w:val="left"/>
        </w:tabs>
        <w:numPr>
          <w:ilvl w:val="0"/>
          <w:numId w:val="17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Temporary Inability to Determine Rates; Alternate Rate of Interest; Illegality.</w:t>
      </w:r>
    </w:p>
    <w:p>
      <w:pPr>
        <w:spacing w:after="0" w:line="175" w:lineRule="exact"/>
        <w:rPr>
          <w:rFonts w:ascii="Arial" w:cs="Arial" w:eastAsia="Arial" w:hAnsi="Arial"/>
          <w:sz w:val="20"/>
          <w:szCs w:val="20"/>
          <w:u w:val="single" w:color="auto"/>
          <w:color w:val="0000FF"/>
        </w:rPr>
      </w:pPr>
    </w:p>
    <w:p>
      <w:pPr>
        <w:ind w:left="2340" w:hanging="388"/>
        <w:spacing w:after="0"/>
        <w:tabs>
          <w:tab w:leader="none" w:pos="2340" w:val="left"/>
        </w:tabs>
        <w:numPr>
          <w:ilvl w:val="1"/>
          <w:numId w:val="175"/>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 other than in connection with a Benchmark Transition Event, on or prior to the first day of any Interest</w:t>
      </w:r>
    </w:p>
    <w:p>
      <w:pPr>
        <w:ind w:left="660"/>
        <w:spacing w:after="0"/>
        <w:rPr>
          <w:sz w:val="20"/>
          <w:szCs w:val="20"/>
          <w:color w:val="auto"/>
        </w:rPr>
      </w:pPr>
      <w:r>
        <w:rPr>
          <w:rFonts w:ascii="Arial" w:cs="Arial" w:eastAsia="Arial" w:hAnsi="Arial"/>
          <w:sz w:val="20"/>
          <w:szCs w:val="20"/>
          <w:u w:val="single" w:color="auto"/>
          <w:color w:val="0000FF"/>
        </w:rPr>
        <w:t>Period:</w:t>
      </w:r>
    </w:p>
    <w:p>
      <w:pPr>
        <w:spacing w:after="0" w:line="173" w:lineRule="exact"/>
        <w:rPr>
          <w:sz w:val="20"/>
          <w:szCs w:val="20"/>
          <w:color w:val="auto"/>
        </w:rPr>
      </w:pPr>
    </w:p>
    <w:p>
      <w:pPr>
        <w:ind w:left="1300" w:right="400" w:firstLine="1296"/>
        <w:spacing w:after="0" w:line="257" w:lineRule="auto"/>
        <w:rPr>
          <w:sz w:val="20"/>
          <w:szCs w:val="20"/>
          <w:color w:val="auto"/>
        </w:rPr>
      </w:pPr>
      <w:r>
        <w:rPr>
          <w:rFonts w:ascii="Arial" w:cs="Arial" w:eastAsia="Arial" w:hAnsi="Arial"/>
          <w:sz w:val="19"/>
          <w:szCs w:val="19"/>
          <w:u w:val="single" w:color="auto"/>
          <w:color w:val="0000FF"/>
        </w:rPr>
        <w:t>(A</w:t>
      </w:r>
      <w:r>
        <w:rPr>
          <w:rFonts w:ascii="Arial" w:cs="Arial" w:eastAsia="Arial" w:hAnsi="Arial"/>
          <w:sz w:val="19"/>
          <w:szCs w:val="19"/>
          <w:u w:val="single" w:color="auto"/>
          <w:color w:val="008000"/>
        </w:rPr>
        <w:t>) the Administrative Agent determines (which determination shall be conclusive</w:t>
      </w:r>
      <w:r>
        <w:rPr>
          <w:rFonts w:ascii="Arial" w:cs="Arial" w:eastAsia="Arial" w:hAnsi="Arial"/>
          <w:sz w:val="19"/>
          <w:szCs w:val="19"/>
          <w:u w:val="single" w:color="auto"/>
          <w:color w:val="0000FF"/>
        </w:rPr>
        <w:t xml:space="preserve"> and binding absent manifest error) that Adjusted Term SOFR cannot be determined pursuant to the definition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88" w:name="page189"/>
    <w:bookmarkEnd w:id="188"/>
    <w:p>
      <w:pPr>
        <w:ind w:left="1280" w:right="120" w:firstLine="1300"/>
        <w:spacing w:after="0" w:line="218" w:lineRule="auto"/>
        <w:tabs>
          <w:tab w:leader="none" w:pos="3038" w:val="left"/>
        </w:tabs>
        <w:numPr>
          <w:ilvl w:val="0"/>
          <w:numId w:val="17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the </w:t>
      </w:r>
      <w:r>
        <w:rPr>
          <w:rFonts w:ascii="Arial" w:cs="Arial" w:eastAsia="Arial" w:hAnsi="Arial"/>
          <w:sz w:val="20"/>
          <w:szCs w:val="20"/>
          <w:u w:val="single" w:color="auto"/>
          <w:color w:val="008000"/>
        </w:rPr>
        <w:t>Required Facility Lenders under a particular Facility</w:t>
      </w:r>
      <w:r>
        <w:rPr>
          <w:rFonts w:ascii="Arial" w:cs="Arial" w:eastAsia="Arial" w:hAnsi="Arial"/>
          <w:sz w:val="20"/>
          <w:szCs w:val="20"/>
          <w:u w:val="single" w:color="auto"/>
          <w:color w:val="0000FF"/>
        </w:rPr>
        <w:t xml:space="preserve"> determine that for any reason in connection with any request for a Term SOFR Loan or a conversion thereto or a continuation thereof that Adjusted Term SOFR for any requested Interest Period with respect to a proposed Term SOFR Loan does </w:t>
      </w:r>
      <w:r>
        <w:rPr>
          <w:rFonts w:ascii="Arial" w:cs="Arial" w:eastAsia="Arial" w:hAnsi="Arial"/>
          <w:sz w:val="20"/>
          <w:szCs w:val="20"/>
          <w:u w:val="single" w:color="auto"/>
          <w:color w:val="008000"/>
        </w:rPr>
        <w:t>not adequately and fairly reflect the cost to such</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Lenders </w:t>
      </w:r>
      <w:r>
        <w:rPr>
          <w:rFonts w:ascii="Arial" w:cs="Arial" w:eastAsia="Arial" w:hAnsi="Arial"/>
          <w:sz w:val="20"/>
          <w:szCs w:val="20"/>
          <w:u w:val="single" w:color="auto"/>
          <w:color w:val="0000FF"/>
        </w:rPr>
        <w:t>of making or maintaining such Loan under such Facility, and such Required Facility Lenders have provided notice</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rPr>
        <w:t>of such determination to the Administrative Agent;</w:t>
      </w:r>
    </w:p>
    <w:p>
      <w:pPr>
        <w:spacing w:after="0" w:line="157" w:lineRule="exact"/>
        <w:rPr>
          <w:sz w:val="20"/>
          <w:szCs w:val="20"/>
          <w:color w:val="auto"/>
        </w:rPr>
      </w:pPr>
    </w:p>
    <w:p>
      <w:pPr>
        <w:ind w:left="720" w:right="120"/>
        <w:spacing w:after="0" w:line="244" w:lineRule="auto"/>
        <w:rPr>
          <w:sz w:val="20"/>
          <w:szCs w:val="20"/>
          <w:color w:val="auto"/>
        </w:rPr>
      </w:pPr>
      <w:r>
        <w:rPr>
          <w:rFonts w:ascii="Arial" w:cs="Arial" w:eastAsia="Arial" w:hAnsi="Arial"/>
          <w:sz w:val="18"/>
          <w:szCs w:val="18"/>
          <w:u w:val="single" w:color="auto"/>
          <w:color w:val="0000FF"/>
        </w:rPr>
        <w:t>then, the Administrative Agent will promptly notify the Company and each Lender of such determination. Upon notice thereof by the Administrative Agent to the Company, (A) any obligation of the Lenders to make or continue the applicable Term SOFR Loans</w:t>
      </w:r>
    </w:p>
    <w:p>
      <w:pPr>
        <w:ind w:left="720" w:right="20"/>
        <w:spacing w:after="0" w:line="255" w:lineRule="auto"/>
        <w:rPr>
          <w:sz w:val="20"/>
          <w:szCs w:val="20"/>
          <w:color w:val="auto"/>
        </w:rPr>
      </w:pPr>
      <w:r>
        <w:rPr>
          <w:rFonts w:ascii="Arial" w:cs="Arial" w:eastAsia="Arial" w:hAnsi="Arial"/>
          <w:sz w:val="16"/>
          <w:szCs w:val="16"/>
          <w:u w:val="single" w:color="auto"/>
          <w:color w:val="0000FF"/>
        </w:rPr>
        <w:t>or to convert ABR Loans to Term SOFR Loans under such Facility shall be suspended (to the extent of the affected Interest Periods) until the Administrative Agent revokes such notice and (B) if such determination affects the calculation of the Alternate Base Rate,</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6"/>
          <w:szCs w:val="16"/>
          <w:u w:val="single" w:color="auto"/>
          <w:color w:val="0000FF"/>
        </w:rPr>
        <w:t>the Administrative Agent shall during the period of such suspension compute the Alternate Base Rate without reference to clause (c)</w:t>
      </w:r>
    </w:p>
    <w:p>
      <w:pPr>
        <w:spacing w:after="0" w:line="19" w:lineRule="exact"/>
        <w:rPr>
          <w:sz w:val="20"/>
          <w:szCs w:val="20"/>
          <w:color w:val="auto"/>
        </w:rPr>
      </w:pPr>
    </w:p>
    <w:p>
      <w:pPr>
        <w:ind w:left="720" w:right="140"/>
        <w:spacing w:after="0" w:line="226" w:lineRule="auto"/>
        <w:rPr>
          <w:sz w:val="20"/>
          <w:szCs w:val="20"/>
          <w:color w:val="auto"/>
        </w:rPr>
      </w:pPr>
      <w:r>
        <w:rPr>
          <w:rFonts w:ascii="Arial" w:cs="Arial" w:eastAsia="Arial" w:hAnsi="Arial"/>
          <w:sz w:val="18"/>
          <w:szCs w:val="18"/>
          <w:u w:val="single" w:color="auto"/>
          <w:color w:val="0000FF"/>
        </w:rPr>
        <w:t>of the definition of “Alternate Base Rate” until the Administrative Agent revokes such notice. Upon receipt of such notice, (i) each Borrower (or the Company, on behalf of any Borrower) may revoke any pending request for a borrowing of, conversion to or</w:t>
      </w:r>
    </w:p>
    <w:p>
      <w:pPr>
        <w:ind w:left="720"/>
        <w:spacing w:after="0" w:line="236" w:lineRule="auto"/>
        <w:rPr>
          <w:sz w:val="20"/>
          <w:szCs w:val="20"/>
          <w:color w:val="auto"/>
        </w:rPr>
      </w:pPr>
      <w:r>
        <w:rPr>
          <w:rFonts w:ascii="Arial" w:cs="Arial" w:eastAsia="Arial" w:hAnsi="Arial"/>
          <w:sz w:val="18"/>
          <w:szCs w:val="18"/>
          <w:u w:val="single" w:color="auto"/>
          <w:color w:val="0000FF"/>
        </w:rPr>
        <w:t>continuation of any applicable Term SOFR Loans (to the extent of the affected Term SOFR Loans or affected Interest Periods)</w:t>
      </w:r>
    </w:p>
    <w:p>
      <w:pPr>
        <w:spacing w:after="0" w:line="1" w:lineRule="exact"/>
        <w:rPr>
          <w:sz w:val="20"/>
          <w:szCs w:val="20"/>
          <w:color w:val="auto"/>
        </w:rPr>
      </w:pPr>
    </w:p>
    <w:p>
      <w:pPr>
        <w:ind w:left="720" w:right="20"/>
        <w:spacing w:after="0" w:line="226" w:lineRule="auto"/>
        <w:rPr>
          <w:sz w:val="20"/>
          <w:szCs w:val="20"/>
          <w:color w:val="auto"/>
        </w:rPr>
      </w:pPr>
      <w:r>
        <w:rPr>
          <w:rFonts w:ascii="Arial" w:cs="Arial" w:eastAsia="Arial" w:hAnsi="Arial"/>
          <w:sz w:val="18"/>
          <w:szCs w:val="18"/>
          <w:u w:val="single" w:color="auto"/>
          <w:color w:val="0000FF"/>
        </w:rPr>
        <w:t>under such Facility or, failing that, such Borrower will be deemed to have converted any such request into a request for a Borrowing of or conversion to ABR Loans in the amount specified therein and (ii) any outstanding affected Term SOFR Loans under such</w:t>
      </w:r>
    </w:p>
    <w:p>
      <w:pPr>
        <w:ind w:left="720"/>
        <w:spacing w:after="0" w:line="224" w:lineRule="auto"/>
        <w:rPr>
          <w:sz w:val="20"/>
          <w:szCs w:val="20"/>
          <w:color w:val="auto"/>
        </w:rPr>
      </w:pPr>
      <w:r>
        <w:rPr>
          <w:rFonts w:ascii="Arial" w:cs="Arial" w:eastAsia="Arial" w:hAnsi="Arial"/>
          <w:sz w:val="19"/>
          <w:szCs w:val="19"/>
          <w:u w:val="single" w:color="auto"/>
          <w:color w:val="0000FF"/>
        </w:rPr>
        <w:t>Facility will be deemed to have been converted into ABR Loans at the end of the applicable Interest Period. Upon any such</w:t>
      </w:r>
    </w:p>
    <w:p>
      <w:pPr>
        <w:ind w:left="720" w:right="380"/>
        <w:spacing w:after="0" w:line="255" w:lineRule="auto"/>
        <w:rPr>
          <w:sz w:val="20"/>
          <w:szCs w:val="20"/>
          <w:color w:val="auto"/>
        </w:rPr>
      </w:pPr>
      <w:r>
        <w:rPr>
          <w:rFonts w:ascii="Arial" w:cs="Arial" w:eastAsia="Arial" w:hAnsi="Arial"/>
          <w:sz w:val="16"/>
          <w:szCs w:val="16"/>
          <w:u w:val="single" w:color="auto"/>
          <w:color w:val="0000FF"/>
        </w:rPr>
        <w:t>conversion, the each Borrower shall also pay accrued interest on the amount so converted, together with any additional amounts required pursuant to Section 2.16. If the Administrative Agent determines (which determination shall be conclusive and binding</w:t>
      </w:r>
    </w:p>
    <w:p>
      <w:pPr>
        <w:spacing w:after="0" w:line="1" w:lineRule="exact"/>
        <w:rPr>
          <w:sz w:val="20"/>
          <w:szCs w:val="20"/>
          <w:color w:val="auto"/>
        </w:rPr>
      </w:pPr>
    </w:p>
    <w:p>
      <w:pPr>
        <w:ind w:left="720" w:right="340"/>
        <w:spacing w:after="0" w:line="255" w:lineRule="auto"/>
        <w:rPr>
          <w:sz w:val="20"/>
          <w:szCs w:val="20"/>
          <w:color w:val="auto"/>
        </w:rPr>
      </w:pPr>
      <w:r>
        <w:rPr>
          <w:rFonts w:ascii="Arial" w:cs="Arial" w:eastAsia="Arial" w:hAnsi="Arial"/>
          <w:sz w:val="16"/>
          <w:szCs w:val="16"/>
          <w:u w:val="single" w:color="auto"/>
          <w:color w:val="0000FF"/>
        </w:rPr>
        <w:t>absent manifest error) that “Adjusted Term SOFR” cannot be determined pursuant to the definition thereof on any given day, the interest rate on ABR Loans shall be determined by the Administrative Agent without reference to clause (c) of the definition of</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u w:val="single" w:color="auto"/>
          <w:color w:val="0000FF"/>
        </w:rPr>
        <w:t>“Alternate Base Rate” until the Administrative Agent revokes such determination.</w:t>
      </w:r>
    </w:p>
    <w:p>
      <w:pPr>
        <w:spacing w:after="0" w:line="173" w:lineRule="exact"/>
        <w:rPr>
          <w:sz w:val="20"/>
          <w:szCs w:val="20"/>
          <w:color w:val="auto"/>
        </w:rPr>
      </w:pPr>
    </w:p>
    <w:p>
      <w:pPr>
        <w:ind w:left="2380" w:hanging="448"/>
        <w:spacing w:after="0"/>
        <w:tabs>
          <w:tab w:leader="none" w:pos="2380" w:val="left"/>
        </w:tabs>
        <w:numPr>
          <w:ilvl w:val="0"/>
          <w:numId w:val="17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Illegality.</w:t>
      </w:r>
    </w:p>
    <w:p>
      <w:pPr>
        <w:spacing w:after="0" w:line="175" w:lineRule="exact"/>
        <w:rPr>
          <w:rFonts w:ascii="Arial" w:cs="Arial" w:eastAsia="Arial" w:hAnsi="Arial"/>
          <w:sz w:val="20"/>
          <w:szCs w:val="20"/>
          <w:u w:val="single" w:color="auto"/>
          <w:color w:val="0000FF"/>
        </w:rPr>
      </w:pPr>
    </w:p>
    <w:p>
      <w:pPr>
        <w:ind w:left="1280" w:right="20" w:firstLine="1300"/>
        <w:spacing w:after="0" w:line="223" w:lineRule="auto"/>
        <w:tabs>
          <w:tab w:leader="none" w:pos="3048" w:val="left"/>
        </w:tabs>
        <w:numPr>
          <w:ilvl w:val="1"/>
          <w:numId w:val="17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 the event that any Lender or other Recipient, shall have determined on a reasonable basis (which determination shall be conclusive and binding absent manifest error) at any time, that the making or continuance of any Term SOFR Loan has become unlawful by compliance by such Lender in good faith with any Change in Law, or would conflict with any interpretation thereof not having the force of law but with which such Lender customarily complies, or has become impracticable as a result of a contingency that materially adversely affects the availability of Adjusted Term SOFR, then, and in each such event, such Lender or other Recipient shall (1) on or promptly following such date or time and (2) within ten Business Days of the date on which such event no longer exists give notice (by telephone confirmed in writing) to the Company and to the Administrative Agent of such determination (which notice the Administrative Agent shall promptly transmit to each of the other Lenders or other Recipients). Thereafter, the applicable Borrower (or the Company, on behalf of the Borrower) shall take one of the actions specified in clause (B) below as promptly as possible and, in any event, within the time period required by law.</w:t>
      </w:r>
    </w:p>
    <w:p>
      <w:pPr>
        <w:spacing w:after="0" w:line="169" w:lineRule="exact"/>
        <w:rPr>
          <w:rFonts w:ascii="Arial" w:cs="Arial" w:eastAsia="Arial" w:hAnsi="Arial"/>
          <w:sz w:val="19"/>
          <w:szCs w:val="19"/>
          <w:u w:val="single" w:color="auto"/>
          <w:color w:val="0000FF"/>
        </w:rPr>
      </w:pPr>
    </w:p>
    <w:p>
      <w:pPr>
        <w:ind w:left="1280" w:right="80" w:firstLine="1300"/>
        <w:spacing w:after="0" w:line="214" w:lineRule="auto"/>
        <w:tabs>
          <w:tab w:leader="none" w:pos="3038" w:val="left"/>
        </w:tabs>
        <w:numPr>
          <w:ilvl w:val="1"/>
          <w:numId w:val="17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At any time that any Term SOFR Loan is affected by the circumstances described in clause (A) above, the applicable Borrower (or the Company, on behalf of the Borrower) shall either (i) if the affected Term SOFR Loan is then being made pursuant to a Borrowing, by giving the Administrative Agent telephonic notice (confirmed promptly in writing) thereof on the same date that the Borrower was notified by a Lender or other Recipient pursuant to clause (A) above, cancel such Borrowing, convert such request for a Borrowing into a request for a Borrowing of ABR Loans or require the affected Lender or other Recipient to make such requested Loan as an ABR Loan, or (ii) if the affected Term SOFR Loan is then outstanding, upon at least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40" w:top="1405" w:right="339" w:bottom="1440" w:gutter="0" w:footer="0" w:header="0"/>
        </w:sectPr>
      </w:pPr>
    </w:p>
    <w:bookmarkStart w:id="189" w:name="page190"/>
    <w:bookmarkEnd w:id="189"/>
    <w:p>
      <w:pPr>
        <w:ind w:left="1300"/>
        <w:spacing w:after="0"/>
        <w:rPr>
          <w:sz w:val="20"/>
          <w:szCs w:val="20"/>
          <w:color w:val="auto"/>
        </w:rPr>
      </w:pPr>
      <w:r>
        <w:rPr>
          <w:rFonts w:ascii="Arial" w:cs="Arial" w:eastAsia="Arial" w:hAnsi="Arial"/>
          <w:sz w:val="18"/>
          <w:szCs w:val="18"/>
          <w:u w:val="single" w:color="auto"/>
          <w:color w:val="0000FF"/>
        </w:rPr>
        <w:t>Business Day’s notice to the Administrative Agent, require the affected Lender or other Recipient to convert each such Term</w:t>
      </w:r>
    </w:p>
    <w:p>
      <w:pPr>
        <w:spacing w:after="0" w:line="12" w:lineRule="exact"/>
        <w:rPr>
          <w:sz w:val="20"/>
          <w:szCs w:val="20"/>
          <w:color w:val="auto"/>
        </w:rPr>
      </w:pPr>
    </w:p>
    <w:p>
      <w:pPr>
        <w:ind w:left="1300" w:right="80"/>
        <w:spacing w:after="0" w:line="255" w:lineRule="auto"/>
        <w:rPr>
          <w:sz w:val="20"/>
          <w:szCs w:val="20"/>
          <w:color w:val="auto"/>
        </w:rPr>
      </w:pPr>
      <w:r>
        <w:rPr>
          <w:rFonts w:ascii="Arial" w:cs="Arial" w:eastAsia="Arial" w:hAnsi="Arial"/>
          <w:sz w:val="16"/>
          <w:szCs w:val="16"/>
          <w:u w:val="single" w:color="auto"/>
          <w:color w:val="0000FF"/>
        </w:rPr>
        <w:t xml:space="preserve">SOFR Loan into an ABR Loan; </w:t>
      </w:r>
      <w:r>
        <w:rPr>
          <w:rFonts w:ascii="Arial" w:cs="Arial" w:eastAsia="Arial" w:hAnsi="Arial"/>
          <w:sz w:val="16"/>
          <w:szCs w:val="16"/>
          <w:i w:val="1"/>
          <w:iCs w:val="1"/>
          <w:u w:val="single" w:color="auto"/>
          <w:color w:val="0000FF"/>
        </w:rPr>
        <w:t>provided, however,</w:t>
      </w:r>
      <w:r>
        <w:rPr>
          <w:rFonts w:ascii="Arial" w:cs="Arial" w:eastAsia="Arial" w:hAnsi="Arial"/>
          <w:sz w:val="16"/>
          <w:szCs w:val="16"/>
          <w:u w:val="single" w:color="auto"/>
          <w:color w:val="0000FF"/>
        </w:rPr>
        <w:t xml:space="preserve"> that if more than one Lender or other Recipient is affected at any time, then all affected Lenders or other Recipients must be treated the same pursuant to this Section; provided, further, that if such</w:t>
      </w:r>
    </w:p>
    <w:p>
      <w:pPr>
        <w:ind w:left="1300"/>
        <w:spacing w:after="0" w:line="235" w:lineRule="auto"/>
        <w:rPr>
          <w:sz w:val="20"/>
          <w:szCs w:val="20"/>
          <w:color w:val="auto"/>
        </w:rPr>
      </w:pPr>
      <w:r>
        <w:rPr>
          <w:rFonts w:ascii="Arial" w:cs="Arial" w:eastAsia="Arial" w:hAnsi="Arial"/>
          <w:sz w:val="18"/>
          <w:szCs w:val="18"/>
          <w:u w:val="single" w:color="auto"/>
          <w:color w:val="0000FF"/>
        </w:rPr>
        <w:t>Borrower (or the Company, on behalf of the Borrower) has not taken one of the actions specified in subclause (i) or (ii) of</w:t>
      </w:r>
    </w:p>
    <w:p>
      <w:pPr>
        <w:ind w:left="1300" w:right="80"/>
        <w:spacing w:after="0" w:line="255" w:lineRule="auto"/>
        <w:rPr>
          <w:sz w:val="20"/>
          <w:szCs w:val="20"/>
          <w:color w:val="auto"/>
        </w:rPr>
      </w:pPr>
      <w:r>
        <w:rPr>
          <w:rFonts w:ascii="Arial" w:cs="Arial" w:eastAsia="Arial" w:hAnsi="Arial"/>
          <w:sz w:val="16"/>
          <w:szCs w:val="16"/>
          <w:u w:val="single" w:color="auto"/>
          <w:color w:val="0000FF"/>
        </w:rPr>
        <w:t>this clause, (a) such request for a Term SOFR Borrower shall automatically be converted to a request for a Borrowing of ABR Loans and (b) such outstanding Term SOFR Loan shall automatically be converted to a an ABR Loan, in each case, as</w:t>
      </w:r>
    </w:p>
    <w:p>
      <w:pPr>
        <w:ind w:left="1300"/>
        <w:spacing w:after="0" w:line="223" w:lineRule="auto"/>
        <w:rPr>
          <w:sz w:val="20"/>
          <w:szCs w:val="20"/>
          <w:color w:val="auto"/>
        </w:rPr>
      </w:pPr>
      <w:r>
        <w:rPr>
          <w:rFonts w:ascii="Arial" w:cs="Arial" w:eastAsia="Arial" w:hAnsi="Arial"/>
          <w:sz w:val="19"/>
          <w:szCs w:val="19"/>
          <w:u w:val="single" w:color="auto"/>
          <w:color w:val="0000FF"/>
        </w:rPr>
        <w:t>applicable and upon such specified date. Upon any conversion described in this Section, such Borrower shall also pay</w:t>
      </w:r>
    </w:p>
    <w:p>
      <w:pPr>
        <w:ind w:left="1300" w:right="20"/>
        <w:spacing w:after="0" w:line="255" w:lineRule="auto"/>
        <w:rPr>
          <w:sz w:val="20"/>
          <w:szCs w:val="20"/>
          <w:color w:val="auto"/>
        </w:rPr>
      </w:pPr>
      <w:r>
        <w:rPr>
          <w:rFonts w:ascii="Arial" w:cs="Arial" w:eastAsia="Arial" w:hAnsi="Arial"/>
          <w:sz w:val="16"/>
          <w:szCs w:val="16"/>
          <w:u w:val="single" w:color="auto"/>
          <w:color w:val="0000FF"/>
        </w:rPr>
        <w:t>accrued interest on the amount so converted, together with any additional amounts required pursuant to Section 2.16. During the period described in this Section, the interest rate on ABR Loans shall be determined by the Administrative Agent without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reference to clause (c) of the definition of “Alternate Base Rate”.</w:t>
      </w:r>
    </w:p>
    <w:p>
      <w:pPr>
        <w:spacing w:after="0" w:line="171" w:lineRule="exact"/>
        <w:rPr>
          <w:sz w:val="20"/>
          <w:szCs w:val="20"/>
          <w:color w:val="auto"/>
        </w:rPr>
      </w:pPr>
    </w:p>
    <w:p>
      <w:pPr>
        <w:ind w:left="1700" w:hanging="396"/>
        <w:spacing w:after="0"/>
        <w:tabs>
          <w:tab w:leader="none" w:pos="17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Certain Provisions Applicable to Affected Currencies: Rate Unascertainable; Increased Costs; Deposits Not Available;</w:t>
      </w:r>
    </w:p>
    <w:p>
      <w:pPr>
        <w:spacing w:after="0"/>
        <w:rPr>
          <w:sz w:val="20"/>
          <w:szCs w:val="20"/>
          <w:color w:val="auto"/>
        </w:rPr>
      </w:pPr>
      <w:r>
        <w:rPr>
          <w:rFonts w:ascii="Arial" w:cs="Arial" w:eastAsia="Arial" w:hAnsi="Arial"/>
          <w:sz w:val="20"/>
          <w:szCs w:val="20"/>
          <w:u w:val="single" w:color="auto"/>
          <w:color w:val="auto"/>
        </w:rPr>
        <w:t>Illegality</w:t>
      </w:r>
      <w:r>
        <w:rPr>
          <w:rFonts w:ascii="Arial" w:cs="Arial" w:eastAsia="Arial" w:hAnsi="Arial"/>
          <w:sz w:val="20"/>
          <w:szCs w:val="20"/>
          <w:color w:val="auto"/>
        </w:rPr>
        <w:t>.</w:t>
      </w:r>
    </w:p>
    <w:p>
      <w:pPr>
        <w:spacing w:after="0" w:line="173" w:lineRule="exact"/>
        <w:rPr>
          <w:sz w:val="20"/>
          <w:szCs w:val="20"/>
          <w:color w:val="auto"/>
        </w:rPr>
      </w:pPr>
    </w:p>
    <w:p>
      <w:pPr>
        <w:ind w:left="2340" w:hanging="388"/>
        <w:spacing w:after="0"/>
        <w:tabs>
          <w:tab w:leader="none" w:pos="23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Unascertainable; Increased Costs; Deposits Not Available</w:t>
      </w:r>
      <w:r>
        <w:rPr>
          <w:rFonts w:ascii="Arial" w:cs="Arial" w:eastAsia="Arial" w:hAnsi="Arial"/>
          <w:sz w:val="18"/>
          <w:szCs w:val="18"/>
          <w:color w:val="auto"/>
        </w:rPr>
        <w:t>. Solely with respect to any Affected Currency, if at</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time:</w:t>
      </w:r>
    </w:p>
    <w:p>
      <w:pPr>
        <w:spacing w:after="0" w:line="159" w:lineRule="exact"/>
        <w:rPr>
          <w:sz w:val="20"/>
          <w:szCs w:val="20"/>
          <w:color w:val="auto"/>
        </w:rPr>
      </w:pPr>
    </w:p>
    <w:p>
      <w:pPr>
        <w:ind w:left="1300" w:right="40" w:firstLine="1300"/>
        <w:spacing w:after="0" w:line="214" w:lineRule="auto"/>
        <w:tabs>
          <w:tab w:leader="none" w:pos="3069"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Administrative Agent shall have determined (which determination shall be conclusive and binding absent manifest error) that (x) the Benchmark applicable to a Loan denominated in an Affected Currency cannot be determined pursuant to the definition thereof, including, without limitation, because such rate for the corresponding applicable Affected Currency is not available or published on a current basis or (y) a fundamental change has occurred in the foreign exchange or interbank markets with respect to such Affected Currency or with respect to such rate (including, without limitation, changes in national or international financial, political or economic conditions or currency exchange rates or exchange controls), or</w:t>
      </w:r>
    </w:p>
    <w:p>
      <w:pPr>
        <w:spacing w:after="0" w:line="171" w:lineRule="exact"/>
        <w:rPr>
          <w:rFonts w:ascii="Arial" w:cs="Arial" w:eastAsia="Arial" w:hAnsi="Arial"/>
          <w:sz w:val="20"/>
          <w:szCs w:val="20"/>
          <w:color w:val="auto"/>
        </w:rPr>
      </w:pPr>
    </w:p>
    <w:p>
      <w:pPr>
        <w:ind w:left="1300" w:firstLine="1300"/>
        <w:spacing w:after="0" w:line="214" w:lineRule="auto"/>
        <w:tabs>
          <w:tab w:leader="none" w:pos="3058"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Lender determines that for any reason in connection with any request for a Loan denominated in an Affected Currency or a conversion thereto or a continuation thereof that (A) deposits in the applicable Affected Currency are not available to any Lender in connection with such Loan, or are not being offered to banks in the market for the applicable Affected Currency, amount, and Interest Period of such Loan, or (B) the Benchmark for any requested Affected Currency or Interest Period with respect to a proposed Loan does not adequately and fairly reflect the cost to such Lenders of funding, establishing or maintaining such Loan and, in each case, such Lender has provided notice of such determination to the Administrative Agent,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then the Administrative Agent shall have the rights specified in Section 2.23(f)(iii) below.</w:t>
      </w:r>
    </w:p>
    <w:p>
      <w:pPr>
        <w:spacing w:after="0" w:line="189" w:lineRule="exact"/>
        <w:rPr>
          <w:sz w:val="20"/>
          <w:szCs w:val="20"/>
          <w:color w:val="auto"/>
        </w:rPr>
      </w:pPr>
    </w:p>
    <w:p>
      <w:pPr>
        <w:ind w:left="660" w:firstLine="1292"/>
        <w:spacing w:after="0" w:line="238" w:lineRule="auto"/>
        <w:tabs>
          <w:tab w:leader="none" w:pos="239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If at any time any Lender shall have determined, or any official governmental body shall have asserted, that the making, maintenance or funding of any Loan denominated in an Affected Currency to which any Interest Rate Option applies, or the determination or charging of interest rates based upon any Interest Rate Option has been made impracticable or unlawful, by compliance by such Lender in good faith with any Law or any interpretation or application thereof by any official governmental body or with any request or directive of any such official governmental body (whether or not having the force of Law), or any official governmental body has imposed material restrictions on the authority of such Lender to purchase, sell, or take deposits of any Affected Currency in the applicable interbank market for the applicable Affected Currency,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then the Administrative Agent shall have the rights specified in </w:t>
      </w:r>
      <w:r>
        <w:rPr>
          <w:rFonts w:ascii="Arial" w:cs="Arial" w:eastAsia="Arial" w:hAnsi="Arial"/>
          <w:sz w:val="20"/>
          <w:szCs w:val="20"/>
          <w:u w:val="single" w:color="auto"/>
          <w:color w:val="auto"/>
        </w:rPr>
        <w:t>Section 2.23(f)(iii)</w:t>
      </w:r>
      <w:r>
        <w:rPr>
          <w:rFonts w:ascii="Arial" w:cs="Arial" w:eastAsia="Arial" w:hAnsi="Arial"/>
          <w:sz w:val="20"/>
          <w:szCs w:val="20"/>
          <w:color w:val="auto"/>
        </w:rPr>
        <w:t xml:space="preserve"> below.</w:t>
      </w:r>
    </w:p>
    <w:p>
      <w:pPr>
        <w:spacing w:after="0" w:line="175" w:lineRule="exact"/>
        <w:rPr>
          <w:sz w:val="20"/>
          <w:szCs w:val="20"/>
          <w:color w:val="auto"/>
        </w:rPr>
      </w:pPr>
    </w:p>
    <w:p>
      <w:pPr>
        <w:ind w:left="660" w:right="40" w:firstLine="1292"/>
        <w:spacing w:after="0" w:line="236" w:lineRule="auto"/>
        <w:tabs>
          <w:tab w:leader="none" w:pos="2450"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Administrative Agent’s and Lender’s Rights</w:t>
      </w:r>
      <w:r>
        <w:rPr>
          <w:rFonts w:ascii="Arial" w:cs="Arial" w:eastAsia="Arial" w:hAnsi="Arial"/>
          <w:sz w:val="20"/>
          <w:szCs w:val="20"/>
          <w:color w:val="auto"/>
        </w:rPr>
        <w:t xml:space="preserve">. In the case of any event specified in </w:t>
      </w:r>
      <w:r>
        <w:rPr>
          <w:rFonts w:ascii="Arial" w:cs="Arial" w:eastAsia="Arial" w:hAnsi="Arial"/>
          <w:sz w:val="20"/>
          <w:szCs w:val="20"/>
          <w:u w:val="single" w:color="auto"/>
          <w:color w:val="auto"/>
        </w:rPr>
        <w:t>Section 2.23(f)(i)</w:t>
      </w:r>
      <w:r>
        <w:rPr>
          <w:rFonts w:ascii="Arial" w:cs="Arial" w:eastAsia="Arial" w:hAnsi="Arial"/>
          <w:sz w:val="20"/>
          <w:szCs w:val="20"/>
          <w:color w:val="auto"/>
        </w:rPr>
        <w:t xml:space="preserve"> above, the Administrative Agent shall promptly so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90" w:name="page191"/>
    <w:bookmarkEnd w:id="190"/>
    <w:p>
      <w:pPr>
        <w:ind w:left="660"/>
        <w:spacing w:after="0"/>
        <w:rPr>
          <w:sz w:val="20"/>
          <w:szCs w:val="20"/>
          <w:color w:val="auto"/>
        </w:rPr>
      </w:pPr>
      <w:r>
        <w:rPr>
          <w:rFonts w:ascii="Arial" w:cs="Arial" w:eastAsia="Arial" w:hAnsi="Arial"/>
          <w:sz w:val="18"/>
          <w:szCs w:val="18"/>
          <w:color w:val="auto"/>
        </w:rPr>
        <w:t xml:space="preserve">Lenders and the Company thereof, and in the case of an event specified in </w:t>
      </w:r>
      <w:r>
        <w:rPr>
          <w:rFonts w:ascii="Arial" w:cs="Arial" w:eastAsia="Arial" w:hAnsi="Arial"/>
          <w:sz w:val="18"/>
          <w:szCs w:val="18"/>
          <w:u w:val="single" w:color="auto"/>
          <w:color w:val="auto"/>
        </w:rPr>
        <w:t>Section 2.23(f)(ii)</w:t>
      </w:r>
      <w:r>
        <w:rPr>
          <w:rFonts w:ascii="Arial" w:cs="Arial" w:eastAsia="Arial" w:hAnsi="Arial"/>
          <w:sz w:val="18"/>
          <w:szCs w:val="18"/>
          <w:color w:val="auto"/>
        </w:rPr>
        <w:t xml:space="preserve"> above, such Lender shall promptly so</w:t>
      </w:r>
    </w:p>
    <w:p>
      <w:pPr>
        <w:spacing w:after="0" w:line="12" w:lineRule="exact"/>
        <w:rPr>
          <w:sz w:val="20"/>
          <w:szCs w:val="20"/>
          <w:color w:val="auto"/>
        </w:rPr>
      </w:pPr>
    </w:p>
    <w:p>
      <w:pPr>
        <w:ind w:left="660" w:right="540"/>
        <w:spacing w:after="0" w:line="250" w:lineRule="auto"/>
        <w:rPr>
          <w:sz w:val="20"/>
          <w:szCs w:val="20"/>
          <w:color w:val="auto"/>
        </w:rPr>
      </w:pPr>
      <w:r>
        <w:rPr>
          <w:rFonts w:ascii="Arial" w:cs="Arial" w:eastAsia="Arial" w:hAnsi="Arial"/>
          <w:sz w:val="18"/>
          <w:szCs w:val="18"/>
          <w:color w:val="auto"/>
        </w:rPr>
        <w:t>notify the Administrative Agent and endorse a certificate to such notice as to the specific circumstances of such notice, and the Administrative Agent shall promptly send copies of such notice and certificate to the other Lenders and the Company.</w:t>
      </w:r>
    </w:p>
    <w:p>
      <w:pPr>
        <w:spacing w:after="0" w:line="160" w:lineRule="exact"/>
        <w:rPr>
          <w:sz w:val="20"/>
          <w:szCs w:val="20"/>
          <w:color w:val="auto"/>
        </w:rPr>
      </w:pPr>
    </w:p>
    <w:p>
      <w:pPr>
        <w:ind w:left="1300" w:right="40" w:firstLine="1300"/>
        <w:spacing w:after="0" w:line="238" w:lineRule="auto"/>
        <w:tabs>
          <w:tab w:leader="none" w:pos="3069" w:val="left"/>
        </w:tabs>
        <w:numPr>
          <w:ilvl w:val="2"/>
          <w:numId w:val="183"/>
        </w:numPr>
        <w:rPr>
          <w:rFonts w:ascii="Arial" w:cs="Arial" w:eastAsia="Arial" w:hAnsi="Arial"/>
          <w:sz w:val="18"/>
          <w:szCs w:val="18"/>
          <w:color w:val="auto"/>
        </w:rPr>
      </w:pPr>
      <w:r>
        <w:rPr>
          <w:rFonts w:ascii="Arial" w:cs="Arial" w:eastAsia="Arial" w:hAnsi="Arial"/>
          <w:sz w:val="18"/>
          <w:szCs w:val="18"/>
          <w:color w:val="auto"/>
        </w:rPr>
        <w:t>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any Borrower to select, convert to or renew a Loan under the affected Interest Rate Option in each such Affected Currency shall be suspended (to the extent of the affected Interest Rate Option, or the applicable Interest Periods) until the Administrative Agent shall have later notified the Company, or such Lender shall have later notified the Administrative Agent, of the Administrative Agent’s or such Lender’s, as the case may be, determination that the circumstances giving rise to such previous determination no longer exist.</w:t>
      </w:r>
    </w:p>
    <w:p>
      <w:pPr>
        <w:spacing w:after="0" w:line="169" w:lineRule="exact"/>
        <w:rPr>
          <w:rFonts w:ascii="Arial" w:cs="Arial" w:eastAsia="Arial" w:hAnsi="Arial"/>
          <w:sz w:val="18"/>
          <w:szCs w:val="18"/>
          <w:color w:val="auto"/>
        </w:rPr>
      </w:pPr>
    </w:p>
    <w:p>
      <w:pPr>
        <w:ind w:left="1300" w:firstLine="1300"/>
        <w:spacing w:after="0" w:line="233" w:lineRule="auto"/>
        <w:tabs>
          <w:tab w:leader="none" w:pos="3058" w:val="left"/>
        </w:tabs>
        <w:numPr>
          <w:ilvl w:val="2"/>
          <w:numId w:val="183"/>
        </w:numPr>
        <w:rPr>
          <w:rFonts w:ascii="Arial" w:cs="Arial" w:eastAsia="Arial" w:hAnsi="Arial"/>
          <w:sz w:val="18"/>
          <w:szCs w:val="18"/>
          <w:color w:val="auto"/>
        </w:rPr>
      </w:pPr>
      <w:r>
        <w:rPr>
          <w:rFonts w:ascii="Arial" w:cs="Arial" w:eastAsia="Arial" w:hAnsi="Arial"/>
          <w:sz w:val="18"/>
          <w:szCs w:val="18"/>
          <w:color w:val="auto"/>
        </w:rPr>
        <w:t xml:space="preserve">If at any time the Administrative Agent makes a determination under </w:t>
      </w:r>
      <w:r>
        <w:rPr>
          <w:rFonts w:ascii="Arial" w:cs="Arial" w:eastAsia="Arial" w:hAnsi="Arial"/>
          <w:sz w:val="18"/>
          <w:szCs w:val="18"/>
          <w:u w:val="single" w:color="auto"/>
          <w:color w:val="auto"/>
        </w:rPr>
        <w:t>Section 2.23(f)(i)</w:t>
      </w:r>
      <w:r>
        <w:rPr>
          <w:rFonts w:ascii="Arial" w:cs="Arial" w:eastAsia="Arial" w:hAnsi="Arial"/>
          <w:sz w:val="18"/>
          <w:szCs w:val="18"/>
          <w:color w:val="auto"/>
        </w:rPr>
        <w:t xml:space="preserve"> above, (i) if a Borrower has previously notified the Administrative Agent of its selection of, conversion to or renewal of an affected Interest Rate Option, and such Interest Rate Option has not yet gone into effect, such notification shall with regard to any such pending request for Loans denominated in an Affected Currency, be deemed ineffective (in each case, to the extent of the affected Interest Rate Option, or the applicable Interest Periods), (ii) any outstanding affected Loans denominated in Dollars shall be deemed to have been converted into ABR Loans immediately or, in the case of EURIBOR Loans </w:t>
      </w:r>
      <w:r>
        <w:rPr>
          <w:rFonts w:ascii="Arial" w:cs="Arial" w:eastAsia="Arial" w:hAnsi="Arial"/>
          <w:sz w:val="18"/>
          <w:szCs w:val="18"/>
          <w:color w:val="0000FF"/>
        </w:rPr>
        <w:t>and CDOR Rate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Loans</w:t>
      </w:r>
      <w:r>
        <w:rPr>
          <w:rFonts w:ascii="Arial" w:cs="Arial" w:eastAsia="Arial" w:hAnsi="Arial"/>
          <w:sz w:val="18"/>
          <w:szCs w:val="18"/>
          <w:color w:val="000000"/>
        </w:rPr>
        <w:t>, at the end of the applicable Interest Period, and (iii) any outstanding affected Loans denominated in an Affected</w:t>
      </w:r>
      <w:r>
        <w:rPr>
          <w:rFonts w:ascii="Arial" w:cs="Arial" w:eastAsia="Arial" w:hAnsi="Arial"/>
          <w:sz w:val="18"/>
          <w:szCs w:val="18"/>
          <w:color w:val="0000FF"/>
        </w:rPr>
        <w:t xml:space="preserve"> </w:t>
      </w:r>
      <w:r>
        <w:rPr>
          <w:rFonts w:ascii="Arial" w:cs="Arial" w:eastAsia="Arial" w:hAnsi="Arial"/>
          <w:sz w:val="18"/>
          <w:szCs w:val="18"/>
          <w:color w:val="000000"/>
        </w:rPr>
        <w:t xml:space="preserve">Currency shall, at applicable Borrower’s election, either be converted into ABR Loans denominated in Dollars (in an amount equal to the Dollar Equivalent of such Affected Currency) immediately or, in the case of EURIBOR Loans </w:t>
      </w:r>
      <w:r>
        <w:rPr>
          <w:rFonts w:ascii="Arial" w:cs="Arial" w:eastAsia="Arial" w:hAnsi="Arial"/>
          <w:sz w:val="18"/>
          <w:szCs w:val="18"/>
          <w:color w:val="0000FF"/>
        </w:rPr>
        <w:t>and CDOR Rate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Loans</w:t>
      </w:r>
      <w:r>
        <w:rPr>
          <w:rFonts w:ascii="Arial" w:cs="Arial" w:eastAsia="Arial" w:hAnsi="Arial"/>
          <w:sz w:val="18"/>
          <w:szCs w:val="18"/>
          <w:color w:val="000000"/>
        </w:rPr>
        <w:t>, at the end of the applicable Interest Period or prepaid in full immediately or, in the case of EURIBOR Loans</w:t>
      </w:r>
      <w:r>
        <w:rPr>
          <w:rFonts w:ascii="Arial" w:cs="Arial" w:eastAsia="Arial" w:hAnsi="Arial"/>
          <w:sz w:val="18"/>
          <w:szCs w:val="18"/>
          <w:color w:val="0000FF"/>
        </w:rPr>
        <w:t xml:space="preserve"> and </w:t>
      </w:r>
      <w:r>
        <w:rPr>
          <w:rFonts w:ascii="Arial" w:cs="Arial" w:eastAsia="Arial" w:hAnsi="Arial"/>
          <w:sz w:val="18"/>
          <w:szCs w:val="18"/>
          <w:u w:val="single" w:color="auto"/>
          <w:color w:val="0000FF"/>
        </w:rPr>
        <w:t>CDOR Rate Loans</w:t>
      </w:r>
      <w:r>
        <w:rPr>
          <w:rFonts w:ascii="Arial" w:cs="Arial" w:eastAsia="Arial" w:hAnsi="Arial"/>
          <w:sz w:val="18"/>
          <w:szCs w:val="18"/>
          <w:color w:val="000000"/>
        </w:rPr>
        <w:t>, at the end of the applicable Interest Period;</w:t>
      </w:r>
      <w:r>
        <w:rPr>
          <w:rFonts w:ascii="Arial" w:cs="Arial" w:eastAsia="Arial" w:hAnsi="Arial"/>
          <w:sz w:val="18"/>
          <w:szCs w:val="18"/>
          <w:color w:val="0000FF"/>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FF"/>
        </w:rPr>
        <w:t xml:space="preserve"> </w:t>
      </w:r>
      <w:r>
        <w:rPr>
          <w:rFonts w:ascii="Arial" w:cs="Arial" w:eastAsia="Arial" w:hAnsi="Arial"/>
          <w:sz w:val="18"/>
          <w:szCs w:val="18"/>
          <w:color w:val="000000"/>
        </w:rPr>
        <w:t>that absent notice from the applicable</w:t>
      </w:r>
      <w:r>
        <w:rPr>
          <w:rFonts w:ascii="Arial" w:cs="Arial" w:eastAsia="Arial" w:hAnsi="Arial"/>
          <w:sz w:val="18"/>
          <w:szCs w:val="18"/>
          <w:color w:val="0000FF"/>
        </w:rPr>
        <w:t xml:space="preserve"> </w:t>
      </w:r>
      <w:r>
        <w:rPr>
          <w:rFonts w:ascii="Arial" w:cs="Arial" w:eastAsia="Arial" w:hAnsi="Arial"/>
          <w:sz w:val="18"/>
          <w:szCs w:val="18"/>
          <w:color w:val="000000"/>
        </w:rPr>
        <w:t>Borrower of conversion or prepayment, such Loans shall automatically be converted to ABR Loans (in an amount equal to the Dollar Equivalent of such Affected Currency).</w:t>
      </w:r>
    </w:p>
    <w:p>
      <w:pPr>
        <w:spacing w:after="0" w:line="168" w:lineRule="exact"/>
        <w:rPr>
          <w:rFonts w:ascii="Arial" w:cs="Arial" w:eastAsia="Arial" w:hAnsi="Arial"/>
          <w:sz w:val="18"/>
          <w:szCs w:val="18"/>
          <w:color w:val="auto"/>
        </w:rPr>
      </w:pPr>
    </w:p>
    <w:p>
      <w:pPr>
        <w:ind w:left="1300" w:firstLine="1300"/>
        <w:spacing w:after="0" w:line="225" w:lineRule="auto"/>
        <w:tabs>
          <w:tab w:leader="none" w:pos="3058" w:val="left"/>
        </w:tabs>
        <w:numPr>
          <w:ilvl w:val="2"/>
          <w:numId w:val="183"/>
        </w:numPr>
        <w:rPr>
          <w:rFonts w:ascii="Arial" w:cs="Arial" w:eastAsia="Arial" w:hAnsi="Arial"/>
          <w:sz w:val="19"/>
          <w:szCs w:val="19"/>
          <w:color w:val="auto"/>
        </w:rPr>
      </w:pPr>
      <w:r>
        <w:rPr>
          <w:rFonts w:ascii="Arial" w:cs="Arial" w:eastAsia="Arial" w:hAnsi="Arial"/>
          <w:sz w:val="19"/>
          <w:szCs w:val="19"/>
          <w:color w:val="auto"/>
        </w:rPr>
        <w:t xml:space="preserve">If any Lender notifies the Administrative Agent of a determination under </w:t>
      </w:r>
      <w:r>
        <w:rPr>
          <w:rFonts w:ascii="Arial" w:cs="Arial" w:eastAsia="Arial" w:hAnsi="Arial"/>
          <w:sz w:val="19"/>
          <w:szCs w:val="19"/>
          <w:u w:val="single" w:color="auto"/>
          <w:color w:val="auto"/>
        </w:rPr>
        <w:t>Section 2.23(f)(ii)</w:t>
      </w:r>
      <w:r>
        <w:rPr>
          <w:rFonts w:ascii="Arial" w:cs="Arial" w:eastAsia="Arial" w:hAnsi="Arial"/>
          <w:sz w:val="19"/>
          <w:szCs w:val="19"/>
          <w:color w:val="auto"/>
        </w:rPr>
        <w:t xml:space="preserve"> above, the applicable Borrower shall, subject to such Borrower’s indemnification Obligations under the Agreement, as to any Loan of the Lenders to which an affected Interest Rate Option applies, on the date specified in such notice either convert such Loan to an ABR Loan (which shall be, with respect to Loans denominated in an Affected Currency, in an amount equal to the Dollar Equivalent of such Affected Currency) or prepay such Loan in accordance with the Agreement. Absent due notice from such Borrower of conversion or prepayment, such Loan shall automatically be converted to an ABR Loan (which shall be, with respect to Loans denominated in an Affected Currency, in an amount equal to the Dollar Equivalent of such Affected Currency) upon such specified date.</w:t>
      </w:r>
    </w:p>
    <w:p>
      <w:pPr>
        <w:spacing w:after="0" w:line="156" w:lineRule="exact"/>
        <w:rPr>
          <w:rFonts w:ascii="Arial" w:cs="Arial" w:eastAsia="Arial" w:hAnsi="Arial"/>
          <w:sz w:val="19"/>
          <w:szCs w:val="19"/>
          <w:color w:val="auto"/>
        </w:rPr>
      </w:pPr>
    </w:p>
    <w:p>
      <w:pPr>
        <w:ind w:left="660" w:right="20" w:firstLine="1292"/>
        <w:spacing w:after="0" w:line="227" w:lineRule="auto"/>
        <w:tabs>
          <w:tab w:leader="none" w:pos="244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In the event of any conflict between the terms of this Section 2.23(f), on the one hand, and the terms of Section </w:t>
      </w:r>
      <w:r>
        <w:rPr>
          <w:rFonts w:ascii="Arial" w:cs="Arial" w:eastAsia="Arial" w:hAnsi="Arial"/>
          <w:sz w:val="20"/>
          <w:szCs w:val="20"/>
          <w:color w:val="FF0000"/>
          <w:strike w:val="1"/>
        </w:rPr>
        <w:t>2.14 or Section</w:t>
      </w:r>
      <w:r>
        <w:rPr>
          <w:rFonts w:ascii="Arial" w:cs="Arial" w:eastAsia="Arial" w:hAnsi="Arial"/>
          <w:sz w:val="20"/>
          <w:szCs w:val="20"/>
          <w:color w:val="FF0000"/>
        </w:rPr>
        <w:t xml:space="preserve"> </w:t>
      </w:r>
      <w:r>
        <w:rPr>
          <w:rFonts w:ascii="Arial" w:cs="Arial" w:eastAsia="Arial" w:hAnsi="Arial"/>
          <w:sz w:val="20"/>
          <w:szCs w:val="20"/>
          <w:color w:val="000000"/>
        </w:rPr>
        <w:t>2.15, on the other hand, with respect to an Affected Currency, the terms of this Section 2.23(f) shall govern and</w:t>
      </w:r>
      <w:r>
        <w:rPr>
          <w:rFonts w:ascii="Arial" w:cs="Arial" w:eastAsia="Arial" w:hAnsi="Arial"/>
          <w:sz w:val="20"/>
          <w:szCs w:val="20"/>
          <w:color w:val="FF0000"/>
        </w:rPr>
        <w:t xml:space="preserve"> </w:t>
      </w:r>
      <w:r>
        <w:rPr>
          <w:rFonts w:ascii="Arial" w:cs="Arial" w:eastAsia="Arial" w:hAnsi="Arial"/>
          <w:sz w:val="20"/>
          <w:szCs w:val="20"/>
          <w:color w:val="000000"/>
        </w:rPr>
        <w:t>control.</w:t>
      </w:r>
    </w:p>
    <w:p>
      <w:pPr>
        <w:spacing w:after="0" w:line="157" w:lineRule="exact"/>
        <w:rPr>
          <w:rFonts w:ascii="Arial" w:cs="Arial" w:eastAsia="Arial" w:hAnsi="Arial"/>
          <w:sz w:val="20"/>
          <w:szCs w:val="20"/>
          <w:color w:val="auto"/>
        </w:rPr>
      </w:pPr>
    </w:p>
    <w:p>
      <w:pPr>
        <w:ind w:left="1740" w:hanging="436"/>
        <w:spacing w:after="0"/>
        <w:tabs>
          <w:tab w:leader="none" w:pos="174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Section 2.23</w:t>
      </w:r>
      <w:r>
        <w:rPr>
          <w:rFonts w:ascii="Arial" w:cs="Arial" w:eastAsia="Arial" w:hAnsi="Arial"/>
          <w:sz w:val="18"/>
          <w:szCs w:val="18"/>
          <w:u w:val="single" w:color="auto"/>
          <w:color w:val="0000FF"/>
        </w:rPr>
        <w:t>, Section 1.01</w:t>
      </w:r>
      <w:r>
        <w:rPr>
          <w:rFonts w:ascii="Arial" w:cs="Arial" w:eastAsia="Arial" w:hAnsi="Arial"/>
          <w:sz w:val="18"/>
          <w:szCs w:val="18"/>
          <w:color w:val="auto"/>
        </w:rPr>
        <w:t xml:space="preserve"> and Section </w:t>
      </w:r>
      <w:r>
        <w:rPr>
          <w:rFonts w:ascii="Arial" w:cs="Arial" w:eastAsia="Arial" w:hAnsi="Arial"/>
          <w:sz w:val="18"/>
          <w:szCs w:val="18"/>
          <w:color w:val="FF0000"/>
          <w:strike w:val="1"/>
        </w:rPr>
        <w:t>1.10</w:t>
      </w:r>
      <w:r>
        <w:rPr>
          <w:rFonts w:ascii="Arial" w:cs="Arial" w:eastAsia="Arial" w:hAnsi="Arial"/>
          <w:sz w:val="18"/>
          <w:szCs w:val="18"/>
          <w:u w:val="single" w:color="auto"/>
          <w:color w:val="0000FF"/>
        </w:rPr>
        <w:t>1.06</w:t>
      </w:r>
      <w:r>
        <w:rPr>
          <w:rFonts w:ascii="Arial" w:cs="Arial" w:eastAsia="Arial" w:hAnsi="Arial"/>
          <w:sz w:val="18"/>
          <w:szCs w:val="18"/>
          <w:color w:val="auto"/>
        </w:rPr>
        <w:t>, the following terms have the</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-2948305</wp:posOffset>
            </wp:positionV>
            <wp:extent cx="8547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854710" cy="825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-2571115</wp:posOffset>
            </wp:positionV>
            <wp:extent cx="8547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85471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-2451100</wp:posOffset>
            </wp:positionV>
            <wp:extent cx="212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53" w:lineRule="exact"/>
        <w:rPr>
          <w:sz w:val="20"/>
          <w:szCs w:val="20"/>
          <w:color w:val="auto"/>
        </w:rPr>
      </w:pPr>
    </w:p>
    <w:p>
      <w:pPr>
        <w:ind w:right="80" w:firstLine="648"/>
        <w:spacing w:after="0" w:line="265"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i w:val="1"/>
          <w:iCs w:val="1"/>
          <w:u w:val="single" w:color="auto"/>
          <w:color w:val="0000FF"/>
        </w:rPr>
        <w:t>Adjusted Daily Simple SOFR</w:t>
      </w:r>
      <w:r>
        <w:rPr>
          <w:rFonts w:ascii="Arial" w:cs="Arial" w:eastAsia="Arial" w:hAnsi="Arial"/>
          <w:sz w:val="16"/>
          <w:szCs w:val="16"/>
          <w:u w:val="single" w:color="auto"/>
          <w:color w:val="0000FF"/>
        </w:rPr>
        <w:t xml:space="preserve">” means with respect to any Daily Simple SOFR Loan, a rate per annum equal to the sum of (a) Daily Simple SOFR and (b) the SOFR Index Adjustment;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w:t>
      </w:r>
      <w:r>
        <w:rPr>
          <w:rFonts w:ascii="Arial" w:cs="Arial" w:eastAsia="Arial" w:hAnsi="Arial"/>
          <w:sz w:val="16"/>
          <w:szCs w:val="16"/>
          <w:i w:val="1"/>
          <w:iCs w:val="1"/>
          <w:u w:val="single" w:color="auto"/>
          <w:color w:val="0000FF"/>
        </w:rPr>
        <w:t>however</w:t>
      </w:r>
      <w:r>
        <w:rPr>
          <w:rFonts w:ascii="Arial" w:cs="Arial" w:eastAsia="Arial" w:hAnsi="Arial"/>
          <w:sz w:val="16"/>
          <w:szCs w:val="16"/>
          <w:u w:val="single" w:color="auto"/>
          <w:color w:val="0000FF"/>
        </w:rPr>
        <w:t>, that if Adjusted Daily Simple SOFR as determined above would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less than 0%, Adjusted Daily Simple SOFR shall be deemed to be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191" w:name="page192"/>
    <w:bookmarkEnd w:id="191"/>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Tenor</w:t>
      </w:r>
      <w:r>
        <w:rPr>
          <w:rFonts w:ascii="Arial" w:cs="Arial" w:eastAsia="Arial" w:hAnsi="Arial"/>
          <w:sz w:val="18"/>
          <w:szCs w:val="18"/>
          <w:color w:val="auto"/>
        </w:rPr>
        <w:t>” means, as of any date of determination and with respect to the then-current Benchmark, as applicable, (x) if the</w:t>
      </w:r>
    </w:p>
    <w:p>
      <w:pPr>
        <w:spacing w:after="0" w:line="1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then-current Benchmark is a term rate, any tenor for such Benchmark that is or may be used for determining the length of an Interest Period or (y) otherwise, any payment period for interest calculated with reference to such Benchmark, as applicable, pursuant to this Agreement as</w:t>
      </w:r>
    </w:p>
    <w:p>
      <w:pPr>
        <w:spacing w:after="0" w:line="1" w:lineRule="exact"/>
        <w:rPr>
          <w:sz w:val="20"/>
          <w:szCs w:val="20"/>
          <w:color w:val="auto"/>
        </w:rPr>
      </w:pPr>
    </w:p>
    <w:p>
      <w:pPr>
        <w:ind w:right="540"/>
        <w:spacing w:after="0" w:line="227" w:lineRule="auto"/>
        <w:rPr>
          <w:sz w:val="20"/>
          <w:szCs w:val="20"/>
          <w:color w:val="auto"/>
        </w:rPr>
      </w:pPr>
      <w:r>
        <w:rPr>
          <w:rFonts w:ascii="Arial" w:cs="Arial" w:eastAsia="Arial" w:hAnsi="Arial"/>
          <w:sz w:val="20"/>
          <w:szCs w:val="20"/>
          <w:color w:val="auto"/>
        </w:rPr>
        <w:t>of such date</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that any tenor for a Benchmark that is then-removed from the definition of “Interest Period” pursuant to Section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2.23(d) shall not be an Available Tenor</w:t>
      </w:r>
      <w:r>
        <w:rPr>
          <w:rFonts w:ascii="Arial" w:cs="Arial" w:eastAsia="Arial" w:hAnsi="Arial"/>
          <w:sz w:val="20"/>
          <w:szCs w:val="20"/>
          <w:color w:val="000000"/>
        </w:rPr>
        <w: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w:t>
      </w:r>
      <w:r>
        <w:rPr>
          <w:rFonts w:ascii="Arial" w:cs="Arial" w:eastAsia="Arial" w:hAnsi="Arial"/>
          <w:sz w:val="18"/>
          <w:szCs w:val="18"/>
          <w:color w:val="auto"/>
        </w:rPr>
        <w:t xml:space="preserve">” means, initially, each Relevant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w:t>
      </w:r>
      <w:r>
        <w:rPr>
          <w:rFonts w:ascii="Arial" w:cs="Arial" w:eastAsia="Arial" w:hAnsi="Arial"/>
          <w:sz w:val="18"/>
          <w:szCs w:val="18"/>
          <w:color w:val="FF0000"/>
          <w:strike w:val="1"/>
        </w:rPr>
        <w:t>replacement for the</w:t>
      </w:r>
      <w:r>
        <w:rPr>
          <w:rFonts w:ascii="Arial" w:cs="Arial" w:eastAsia="Arial" w:hAnsi="Arial"/>
          <w:sz w:val="18"/>
          <w:szCs w:val="18"/>
          <w:color w:val="auto"/>
        </w:rPr>
        <w:t xml:space="preserve"> Benchmark </w:t>
      </w:r>
      <w:r>
        <w:rPr>
          <w:rFonts w:ascii="Arial" w:cs="Arial" w:eastAsia="Arial" w:hAnsi="Arial"/>
          <w:sz w:val="18"/>
          <w:szCs w:val="18"/>
          <w:u w:val="single" w:color="auto"/>
          <w:color w:val="0000FF"/>
        </w:rPr>
        <w:t>Transition Event</w:t>
      </w:r>
      <w:r>
        <w:rPr>
          <w:rFonts w:ascii="Arial" w:cs="Arial" w:eastAsia="Arial" w:hAnsi="Arial"/>
          <w:sz w:val="18"/>
          <w:szCs w:val="18"/>
          <w:color w:val="auto"/>
        </w:rPr>
        <w:t xml:space="preserve"> has occurred</w:t>
      </w:r>
    </w:p>
    <w:p>
      <w:pPr>
        <w:spacing w:after="0" w:line="235" w:lineRule="auto"/>
        <w:rPr>
          <w:sz w:val="20"/>
          <w:szCs w:val="20"/>
          <w:color w:val="auto"/>
        </w:rPr>
      </w:pPr>
      <w:r>
        <w:rPr>
          <w:rFonts w:ascii="Arial" w:cs="Arial" w:eastAsia="Arial" w:hAnsi="Arial"/>
          <w:sz w:val="19"/>
          <w:szCs w:val="19"/>
          <w:color w:val="FF0000"/>
          <w:strike w:val="1"/>
        </w:rPr>
        <w:t>pursuant to this Section</w:t>
      </w:r>
      <w:r>
        <w:rPr>
          <w:rFonts w:ascii="Arial" w:cs="Arial" w:eastAsia="Arial" w:hAnsi="Arial"/>
          <w:sz w:val="19"/>
          <w:szCs w:val="19"/>
          <w:u w:val="single" w:color="auto"/>
          <w:color w:val="0000FF"/>
        </w:rPr>
        <w:t>with respect to the applicable then-current Benchmark</w:t>
      </w:r>
      <w:r>
        <w:rPr>
          <w:rFonts w:ascii="Arial" w:cs="Arial" w:eastAsia="Arial" w:hAnsi="Arial"/>
          <w:sz w:val="19"/>
          <w:szCs w:val="19"/>
          <w:color w:val="000000"/>
        </w:rPr>
        <w:t>, then “Benchmark” means the applicable Benchmark</w:t>
      </w:r>
    </w:p>
    <w:p>
      <w:pPr>
        <w:ind w:right="560"/>
        <w:spacing w:after="0" w:line="232" w:lineRule="auto"/>
        <w:rPr>
          <w:sz w:val="20"/>
          <w:szCs w:val="20"/>
          <w:color w:val="auto"/>
        </w:rPr>
      </w:pPr>
      <w:r>
        <w:rPr>
          <w:rFonts w:ascii="Arial" w:cs="Arial" w:eastAsia="Arial" w:hAnsi="Arial"/>
          <w:sz w:val="19"/>
          <w:szCs w:val="19"/>
          <w:color w:val="auto"/>
        </w:rPr>
        <w:t xml:space="preserve">Replacement to the extent that such Benchmark Replacement has replaced such prior benchmark rate </w:t>
      </w:r>
      <w:r>
        <w:rPr>
          <w:rFonts w:ascii="Arial" w:cs="Arial" w:eastAsia="Arial" w:hAnsi="Arial"/>
          <w:sz w:val="19"/>
          <w:szCs w:val="19"/>
          <w:u w:val="single" w:color="auto"/>
          <w:color w:val="0000FF"/>
        </w:rPr>
        <w:t>pursuant to Section 2.23(a)</w:t>
      </w:r>
      <w:r>
        <w:rPr>
          <w:rFonts w:ascii="Arial" w:cs="Arial" w:eastAsia="Arial" w:hAnsi="Arial"/>
          <w:sz w:val="19"/>
          <w:szCs w:val="19"/>
          <w:color w:val="auto"/>
        </w:rPr>
        <w:t>. Any reference to “Benchmark” shall include, as applicable, the published component used in the calculation thereof.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Benchmark Replacement</w:t>
      </w:r>
      <w:r>
        <w:rPr>
          <w:rFonts w:ascii="Arial" w:cs="Arial" w:eastAsia="Arial" w:hAnsi="Arial"/>
          <w:sz w:val="18"/>
          <w:szCs w:val="18"/>
          <w:u w:val="single" w:color="auto"/>
          <w:color w:val="0000FF"/>
        </w:rPr>
        <w:t>” means, for any Available Tenor, the first alternative set forth in the order below that can be determined</w:t>
      </w:r>
    </w:p>
    <w:p>
      <w:pPr>
        <w:spacing w:after="0" w:line="232" w:lineRule="auto"/>
        <w:rPr>
          <w:sz w:val="20"/>
          <w:szCs w:val="20"/>
          <w:color w:val="auto"/>
        </w:rPr>
      </w:pPr>
      <w:r>
        <w:rPr>
          <w:rFonts w:ascii="Arial" w:cs="Arial" w:eastAsia="Arial" w:hAnsi="Arial"/>
          <w:sz w:val="18"/>
          <w:szCs w:val="18"/>
          <w:u w:val="single" w:color="auto"/>
          <w:color w:val="0000FF"/>
        </w:rPr>
        <w:t xml:space="preserve">by the Administrative Agent for the relevant then-current Benchmark on the Benchmark Replacement Date;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in the case of any</w:t>
      </w:r>
    </w:p>
    <w:p>
      <w:pPr>
        <w:spacing w:after="0"/>
        <w:rPr>
          <w:sz w:val="20"/>
          <w:szCs w:val="20"/>
          <w:color w:val="auto"/>
        </w:rPr>
      </w:pPr>
      <w:r>
        <w:rPr>
          <w:rFonts w:ascii="Arial" w:cs="Arial" w:eastAsia="Arial" w:hAnsi="Arial"/>
          <w:sz w:val="18"/>
          <w:szCs w:val="18"/>
          <w:u w:val="single" w:color="auto"/>
          <w:color w:val="0000FF"/>
        </w:rPr>
        <w:t xml:space="preserve">Loan </w:t>
      </w:r>
      <w:r>
        <w:rPr>
          <w:rFonts w:ascii="Arial" w:cs="Arial" w:eastAsia="Arial" w:hAnsi="Arial"/>
          <w:sz w:val="18"/>
          <w:szCs w:val="18"/>
          <w:u w:val="single" w:color="auto"/>
          <w:color w:val="008000"/>
        </w:rPr>
        <w:t>denominated in a Designated Foreign Currency,</w:t>
      </w:r>
      <w:r>
        <w:rPr>
          <w:rFonts w:ascii="Arial" w:cs="Arial" w:eastAsia="Arial" w:hAnsi="Arial"/>
          <w:sz w:val="18"/>
          <w:szCs w:val="18"/>
          <w:u w:val="single" w:color="auto"/>
          <w:color w:val="0000FF"/>
        </w:rPr>
        <w:t xml:space="preserve"> “Benchmark Replacement” shall mean the alternative set forth in clause (2) below:</w:t>
      </w:r>
    </w:p>
    <w:p>
      <w:pPr>
        <w:spacing w:after="0" w:line="196" w:lineRule="exact"/>
        <w:rPr>
          <w:sz w:val="20"/>
          <w:szCs w:val="20"/>
          <w:color w:val="auto"/>
        </w:rPr>
      </w:pPr>
    </w:p>
    <w:p>
      <w:pPr>
        <w:ind w:left="1680" w:hanging="1024"/>
        <w:spacing w:after="0"/>
        <w:tabs>
          <w:tab w:leader="none" w:pos="1680" w:val="left"/>
        </w:tabs>
        <w:numPr>
          <w:ilvl w:val="0"/>
          <w:numId w:val="18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Adjusted Daily Simple SOFR; or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Benchmark Replacement</w:t>
      </w:r>
      <w:r>
        <w:rPr>
          <w:rFonts w:ascii="Arial" w:cs="Arial" w:eastAsia="Arial" w:hAnsi="Arial"/>
          <w:sz w:val="20"/>
          <w:szCs w:val="20"/>
          <w:color w:val="FF0000"/>
          <w:strike w:val="1"/>
        </w:rPr>
        <w:t>” means, for any Available Tenor:</w:t>
      </w:r>
    </w:p>
    <w:p>
      <w:pPr>
        <w:spacing w:after="0" w:line="175" w:lineRule="exact"/>
        <w:rPr>
          <w:sz w:val="20"/>
          <w:szCs w:val="20"/>
          <w:color w:val="auto"/>
        </w:rPr>
      </w:pPr>
    </w:p>
    <w:p>
      <w:pPr>
        <w:ind w:left="1960" w:right="460" w:firstLine="1288"/>
        <w:spacing w:after="0" w:line="285" w:lineRule="auto"/>
        <w:tabs>
          <w:tab w:leader="none" w:pos="3684" w:val="left"/>
        </w:tabs>
        <w:numPr>
          <w:ilvl w:val="0"/>
          <w:numId w:val="187"/>
        </w:numPr>
        <w:rPr>
          <w:rFonts w:ascii="Arial" w:cs="Arial" w:eastAsia="Arial" w:hAnsi="Arial"/>
          <w:sz w:val="18"/>
          <w:szCs w:val="18"/>
          <w:color w:val="FF0000"/>
          <w:strike w:val="1"/>
        </w:rPr>
      </w:pPr>
      <w:r>
        <w:rPr>
          <w:rFonts w:ascii="Arial" w:cs="Arial" w:eastAsia="Arial" w:hAnsi="Arial"/>
          <w:sz w:val="18"/>
          <w:szCs w:val="18"/>
          <w:color w:val="FF0000"/>
          <w:strike w:val="1"/>
        </w:rPr>
        <w:t>for purposes of clause (a) of this Section, for Loans denominated in U.S. Dollars, the first alternative set forth below that can be determined by the Administrative Agent for the applicable Benchmark:</w:t>
      </w:r>
    </w:p>
    <w:p>
      <w:pPr>
        <w:spacing w:after="0" w:line="129" w:lineRule="exact"/>
        <w:rPr>
          <w:sz w:val="20"/>
          <w:szCs w:val="20"/>
          <w:color w:val="auto"/>
        </w:rPr>
      </w:pPr>
    </w:p>
    <w:p>
      <w:pPr>
        <w:ind w:left="1960" w:right="200" w:firstLine="1288"/>
        <w:spacing w:after="0" w:line="235" w:lineRule="auto"/>
        <w:tabs>
          <w:tab w:leader="none" w:pos="3684" w:val="left"/>
        </w:tabs>
        <w:numPr>
          <w:ilvl w:val="0"/>
          <w:numId w:val="188"/>
        </w:numPr>
        <w:rPr>
          <w:rFonts w:ascii="Arial" w:cs="Arial" w:eastAsia="Arial" w:hAnsi="Arial"/>
          <w:sz w:val="19"/>
          <w:szCs w:val="19"/>
          <w:color w:val="FF0000"/>
          <w:strike w:val="1"/>
        </w:rPr>
      </w:pPr>
      <w:r>
        <w:rPr>
          <w:rFonts w:ascii="Arial" w:cs="Arial" w:eastAsia="Arial" w:hAnsi="Arial"/>
          <w:sz w:val="19"/>
          <w:szCs w:val="19"/>
          <w:color w:val="FF0000"/>
          <w:strike w:val="1"/>
        </w:rPr>
        <w:t>the sum of: (i) Term SOFR and (ii) 0.11448% (11.448 basis points) for an Available Tenor of one-month’s duration, 0.26161% (26.161 basis points) for an Available Tenor of three-months’ duration, and 0.42826% (42.826 basis points) for an Available Tenor of six-months’ duration; or</w:t>
      </w:r>
    </w:p>
    <w:p>
      <w:pPr>
        <w:spacing w:after="0" w:line="154" w:lineRule="exact"/>
        <w:rPr>
          <w:rFonts w:ascii="Arial" w:cs="Arial" w:eastAsia="Arial" w:hAnsi="Arial"/>
          <w:sz w:val="19"/>
          <w:szCs w:val="19"/>
          <w:color w:val="FF0000"/>
          <w:strike w:val="1"/>
        </w:rPr>
      </w:pPr>
    </w:p>
    <w:p>
      <w:pPr>
        <w:ind w:left="1960" w:right="320" w:firstLine="1288"/>
        <w:spacing w:after="0" w:line="236" w:lineRule="auto"/>
        <w:tabs>
          <w:tab w:leader="none" w:pos="3684" w:val="left"/>
        </w:tabs>
        <w:numPr>
          <w:ilvl w:val="0"/>
          <w:numId w:val="188"/>
        </w:numPr>
        <w:rPr>
          <w:rFonts w:ascii="Arial" w:cs="Arial" w:eastAsia="Arial" w:hAnsi="Arial"/>
          <w:sz w:val="20"/>
          <w:szCs w:val="20"/>
          <w:color w:val="FF0000"/>
          <w:strike w:val="1"/>
        </w:rPr>
      </w:pPr>
      <w:r>
        <w:rPr>
          <w:rFonts w:ascii="Arial" w:cs="Arial" w:eastAsia="Arial" w:hAnsi="Arial"/>
          <w:sz w:val="20"/>
          <w:szCs w:val="20"/>
          <w:color w:val="FF0000"/>
          <w:strike w:val="1"/>
        </w:rPr>
        <w:t>the sum of: (i) Daily Simple SOFR and (ii) the spread adjustment for an Available Tenor of three-months’ duration (0.26161% (26.161 basis points)); and</w:t>
      </w:r>
    </w:p>
    <w:p>
      <w:pPr>
        <w:spacing w:after="0" w:line="169" w:lineRule="exact"/>
        <w:rPr>
          <w:sz w:val="20"/>
          <w:szCs w:val="20"/>
          <w:color w:val="auto"/>
        </w:rPr>
      </w:pPr>
    </w:p>
    <w:p>
      <w:pPr>
        <w:ind w:left="1960" w:right="160" w:firstLine="1296"/>
        <w:spacing w:after="0" w:line="236" w:lineRule="auto"/>
        <w:rPr>
          <w:sz w:val="20"/>
          <w:szCs w:val="20"/>
          <w:color w:val="auto"/>
        </w:rPr>
      </w:pP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 xml:space="preserve"> however</w:t>
      </w:r>
      <w:r>
        <w:rPr>
          <w:rFonts w:ascii="Arial" w:cs="Arial" w:eastAsia="Arial" w:hAnsi="Arial"/>
          <w:sz w:val="18"/>
          <w:szCs w:val="18"/>
          <w:color w:val="FF0000"/>
          <w:strike w:val="1"/>
        </w:rPr>
        <w:t>, that, notwithstanding the foregoing, if an Early Opt-in Election has been made,</w:t>
      </w:r>
      <w:r>
        <w:rPr>
          <w:rFonts w:ascii="Arial" w:cs="Arial" w:eastAsia="Arial" w:hAnsi="Arial"/>
          <w:sz w:val="18"/>
          <w:szCs w:val="18"/>
          <w:i w:val="1"/>
          <w:iCs w:val="1"/>
          <w:color w:val="FF0000"/>
          <w:strike w:val="1"/>
        </w:rPr>
        <w:t xml:space="preserve"> </w:t>
      </w:r>
      <w:r>
        <w:rPr>
          <w:rFonts w:ascii="Arial" w:cs="Arial" w:eastAsia="Arial" w:hAnsi="Arial"/>
          <w:sz w:val="18"/>
          <w:szCs w:val="18"/>
          <w:color w:val="FF0000"/>
          <w:strike w:val="1"/>
        </w:rPr>
        <w:t>the Benchmark Replacement will be the sum of the benchmark rate selected in connection with such Early Opt-in</w:t>
      </w:r>
    </w:p>
    <w:p>
      <w:pPr>
        <w:ind w:left="1960"/>
        <w:spacing w:after="0"/>
        <w:rPr>
          <w:sz w:val="20"/>
          <w:szCs w:val="20"/>
          <w:color w:val="auto"/>
        </w:rPr>
      </w:pPr>
      <w:r>
        <w:rPr>
          <w:rFonts w:ascii="Arial" w:cs="Arial" w:eastAsia="Arial" w:hAnsi="Arial"/>
          <w:sz w:val="20"/>
          <w:szCs w:val="20"/>
          <w:color w:val="FF0000"/>
          <w:strike w:val="1"/>
        </w:rPr>
        <w:t>Election plus the related Benchmark Replacement Adjustment; or</w:t>
      </w:r>
    </w:p>
    <w:p>
      <w:pPr>
        <w:spacing w:after="0" w:line="173" w:lineRule="exact"/>
        <w:rPr>
          <w:sz w:val="20"/>
          <w:szCs w:val="20"/>
          <w:color w:val="auto"/>
        </w:rPr>
      </w:pPr>
    </w:p>
    <w:p>
      <w:pPr>
        <w:ind w:left="500" w:firstLine="156"/>
        <w:spacing w:after="0" w:line="223" w:lineRule="auto"/>
        <w:tabs>
          <w:tab w:leader="none" w:pos="1684" w:val="left"/>
        </w:tabs>
        <w:numPr>
          <w:ilvl w:val="0"/>
          <w:numId w:val="189"/>
        </w:numPr>
        <w:rPr>
          <w:rFonts w:ascii="Arial" w:cs="Arial" w:eastAsia="Arial" w:hAnsi="Arial"/>
          <w:sz w:val="19"/>
          <w:szCs w:val="19"/>
          <w:color w:val="auto"/>
        </w:rPr>
      </w:pPr>
      <w:r>
        <w:rPr>
          <w:rFonts w:ascii="Arial" w:cs="Arial" w:eastAsia="Arial" w:hAnsi="Arial"/>
          <w:sz w:val="19"/>
          <w:szCs w:val="19"/>
          <w:color w:val="FF0000"/>
          <w:strike w:val="1"/>
        </w:rPr>
        <w:t>for purposes of clause (b) of this Section and for any Designated Foreign Currency,</w:t>
      </w:r>
      <w:r>
        <w:rPr>
          <w:rFonts w:ascii="Arial" w:cs="Arial" w:eastAsia="Arial" w:hAnsi="Arial"/>
          <w:sz w:val="19"/>
          <w:szCs w:val="19"/>
          <w:color w:val="FF0000"/>
        </w:rPr>
        <w:t xml:space="preserve"> </w:t>
      </w:r>
      <w:r>
        <w:rPr>
          <w:rFonts w:ascii="Arial" w:cs="Arial" w:eastAsia="Arial" w:hAnsi="Arial"/>
          <w:sz w:val="19"/>
          <w:szCs w:val="19"/>
          <w:color w:val="000000"/>
        </w:rPr>
        <w:t>the sum of: (a) the alternate</w:t>
      </w:r>
      <w:r>
        <w:rPr>
          <w:rFonts w:ascii="Arial" w:cs="Arial" w:eastAsia="Arial" w:hAnsi="Arial"/>
          <w:sz w:val="19"/>
          <w:szCs w:val="19"/>
          <w:color w:val="FF0000"/>
        </w:rPr>
        <w:t xml:space="preserve"> </w:t>
      </w:r>
      <w:r>
        <w:rPr>
          <w:rFonts w:ascii="Arial" w:cs="Arial" w:eastAsia="Arial" w:hAnsi="Arial"/>
          <w:sz w:val="19"/>
          <w:szCs w:val="19"/>
          <w:color w:val="000000"/>
        </w:rPr>
        <w:t xml:space="preserve">benchmark rate selected by the Administrative Agent and the Company as the replacement for the relevant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relevant then-current Benchmark for syndicated credit facilities denominated in </w:t>
      </w:r>
      <w:r>
        <w:rPr>
          <w:rFonts w:ascii="Arial" w:cs="Arial" w:eastAsia="Arial" w:hAnsi="Arial"/>
          <w:sz w:val="19"/>
          <w:szCs w:val="19"/>
          <w:u w:val="single" w:color="auto"/>
          <w:color w:val="0000FF"/>
        </w:rPr>
        <w:t>Dollars or</w:t>
      </w:r>
      <w:r>
        <w:rPr>
          <w:rFonts w:ascii="Arial" w:cs="Arial" w:eastAsia="Arial" w:hAnsi="Arial"/>
          <w:sz w:val="19"/>
          <w:szCs w:val="19"/>
          <w:color w:val="000000"/>
        </w:rPr>
        <w:t xml:space="preserve"> the applicable Designated Foreign Currency</w:t>
      </w:r>
      <w:r>
        <w:rPr>
          <w:rFonts w:ascii="Arial" w:cs="Arial" w:eastAsia="Arial" w:hAnsi="Arial"/>
          <w:sz w:val="19"/>
          <w:szCs w:val="19"/>
          <w:u w:val="single" w:color="auto"/>
          <w:color w:val="0000FF"/>
        </w:rPr>
        <w:t>, as applicable,</w:t>
      </w:r>
      <w:r>
        <w:rPr>
          <w:rFonts w:ascii="Arial" w:cs="Arial" w:eastAsia="Arial" w:hAnsi="Arial"/>
          <w:sz w:val="19"/>
          <w:szCs w:val="19"/>
          <w:color w:val="000000"/>
        </w:rPr>
        <w:t xml:space="preserve"> at such time </w:t>
      </w:r>
      <w:r>
        <w:rPr>
          <w:rFonts w:ascii="Arial" w:cs="Arial" w:eastAsia="Arial" w:hAnsi="Arial"/>
          <w:sz w:val="19"/>
          <w:szCs w:val="19"/>
          <w:u w:val="single" w:color="auto"/>
          <w:color w:val="0000FF"/>
        </w:rPr>
        <w:t>(in each case, rounded to the nearest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1/100,000th (one hundred-thousandth) of a percentage point (or five decimal points))</w:t>
      </w:r>
      <w:r>
        <w:rPr>
          <w:rFonts w:ascii="Arial" w:cs="Arial" w:eastAsia="Arial" w:hAnsi="Arial"/>
          <w:sz w:val="19"/>
          <w:szCs w:val="19"/>
          <w:color w:val="0000FF"/>
        </w:rPr>
        <w:t xml:space="preserve"> </w:t>
      </w:r>
      <w:r>
        <w:rPr>
          <w:rFonts w:ascii="Arial" w:cs="Arial" w:eastAsia="Arial" w:hAnsi="Arial"/>
          <w:sz w:val="19"/>
          <w:szCs w:val="19"/>
          <w:color w:val="000000"/>
        </w:rPr>
        <w:t>and (b) the related Benchmark Replacement</w:t>
      </w:r>
      <w:r>
        <w:rPr>
          <w:rFonts w:ascii="Arial" w:cs="Arial" w:eastAsia="Arial" w:hAnsi="Arial"/>
          <w:sz w:val="19"/>
          <w:szCs w:val="19"/>
          <w:color w:val="0000FF"/>
        </w:rPr>
        <w:t xml:space="preserve"> </w:t>
      </w:r>
      <w:r>
        <w:rPr>
          <w:rFonts w:ascii="Arial" w:cs="Arial" w:eastAsia="Arial" w:hAnsi="Arial"/>
          <w:sz w:val="19"/>
          <w:szCs w:val="19"/>
          <w:color w:val="000000"/>
        </w:rPr>
        <w:t xml:space="preserve">Adjustment;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any such Benchmark Replacement shall be administratively feasible as determined by the Administrative Agent in its sole discretion;</w:t>
      </w:r>
    </w:p>
    <w:p>
      <w:pPr>
        <w:spacing w:after="0" w:line="171"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if the Benchmark Replacement as determined pursuant to clause (1) or (2) above would be less than the Floor,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 Replacement will be deemed to be the Floor for all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Replacement Adjustment</w:t>
      </w:r>
      <w:r>
        <w:rPr>
          <w:rFonts w:ascii="Arial" w:cs="Arial" w:eastAsia="Arial" w:hAnsi="Arial"/>
          <w:sz w:val="18"/>
          <w:szCs w:val="18"/>
          <w:color w:val="auto"/>
        </w:rPr>
        <w:t>” means, with respect to any replacement of a then-current Benchmark with an Unadjusted</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Benchmark Replacement for any applicable Interest Period and Available Tenor for any setting of such Unadjusted Benchmark Replacement, the spread adjustment, or method for calculating or determining such spread adjustment</w:t>
      </w:r>
      <w:r>
        <w:rPr>
          <w:rFonts w:ascii="Arial" w:cs="Arial" w:eastAsia="Arial" w:hAnsi="Arial"/>
          <w:sz w:val="16"/>
          <w:szCs w:val="16"/>
          <w:color w:val="FF0000"/>
          <w:strike w:val="1"/>
        </w:rPr>
        <w:t>,</w:t>
      </w:r>
      <w:r>
        <w:rPr>
          <w:rFonts w:ascii="Arial" w:cs="Arial" w:eastAsia="Arial" w:hAnsi="Arial"/>
          <w:sz w:val="16"/>
          <w:szCs w:val="16"/>
          <w:color w:val="auto"/>
        </w:rPr>
        <w:t xml:space="preserve"> (which may be a positive or negative value or zero)</w:t>
      </w:r>
    </w:p>
    <w:p>
      <w:pPr>
        <w:spacing w:after="0" w:line="235" w:lineRule="auto"/>
        <w:rPr>
          <w:sz w:val="20"/>
          <w:szCs w:val="20"/>
          <w:color w:val="auto"/>
        </w:rPr>
      </w:pPr>
      <w:r>
        <w:rPr>
          <w:rFonts w:ascii="Arial" w:cs="Arial" w:eastAsia="Arial" w:hAnsi="Arial"/>
          <w:sz w:val="18"/>
          <w:szCs w:val="18"/>
          <w:color w:val="auto"/>
        </w:rPr>
        <w:t>that has been selected by the Administrative Agent and the Company for the applicable Corresponding Tenor giving due consideration to (i)</w:t>
      </w:r>
    </w:p>
    <w:p>
      <w:pPr>
        <w:ind w:right="340"/>
        <w:spacing w:after="0" w:line="226" w:lineRule="auto"/>
        <w:rPr>
          <w:sz w:val="20"/>
          <w:szCs w:val="20"/>
          <w:color w:val="auto"/>
        </w:rPr>
      </w:pPr>
      <w:r>
        <w:rPr>
          <w:rFonts w:ascii="Arial" w:cs="Arial" w:eastAsia="Arial" w:hAnsi="Arial"/>
          <w:sz w:val="18"/>
          <w:szCs w:val="18"/>
          <w:color w:val="auto"/>
        </w:rPr>
        <w:t>any selection or recommendation of a spread adjustment, or method for calculating or determining such spread adjustment, for the replacement of such Benchmark with the applicable Unadjusted Benchmark Replacement by the Relevant Governmental Body and/or (ii)</w:t>
      </w:r>
    </w:p>
    <w:p>
      <w:pPr>
        <w:spacing w:after="0" w:line="224" w:lineRule="auto"/>
        <w:rPr>
          <w:sz w:val="20"/>
          <w:szCs w:val="20"/>
          <w:color w:val="auto"/>
        </w:rPr>
      </w:pPr>
      <w:r>
        <w:rPr>
          <w:rFonts w:ascii="Arial" w:cs="Arial" w:eastAsia="Arial" w:hAnsi="Arial"/>
          <w:sz w:val="19"/>
          <w:szCs w:val="19"/>
          <w:color w:val="auto"/>
        </w:rPr>
        <w:t>any evolving or then-prevailing market convention for determining a spread adjustment, or method for calculating or determining such</w:t>
      </w:r>
    </w:p>
    <w:p>
      <w:pPr>
        <w:ind w:right="340"/>
        <w:spacing w:after="0" w:line="255" w:lineRule="auto"/>
        <w:rPr>
          <w:sz w:val="20"/>
          <w:szCs w:val="20"/>
          <w:color w:val="auto"/>
        </w:rPr>
      </w:pPr>
      <w:r>
        <w:rPr>
          <w:rFonts w:ascii="Arial" w:cs="Arial" w:eastAsia="Arial" w:hAnsi="Arial"/>
          <w:sz w:val="16"/>
          <w:szCs w:val="16"/>
          <w:color w:val="auto"/>
        </w:rPr>
        <w:t xml:space="preserve">spread adjustment, for the replacement of such Benchmark with the applicable Unadjusted Benchmark Replacement for syndicated credit facilities denominated in </w:t>
      </w:r>
      <w:r>
        <w:rPr>
          <w:rFonts w:ascii="Arial" w:cs="Arial" w:eastAsia="Arial" w:hAnsi="Arial"/>
          <w:sz w:val="16"/>
          <w:szCs w:val="16"/>
          <w:u w:val="single" w:color="auto"/>
          <w:color w:val="0000FF"/>
        </w:rPr>
        <w:t>Dollars or</w:t>
      </w:r>
      <w:r>
        <w:rPr>
          <w:rFonts w:ascii="Arial" w:cs="Arial" w:eastAsia="Arial" w:hAnsi="Arial"/>
          <w:sz w:val="16"/>
          <w:szCs w:val="16"/>
          <w:color w:val="auto"/>
        </w:rPr>
        <w:t xml:space="preserve"> the applicable </w:t>
      </w:r>
      <w:r>
        <w:rPr>
          <w:rFonts w:ascii="Arial" w:cs="Arial" w:eastAsia="Arial" w:hAnsi="Arial"/>
          <w:sz w:val="16"/>
          <w:szCs w:val="16"/>
          <w:color w:val="FF0000"/>
          <w:strike w:val="1"/>
        </w:rPr>
        <w:t>Agreed</w:t>
      </w:r>
      <w:r>
        <w:rPr>
          <w:rFonts w:ascii="Arial" w:cs="Arial" w:eastAsia="Arial" w:hAnsi="Arial"/>
          <w:sz w:val="16"/>
          <w:szCs w:val="16"/>
          <w:u w:val="single" w:color="auto"/>
          <w:color w:val="0000FF"/>
        </w:rPr>
        <w:t>Designated Foreign</w:t>
      </w:r>
      <w:r>
        <w:rPr>
          <w:rFonts w:ascii="Arial" w:cs="Arial" w:eastAsia="Arial" w:hAnsi="Arial"/>
          <w:sz w:val="16"/>
          <w:szCs w:val="16"/>
          <w:color w:val="auto"/>
        </w:rPr>
        <w:t xml:space="preserve"> Currency</w:t>
      </w:r>
      <w:r>
        <w:rPr>
          <w:rFonts w:ascii="Arial" w:cs="Arial" w:eastAsia="Arial" w:hAnsi="Arial"/>
          <w:sz w:val="16"/>
          <w:szCs w:val="16"/>
          <w:u w:val="single" w:color="auto"/>
          <w:color w:val="0000FF"/>
        </w:rPr>
        <w:t>, as applicable,</w:t>
      </w:r>
      <w:r>
        <w:rPr>
          <w:rFonts w:ascii="Arial" w:cs="Arial" w:eastAsia="Arial" w:hAnsi="Arial"/>
          <w:sz w:val="16"/>
          <w:szCs w:val="16"/>
          <w:color w:val="auto"/>
        </w:rPr>
        <w:t xml:space="preserve">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w:t>
      </w:r>
    </w:p>
    <w:p>
      <w:pPr>
        <w:spacing w:after="0" w:line="235" w:lineRule="auto"/>
        <w:rPr>
          <w:sz w:val="20"/>
          <w:szCs w:val="20"/>
          <w:color w:val="auto"/>
        </w:rPr>
      </w:pPr>
      <w:r>
        <w:rPr>
          <w:rFonts w:ascii="Arial" w:cs="Arial" w:eastAsia="Arial" w:hAnsi="Arial"/>
          <w:sz w:val="18"/>
          <w:szCs w:val="18"/>
          <w:color w:val="auto"/>
        </w:rPr>
        <w:t>respect to any Affected Currency, if the then-current Benchmark is a term rate, more than one tenor of such Benchmark is available as of</w:t>
      </w:r>
    </w:p>
    <w:p>
      <w:pPr>
        <w:ind w:right="240"/>
        <w:spacing w:after="0" w:line="226" w:lineRule="auto"/>
        <w:rPr>
          <w:sz w:val="20"/>
          <w:szCs w:val="20"/>
          <w:color w:val="auto"/>
        </w:rPr>
      </w:pPr>
      <w:r>
        <w:rPr>
          <w:rFonts w:ascii="Arial" w:cs="Arial" w:eastAsia="Arial" w:hAnsi="Arial"/>
          <w:sz w:val="18"/>
          <w:szCs w:val="18"/>
          <w:color w:val="auto"/>
        </w:rPr>
        <w:t>such time and the applicable Unadjusted Benchmark Replacement will not be a term rate, the Available Tenor of such Benchmark for purposes of this definition of “Benchmark Replacement Adjustment” shall be deemed to be the Available Tenor that has approximately the</w:t>
      </w:r>
    </w:p>
    <w:p>
      <w:pPr>
        <w:spacing w:after="0" w:line="2" w:lineRule="exact"/>
        <w:rPr>
          <w:sz w:val="20"/>
          <w:szCs w:val="20"/>
          <w:color w:val="auto"/>
        </w:rPr>
      </w:pPr>
    </w:p>
    <w:p>
      <w:pPr>
        <w:ind w:right="620"/>
        <w:spacing w:after="0" w:line="227" w:lineRule="auto"/>
        <w:rPr>
          <w:sz w:val="20"/>
          <w:szCs w:val="20"/>
          <w:color w:val="auto"/>
        </w:rPr>
      </w:pPr>
      <w:r>
        <w:rPr>
          <w:rFonts w:ascii="Arial" w:cs="Arial" w:eastAsia="Arial" w:hAnsi="Arial"/>
          <w:sz w:val="20"/>
          <w:szCs w:val="20"/>
          <w:color w:val="auto"/>
        </w:rPr>
        <w:t xml:space="preserve">same length (disregarding </w:t>
      </w:r>
      <w:r>
        <w:rPr>
          <w:rFonts w:ascii="Arial" w:cs="Arial" w:eastAsia="Arial" w:hAnsi="Arial"/>
          <w:sz w:val="20"/>
          <w:szCs w:val="20"/>
          <w:color w:val="FF0000"/>
          <w:strike w:val="1"/>
        </w:rPr>
        <w:t>business day</w:t>
      </w:r>
      <w:r>
        <w:rPr>
          <w:rFonts w:ascii="Arial" w:cs="Arial" w:eastAsia="Arial" w:hAnsi="Arial"/>
          <w:sz w:val="20"/>
          <w:szCs w:val="20"/>
          <w:u w:val="single" w:color="auto"/>
          <w:color w:val="0000FF"/>
        </w:rPr>
        <w:t>Business Day</w:t>
      </w:r>
      <w:r>
        <w:rPr>
          <w:rFonts w:ascii="Arial" w:cs="Arial" w:eastAsia="Arial" w:hAnsi="Arial"/>
          <w:sz w:val="20"/>
          <w:szCs w:val="20"/>
          <w:color w:val="auto"/>
        </w:rPr>
        <w:t xml:space="preserve"> adjustments) as the payment period for interest calculated with reference to such Unadjusted Benchmark Replacement.</w:t>
      </w:r>
    </w:p>
    <w:p>
      <w:pPr>
        <w:spacing w:after="0" w:line="156" w:lineRule="exact"/>
        <w:rPr>
          <w:sz w:val="20"/>
          <w:szCs w:val="20"/>
          <w:color w:val="auto"/>
        </w:rPr>
      </w:pPr>
    </w:p>
    <w:p>
      <w:pPr>
        <w:ind w:right="520"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Benchmark Replacement Conforming Changes</w:t>
      </w:r>
      <w:r>
        <w:rPr>
          <w:rFonts w:ascii="Arial" w:cs="Arial" w:eastAsia="Arial" w:hAnsi="Arial"/>
          <w:sz w:val="16"/>
          <w:szCs w:val="16"/>
          <w:color w:val="auto"/>
        </w:rPr>
        <w:t xml:space="preserve">” means, with respect to </w:t>
      </w:r>
      <w:r>
        <w:rPr>
          <w:rFonts w:ascii="Arial" w:cs="Arial" w:eastAsia="Arial" w:hAnsi="Arial"/>
          <w:sz w:val="16"/>
          <w:szCs w:val="16"/>
          <w:color w:val="FF0000"/>
          <w:strike w:val="1"/>
        </w:rPr>
        <w:t>a</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Daily Simple RFR, EURIBOR</w:t>
      </w:r>
      <w:r>
        <w:rPr>
          <w:rFonts w:ascii="Arial" w:cs="Arial" w:eastAsia="Arial" w:hAnsi="Arial"/>
          <w:sz w:val="16"/>
          <w:szCs w:val="16"/>
          <w:u w:val="single" w:color="auto"/>
          <w:color w:val="0000FF"/>
        </w:rPr>
        <w:t>, Adjusted Term</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SOFR, the CDOR Rate</w:t>
      </w:r>
      <w:r>
        <w:rPr>
          <w:rFonts w:ascii="Arial" w:cs="Arial" w:eastAsia="Arial" w:hAnsi="Arial"/>
          <w:sz w:val="16"/>
          <w:szCs w:val="16"/>
          <w:color w:val="0000FF"/>
        </w:rPr>
        <w:t xml:space="preserve"> </w:t>
      </w:r>
      <w:r>
        <w:rPr>
          <w:rFonts w:ascii="Arial" w:cs="Arial" w:eastAsia="Arial" w:hAnsi="Arial"/>
          <w:sz w:val="16"/>
          <w:szCs w:val="16"/>
          <w:color w:val="000000"/>
        </w:rPr>
        <w:t>or any Benchmark Replacement, any technical, administrative or operational changes (including changes to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definition of “ABR,” the definition of “Alternate Base Rate,” the definition of “</w:t>
      </w:r>
      <w:r>
        <w:rPr>
          <w:rFonts w:ascii="Arial" w:cs="Arial" w:eastAsia="Arial" w:hAnsi="Arial"/>
          <w:sz w:val="18"/>
          <w:szCs w:val="18"/>
          <w:u w:val="single" w:color="auto"/>
          <w:color w:val="0000FF"/>
        </w:rPr>
        <w:t>Business Day,” the definition of “SOFR</w:t>
      </w:r>
      <w:r>
        <w:rPr>
          <w:rFonts w:ascii="Arial" w:cs="Arial" w:eastAsia="Arial" w:hAnsi="Arial"/>
          <w:sz w:val="18"/>
          <w:szCs w:val="18"/>
          <w:color w:val="auto"/>
        </w:rPr>
        <w:t xml:space="preserve"> Business Day,” the definition of “Interest Period,” timing and frequency of determining rates and making payments of interest, timing of borrowing requests or</w:t>
      </w:r>
    </w:p>
    <w:p>
      <w:pPr>
        <w:spacing w:after="0" w:line="2"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prepayment, conversion or continuation notices, the applicability and length of lookback periods, the applicability of breakage provisions, and other technical, administrative or operational matters) that the Administrative Agent decides (</w:t>
      </w:r>
      <w:r>
        <w:rPr>
          <w:rFonts w:ascii="Arial" w:cs="Arial" w:eastAsia="Arial" w:hAnsi="Arial"/>
          <w:sz w:val="18"/>
          <w:szCs w:val="18"/>
          <w:color w:val="FF0000"/>
          <w:strike w:val="1"/>
        </w:rPr>
        <w:t>which decision, solely in the case of any</w:t>
      </w:r>
    </w:p>
    <w:p>
      <w:pPr>
        <w:spacing w:after="0" w:line="236" w:lineRule="auto"/>
        <w:rPr>
          <w:sz w:val="20"/>
          <w:szCs w:val="20"/>
          <w:color w:val="auto"/>
        </w:rPr>
      </w:pPr>
      <w:r>
        <w:rPr>
          <w:rFonts w:ascii="Arial" w:cs="Arial" w:eastAsia="Arial" w:hAnsi="Arial"/>
          <w:sz w:val="18"/>
          <w:szCs w:val="18"/>
          <w:color w:val="FF0000"/>
          <w:strike w:val="1"/>
        </w:rPr>
        <w:t>Early Opt-in Election, shall be made</w:t>
      </w:r>
      <w:r>
        <w:rPr>
          <w:rFonts w:ascii="Arial" w:cs="Arial" w:eastAsia="Arial" w:hAnsi="Arial"/>
          <w:sz w:val="18"/>
          <w:szCs w:val="18"/>
          <w:color w:val="FF0000"/>
        </w:rPr>
        <w:t xml:space="preserve"> </w:t>
      </w:r>
      <w:r>
        <w:rPr>
          <w:rFonts w:ascii="Arial" w:cs="Arial" w:eastAsia="Arial" w:hAnsi="Arial"/>
          <w:sz w:val="18"/>
          <w:szCs w:val="18"/>
          <w:color w:val="000000"/>
        </w:rPr>
        <w:t>in consultation with the Company) may be appropriate to reflect the adoption and implementation of any</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Daily Simple RFR, EURIBOR</w:t>
      </w:r>
      <w:r>
        <w:rPr>
          <w:rFonts w:ascii="Arial" w:cs="Arial" w:eastAsia="Arial" w:hAnsi="Arial"/>
          <w:sz w:val="18"/>
          <w:szCs w:val="18"/>
          <w:u w:val="single" w:color="auto"/>
          <w:color w:val="0000FF"/>
        </w:rPr>
        <w:t>, Adjusted Term SOFR, the CDOR Rate</w:t>
      </w:r>
      <w:r>
        <w:rPr>
          <w:rFonts w:ascii="Arial" w:cs="Arial" w:eastAsia="Arial" w:hAnsi="Arial"/>
          <w:sz w:val="18"/>
          <w:szCs w:val="18"/>
          <w:color w:val="auto"/>
        </w:rPr>
        <w:t xml:space="preserve"> or any Benchmark Replacement and to permit the administration thereof by the Administrative Agent in a manner substantially consistent with market practice (or, if the Administrative Agent decides that</w:t>
      </w:r>
    </w:p>
    <w:p>
      <w:pPr>
        <w:spacing w:after="0" w:line="236" w:lineRule="auto"/>
        <w:rPr>
          <w:sz w:val="20"/>
          <w:szCs w:val="20"/>
          <w:color w:val="auto"/>
        </w:rPr>
      </w:pPr>
      <w:r>
        <w:rPr>
          <w:rFonts w:ascii="Arial" w:cs="Arial" w:eastAsia="Arial" w:hAnsi="Arial"/>
          <w:sz w:val="18"/>
          <w:szCs w:val="18"/>
          <w:color w:val="auto"/>
        </w:rPr>
        <w:t>adoption of any portion of such market practice is not administratively feasible or if the Administrative Agent determines that no market</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practice for the administration of such Daily Simple RFR, EURIBOR</w:t>
      </w:r>
      <w:r>
        <w:rPr>
          <w:rFonts w:ascii="Arial" w:cs="Arial" w:eastAsia="Arial" w:hAnsi="Arial"/>
          <w:sz w:val="16"/>
          <w:szCs w:val="16"/>
          <w:u w:val="single" w:color="auto"/>
          <w:color w:val="0000FF"/>
        </w:rPr>
        <w:t>, Adjusted Term SOFR, the CDOR Rate</w:t>
      </w:r>
      <w:r>
        <w:rPr>
          <w:rFonts w:ascii="Arial" w:cs="Arial" w:eastAsia="Arial" w:hAnsi="Arial"/>
          <w:sz w:val="16"/>
          <w:szCs w:val="16"/>
          <w:color w:val="auto"/>
        </w:rPr>
        <w:t xml:space="preserve"> or such Benchmark Replacement exists, in such other manner of administration as the Administrative Agent decides (</w:t>
      </w:r>
      <w:r>
        <w:rPr>
          <w:rFonts w:ascii="Arial" w:cs="Arial" w:eastAsia="Arial" w:hAnsi="Arial"/>
          <w:sz w:val="16"/>
          <w:szCs w:val="16"/>
          <w:color w:val="FF0000"/>
          <w:strike w:val="1"/>
        </w:rPr>
        <w:t>which decision, solely in the case of any</w:t>
      </w:r>
    </w:p>
    <w:p>
      <w:pPr>
        <w:spacing w:after="0" w:line="1"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FF0000"/>
          <w:strike w:val="1"/>
        </w:rPr>
        <w:t>Early Opt-in Election, shall be made</w:t>
      </w:r>
      <w:r>
        <w:rPr>
          <w:rFonts w:ascii="Arial" w:cs="Arial" w:eastAsia="Arial" w:hAnsi="Arial"/>
          <w:sz w:val="20"/>
          <w:szCs w:val="20"/>
          <w:color w:val="FF0000"/>
        </w:rPr>
        <w:t xml:space="preserve"> </w:t>
      </w:r>
      <w:r>
        <w:rPr>
          <w:rFonts w:ascii="Arial" w:cs="Arial" w:eastAsia="Arial" w:hAnsi="Arial"/>
          <w:sz w:val="20"/>
          <w:szCs w:val="20"/>
          <w:color w:val="000000"/>
        </w:rPr>
        <w:t>in consultation with the Company) is reasonably necessary in connection with the administration of this</w:t>
      </w:r>
      <w:r>
        <w:rPr>
          <w:rFonts w:ascii="Arial" w:cs="Arial" w:eastAsia="Arial" w:hAnsi="Arial"/>
          <w:sz w:val="20"/>
          <w:szCs w:val="20"/>
          <w:color w:val="FF0000"/>
        </w:rPr>
        <w:t xml:space="preserve"> </w:t>
      </w:r>
      <w:r>
        <w:rPr>
          <w:rFonts w:ascii="Arial" w:cs="Arial" w:eastAsia="Arial" w:hAnsi="Arial"/>
          <w:sz w:val="20"/>
          <w:szCs w:val="20"/>
          <w:color w:val="000000"/>
        </w:rPr>
        <w:t>Agreement and the other Loan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Benchmark Replacement Date</w:t>
      </w:r>
      <w:r>
        <w:rPr>
          <w:rFonts w:ascii="Arial" w:cs="Arial" w:eastAsia="Arial" w:hAnsi="Arial"/>
          <w:sz w:val="18"/>
          <w:szCs w:val="18"/>
          <w:u w:val="single" w:color="auto"/>
          <w:color w:val="0000FF"/>
        </w:rPr>
        <w:t>” means the earlier to occur of the following events with respect to the then-current Benchmark:</w:t>
      </w:r>
    </w:p>
    <w:p>
      <w:pPr>
        <w:spacing w:after="0" w:line="212" w:lineRule="exact"/>
        <w:rPr>
          <w:sz w:val="20"/>
          <w:szCs w:val="20"/>
          <w:color w:val="auto"/>
        </w:rPr>
      </w:pPr>
    </w:p>
    <w:p>
      <w:pPr>
        <w:jc w:val="both"/>
        <w:ind w:right="280" w:firstLine="656"/>
        <w:spacing w:after="0" w:line="220" w:lineRule="auto"/>
        <w:tabs>
          <w:tab w:leader="none" w:pos="1065" w:val="left"/>
        </w:tabs>
        <w:numPr>
          <w:ilvl w:val="0"/>
          <w:numId w:val="19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in the case of clause (a) of the definition of “Benchmark Transition Event,” the later of (i) the date of the </w:t>
      </w:r>
      <w:r>
        <w:rPr>
          <w:rFonts w:ascii="Arial" w:cs="Arial" w:eastAsia="Arial" w:hAnsi="Arial"/>
          <w:sz w:val="20"/>
          <w:szCs w:val="20"/>
          <w:u w:val="single" w:color="auto"/>
          <w:color w:val="008000"/>
        </w:rPr>
        <w:t>public statement or</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publication of information </w:t>
      </w:r>
      <w:r>
        <w:rPr>
          <w:rFonts w:ascii="Arial" w:cs="Arial" w:eastAsia="Arial" w:hAnsi="Arial"/>
          <w:sz w:val="20"/>
          <w:szCs w:val="20"/>
          <w:u w:val="single" w:color="auto"/>
          <w:color w:val="0000FF"/>
        </w:rPr>
        <w:t>referenced therein and (ii) the date on which the administrator of such Benchmark (or the published component</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rPr>
        <w:t>used in the calculation thereof) permanently or indefinitely ceases to provide all Available Tenors of such Benchmark (or such component thereof); or</w:t>
      </w:r>
    </w:p>
    <w:p>
      <w:pPr>
        <w:spacing w:after="0" w:line="169" w:lineRule="exact"/>
        <w:rPr>
          <w:rFonts w:ascii="Arial" w:cs="Arial" w:eastAsia="Arial" w:hAnsi="Arial"/>
          <w:sz w:val="20"/>
          <w:szCs w:val="20"/>
          <w:u w:val="single" w:color="auto"/>
          <w:color w:val="0000FF"/>
        </w:rPr>
      </w:pPr>
    </w:p>
    <w:p>
      <w:pPr>
        <w:ind w:right="160" w:firstLine="656"/>
        <w:spacing w:after="0" w:line="227" w:lineRule="auto"/>
        <w:tabs>
          <w:tab w:leader="none" w:pos="1076" w:val="left"/>
        </w:tabs>
        <w:numPr>
          <w:ilvl w:val="0"/>
          <w:numId w:val="19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in the case of clause (b)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xml:space="preserve"> that such non-representativeness will be determined by reference to the most recent statement or publication referenced therein and even if any Available Tenor of such Benchmark (or such component thereof) continues to be provided on such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 the avoidance of doubt, the “Benchmark Replacement Date” will be deemed to have occurred in the case of clause (a) or (b) with respect</w:t>
      </w:r>
    </w:p>
    <w:p>
      <w:pPr>
        <w:spacing w:after="0" w:line="12"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u w:val="single" w:color="auto"/>
          <w:color w:val="0000FF"/>
        </w:rPr>
        <w:t>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Transition Event</w:t>
      </w:r>
      <w:r>
        <w:rPr>
          <w:rFonts w:ascii="Arial" w:cs="Arial" w:eastAsia="Arial" w:hAnsi="Arial"/>
          <w:sz w:val="18"/>
          <w:szCs w:val="18"/>
          <w:color w:val="auto"/>
        </w:rPr>
        <w:t xml:space="preserve">” means, with respect to any then-current Benchmark </w:t>
      </w:r>
      <w:r>
        <w:rPr>
          <w:rFonts w:ascii="Arial" w:cs="Arial" w:eastAsia="Arial" w:hAnsi="Arial"/>
          <w:sz w:val="18"/>
          <w:szCs w:val="18"/>
          <w:color w:val="FF0000"/>
          <w:strike w:val="1"/>
        </w:rPr>
        <w:t>(other than LIBOR)</w:t>
      </w:r>
      <w:r>
        <w:rPr>
          <w:rFonts w:ascii="Arial" w:cs="Arial" w:eastAsia="Arial" w:hAnsi="Arial"/>
          <w:sz w:val="18"/>
          <w:szCs w:val="18"/>
          <w:color w:val="auto"/>
        </w:rPr>
        <w:t>, the occurrence of a public</w:t>
      </w:r>
    </w:p>
    <w:p>
      <w:pPr>
        <w:spacing w:after="0" w:line="1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 xml:space="preserve">statement or publication of information by or on behalf of the administrator of the then-current Benchmark, the regulatory supervisor for the administrator of such Benchmark, the Board </w:t>
      </w:r>
      <w:r>
        <w:rPr>
          <w:rFonts w:ascii="Arial" w:cs="Arial" w:eastAsia="Arial" w:hAnsi="Arial"/>
          <w:sz w:val="18"/>
          <w:szCs w:val="18"/>
          <w:color w:val="FF0000"/>
        </w:rPr>
        <w:t>of Governors of the Federal Reserve System</w:t>
      </w:r>
      <w:r>
        <w:rPr>
          <w:rFonts w:ascii="Arial" w:cs="Arial" w:eastAsia="Arial" w:hAnsi="Arial"/>
          <w:sz w:val="18"/>
          <w:szCs w:val="18"/>
          <w:color w:val="auto"/>
        </w:rPr>
        <w:t>, the Federal Reserve Bank of New York,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-57785</wp:posOffset>
            </wp:positionV>
            <wp:extent cx="22644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264410"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insolvency official with jurisdiction over the administrator for such Benchmark, a resolution authority with jurisdiction over the administrator</w:t>
      </w:r>
    </w:p>
    <w:p>
      <w:pPr>
        <w:spacing w:after="0" w:line="1"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for such Benchmark or a court or an entity with similar insolvency or resolution authority over the administrator for such Benchmark, announcing or stating that (a) such administrator has ceased or will cease on a specified date to provide all Available Tenors of such</w:t>
      </w:r>
    </w:p>
    <w:p>
      <w:pPr>
        <w:spacing w:after="0" w:line="236" w:lineRule="auto"/>
        <w:rPr>
          <w:sz w:val="20"/>
          <w:szCs w:val="20"/>
          <w:color w:val="auto"/>
        </w:rPr>
      </w:pPr>
      <w:r>
        <w:rPr>
          <w:rFonts w:ascii="Arial" w:cs="Arial" w:eastAsia="Arial" w:hAnsi="Arial"/>
          <w:sz w:val="18"/>
          <w:szCs w:val="18"/>
          <w:color w:val="auto"/>
        </w:rPr>
        <w:t>Benchmark, permanently or indefinitely</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will continue to provide any Available Tenor of such Benchmark</w:t>
      </w:r>
      <w:r>
        <w:rPr>
          <w:rFonts w:ascii="Arial" w:cs="Arial" w:eastAsia="Arial" w:hAnsi="Arial"/>
          <w:sz w:val="16"/>
          <w:szCs w:val="16"/>
          <w:u w:val="single" w:color="auto"/>
          <w:color w:val="0000FF"/>
        </w:rPr>
        <w:t>,</w:t>
      </w:r>
      <w:r>
        <w:rPr>
          <w:rFonts w:ascii="Arial" w:cs="Arial" w:eastAsia="Arial" w:hAnsi="Arial"/>
          <w:sz w:val="16"/>
          <w:szCs w:val="16"/>
          <w:color w:val="auto"/>
        </w:rPr>
        <w:t xml:space="preserve"> or (b) all Available Tenors of such Benchmark are or will no longer be representative of the underlying market and economic reality that such Benchmark is intended to measure and that representativeness will not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 restored.</w:t>
      </w:r>
    </w:p>
    <w:p>
      <w:pPr>
        <w:spacing w:after="0" w:line="173" w:lineRule="exact"/>
        <w:rPr>
          <w:sz w:val="20"/>
          <w:szCs w:val="20"/>
          <w:color w:val="auto"/>
        </w:rPr>
      </w:pPr>
    </w:p>
    <w:p>
      <w:pPr>
        <w:ind w:right="16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08000"/>
        </w:rPr>
        <w:t>“</w:t>
      </w:r>
      <w:r>
        <w:rPr>
          <w:rFonts w:ascii="Arial" w:cs="Arial" w:eastAsia="Arial" w:hAnsi="Arial"/>
          <w:sz w:val="16"/>
          <w:szCs w:val="16"/>
          <w:b w:val="1"/>
          <w:bCs w:val="1"/>
          <w:i w:val="1"/>
          <w:iCs w:val="1"/>
          <w:u w:val="single" w:color="auto"/>
          <w:color w:val="008000"/>
        </w:rPr>
        <w:t>Daily Simple SOFR</w:t>
      </w:r>
      <w:r>
        <w:rPr>
          <w:rFonts w:ascii="Arial" w:cs="Arial" w:eastAsia="Arial" w:hAnsi="Arial"/>
          <w:sz w:val="16"/>
          <w:szCs w:val="16"/>
          <w:u w:val="single" w:color="auto"/>
          <w:color w:val="008000"/>
        </w:rPr>
        <w:t xml:space="preserve">” means, for any day </w:t>
      </w:r>
      <w:r>
        <w:rPr>
          <w:rFonts w:ascii="Arial" w:cs="Arial" w:eastAsia="Arial" w:hAnsi="Arial"/>
          <w:sz w:val="16"/>
          <w:szCs w:val="16"/>
          <w:u w:val="single" w:color="auto"/>
          <w:color w:val="0000FF"/>
        </w:rPr>
        <w:t>(a “</w:t>
      </w:r>
      <w:r>
        <w:rPr>
          <w:rFonts w:ascii="Arial" w:cs="Arial" w:eastAsia="Arial" w:hAnsi="Arial"/>
          <w:sz w:val="16"/>
          <w:szCs w:val="16"/>
          <w:b w:val="1"/>
          <w:bCs w:val="1"/>
          <w:i w:val="1"/>
          <w:iCs w:val="1"/>
          <w:u w:val="single" w:color="auto"/>
          <w:color w:val="0000FF"/>
        </w:rPr>
        <w:t>Daily Simple SOFR Rate Day</w:t>
      </w:r>
      <w:r>
        <w:rPr>
          <w:rFonts w:ascii="Arial" w:cs="Arial" w:eastAsia="Arial" w:hAnsi="Arial"/>
          <w:sz w:val="16"/>
          <w:szCs w:val="16"/>
          <w:u w:val="single" w:color="auto"/>
          <w:color w:val="0000FF"/>
        </w:rPr>
        <w:t>”), a rate per annum (rounded to the nearest 1/100,000th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-28575</wp:posOffset>
            </wp:positionV>
            <wp:extent cx="20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320" cy="8255"/>
                    </a:xfrm>
                    <a:prstGeom prst="rect">
                      <a:avLst/>
                    </a:prstGeom>
                    <a:noFill/>
                  </pic:spPr>
                </pic:pic>
              </a:graphicData>
            </a:graphic>
          </wp:anchor>
        </w:drawing>
      </w:r>
    </w:p>
    <w:p>
      <w:pPr>
        <w:spacing w:after="0" w:line="15"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(one hundred-thousandth) of a percentage point (or five decimal points)) equal to SOFR for the day (such day, the “</w:t>
      </w:r>
      <w:r>
        <w:rPr>
          <w:rFonts w:ascii="Arial" w:cs="Arial" w:eastAsia="Arial" w:hAnsi="Arial"/>
          <w:sz w:val="18"/>
          <w:szCs w:val="18"/>
          <w:b w:val="1"/>
          <w:bCs w:val="1"/>
          <w:i w:val="1"/>
          <w:iCs w:val="1"/>
          <w:u w:val="single" w:color="auto"/>
          <w:color w:val="0000FF"/>
        </w:rPr>
        <w:t>Daily Simple SOFR</w:t>
      </w:r>
      <w:r>
        <w:rPr>
          <w:rFonts w:ascii="Arial" w:cs="Arial" w:eastAsia="Arial" w:hAnsi="Arial"/>
          <w:sz w:val="18"/>
          <w:szCs w:val="18"/>
          <w:u w:val="single" w:color="auto"/>
          <w:color w:val="0000FF"/>
        </w:rPr>
        <w:t xml:space="preserve"> </w:t>
      </w:r>
      <w:r>
        <w:rPr>
          <w:rFonts w:ascii="Arial" w:cs="Arial" w:eastAsia="Arial" w:hAnsi="Arial"/>
          <w:sz w:val="18"/>
          <w:szCs w:val="18"/>
          <w:b w:val="1"/>
          <w:bCs w:val="1"/>
          <w:i w:val="1"/>
          <w:iCs w:val="1"/>
          <w:u w:val="single" w:color="auto"/>
          <w:color w:val="0000FF"/>
        </w:rPr>
        <w:t>Lookback Day</w:t>
      </w:r>
      <w:r>
        <w:rPr>
          <w:rFonts w:ascii="Arial" w:cs="Arial" w:eastAsia="Arial" w:hAnsi="Arial"/>
          <w:sz w:val="18"/>
          <w:szCs w:val="18"/>
          <w:u w:val="single" w:color="auto"/>
          <w:color w:val="0000FF"/>
        </w:rPr>
        <w:t>”) that is five SOFR Business Days prior to (i) if such Daily Simple SOFR Rate Day is a SOFR Business Day, such Daily</w:t>
      </w:r>
    </w:p>
    <w:p>
      <w:pPr>
        <w:spacing w:after="0" w:line="236" w:lineRule="auto"/>
        <w:rPr>
          <w:sz w:val="20"/>
          <w:szCs w:val="20"/>
          <w:color w:val="auto"/>
        </w:rPr>
      </w:pPr>
      <w:r>
        <w:rPr>
          <w:rFonts w:ascii="Arial" w:cs="Arial" w:eastAsia="Arial" w:hAnsi="Arial"/>
          <w:sz w:val="18"/>
          <w:szCs w:val="18"/>
          <w:u w:val="single" w:color="auto"/>
          <w:color w:val="0000FF"/>
        </w:rPr>
        <w:t>Simple SOFR Rate Day or (ii) if such Daily Simple SOFR Rate Day is not a SOFR Business Day, the SOFR Business Day immediately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preceding such Daily Simple SOFR Rate Day, in each case, as and when SOFR for such Daily Simple SOFR Rate Day is published by the SOFR Administrator on the SOFR Administrator’s Website. If by 5:00 pm (New York City time) on the second SOFR Business Day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0000FF"/>
        </w:rPr>
        <w:t>immediately following any Daily Simple SOFR Lookback Day, SOFR in respect of such Daily Simple SOFR Lookback Day has not been published on the SOFR Administrator’s Website and a Benchmark Replacement Date with respect to Daily Simple SOFR has not occurred,</w:t>
      </w:r>
    </w:p>
    <w:p>
      <w:pPr>
        <w:spacing w:after="0" w:line="236" w:lineRule="auto"/>
        <w:rPr>
          <w:sz w:val="20"/>
          <w:szCs w:val="20"/>
          <w:color w:val="auto"/>
        </w:rPr>
      </w:pPr>
      <w:r>
        <w:rPr>
          <w:rFonts w:ascii="Arial" w:cs="Arial" w:eastAsia="Arial" w:hAnsi="Arial"/>
          <w:sz w:val="18"/>
          <w:szCs w:val="18"/>
          <w:u w:val="single" w:color="auto"/>
          <w:color w:val="0000FF"/>
        </w:rPr>
        <w:t>then SOFR for such Daily Simple SOFR Lookback Day will be SOFR as published in respect of the first preceding SOFR Business Day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which such SOFR was published on the SOFR Administrator’s Website; provided, that any SOFR determined pursuant to this sentence shall be utilized for purposes of calculation of Daily Simple SOFR for no more than three consecutive Daily Simple SOFR Rate Days. Any change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0000FF"/>
        </w:rPr>
        <w:t>in Daily Simple SOFR due to a change in SOFR shall be effective from and including the effective date of such change in SOFR without notice to the Company.</w:t>
      </w:r>
    </w:p>
    <w:p>
      <w:pPr>
        <w:spacing w:after="0" w:line="156" w:lineRule="exact"/>
        <w:rPr>
          <w:sz w:val="20"/>
          <w:szCs w:val="20"/>
          <w:color w:val="auto"/>
        </w:rPr>
      </w:pPr>
    </w:p>
    <w:p>
      <w:pPr>
        <w:ind w:left="660" w:right="1080"/>
        <w:spacing w:after="0" w:line="485"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Daily Simple SOFR Lookback Day</w:t>
      </w:r>
      <w:r>
        <w:rPr>
          <w:rFonts w:ascii="Arial" w:cs="Arial" w:eastAsia="Arial" w:hAnsi="Arial"/>
          <w:sz w:val="18"/>
          <w:szCs w:val="18"/>
          <w:u w:val="single" w:color="auto"/>
          <w:color w:val="0000FF"/>
        </w:rPr>
        <w:t>” has the meaning assigned to such term in the definition of “Daily Simple SOFR.” “</w:t>
      </w:r>
      <w:r>
        <w:rPr>
          <w:rFonts w:ascii="Arial" w:cs="Arial" w:eastAsia="Arial" w:hAnsi="Arial"/>
          <w:sz w:val="18"/>
          <w:szCs w:val="18"/>
          <w:b w:val="1"/>
          <w:bCs w:val="1"/>
          <w:i w:val="1"/>
          <w:iCs w:val="1"/>
          <w:u w:val="single" w:color="auto"/>
          <w:color w:val="0000FF"/>
        </w:rPr>
        <w:t>Daily Simple SOFR Rate Day</w:t>
      </w:r>
      <w:r>
        <w:rPr>
          <w:rFonts w:ascii="Arial" w:cs="Arial" w:eastAsia="Arial" w:hAnsi="Arial"/>
          <w:sz w:val="18"/>
          <w:szCs w:val="18"/>
          <w:u w:val="single" w:color="auto"/>
          <w:color w:val="0000FF"/>
        </w:rPr>
        <w:t>” has the meaning assigned to such term in the definition of “Daily Simple SOFR.”</w:t>
      </w:r>
    </w:p>
    <w:p>
      <w:pPr>
        <w:ind w:right="160" w:firstLine="648"/>
        <w:spacing w:after="0" w:line="20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Early Opt-in Effective Date</w:t>
      </w:r>
      <w:r>
        <w:rPr>
          <w:rFonts w:ascii="Arial" w:cs="Arial" w:eastAsia="Arial" w:hAnsi="Arial"/>
          <w:sz w:val="18"/>
          <w:szCs w:val="18"/>
          <w:color w:val="FF0000"/>
          <w:strike w:val="1"/>
        </w:rPr>
        <w:t>” means, with respect to any Early Opt-in Election, the sixth (6</w:t>
      </w:r>
      <w:r>
        <w:rPr>
          <w:rFonts w:ascii="Arial" w:cs="Arial" w:eastAsia="Arial" w:hAnsi="Arial"/>
          <w:sz w:val="23"/>
          <w:szCs w:val="23"/>
          <w:color w:val="FF0000"/>
          <w:strike w:val="1"/>
          <w:vertAlign w:val="superscript"/>
        </w:rPr>
        <w:t>th</w:t>
      </w:r>
      <w:r>
        <w:rPr>
          <w:rFonts w:ascii="Arial" w:cs="Arial" w:eastAsia="Arial" w:hAnsi="Arial"/>
          <w:sz w:val="18"/>
          <w:szCs w:val="18"/>
          <w:color w:val="FF0000"/>
          <w:strike w:val="1"/>
        </w:rPr>
        <w:t>) Business Day after the date notice of such Early Opt-in Election is provided to the Lenders, so long as the Administrative Agent has not received, by 5:00 p.m. (New York City</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FF0000"/>
          <w:strike w:val="1"/>
        </w:rPr>
        <w:t>time) on the fifth (5th) Business Day after the date notice of such Early Opt-in Election is provided to the Lenders, written notice of objection to such Early Opt-in Election from Lenders comprising the Required Lenders.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Early Opt-in Election</w:t>
      </w:r>
      <w:r>
        <w:rPr>
          <w:rFonts w:ascii="Arial" w:cs="Arial" w:eastAsia="Arial" w:hAnsi="Arial"/>
          <w:sz w:val="20"/>
          <w:szCs w:val="20"/>
          <w:color w:val="FF0000"/>
          <w:strike w:val="1"/>
        </w:rPr>
        <w:t>” means the occurrence of:</w:t>
      </w:r>
    </w:p>
    <w:p>
      <w:pPr>
        <w:spacing w:after="0" w:line="189" w:lineRule="exact"/>
        <w:rPr>
          <w:sz w:val="20"/>
          <w:szCs w:val="20"/>
          <w:color w:val="auto"/>
        </w:rPr>
      </w:pPr>
    </w:p>
    <w:p>
      <w:pPr>
        <w:ind w:left="1960" w:right="20" w:firstLine="1288"/>
        <w:spacing w:after="0" w:line="226" w:lineRule="auto"/>
        <w:tabs>
          <w:tab w:leader="none" w:pos="3684" w:val="left"/>
        </w:tabs>
        <w:numPr>
          <w:ilvl w:val="0"/>
          <w:numId w:val="191"/>
        </w:numPr>
        <w:rPr>
          <w:rFonts w:ascii="Arial" w:cs="Arial" w:eastAsia="Arial" w:hAnsi="Arial"/>
          <w:sz w:val="19"/>
          <w:szCs w:val="19"/>
          <w:color w:val="FF0000"/>
          <w:strike w:val="1"/>
        </w:rPr>
      </w:pPr>
      <w:r>
        <w:rPr>
          <w:rFonts w:ascii="Arial" w:cs="Arial" w:eastAsia="Arial" w:hAnsi="Arial"/>
          <w:sz w:val="19"/>
          <w:szCs w:val="19"/>
          <w:color w:val="FF0000"/>
          <w:strike w:val="1"/>
        </w:rPr>
        <w:t>(x) with respect to any Loans denominated in U.S. Dollars, a notification by the Administrative Agent to (or the request by the Company to the Administrative Agent to notify) each of the other parties hereto that at least five currently outstanding U.S. Dollar-denominated syndicated credit facilities at such time contain (as a result of amendment or as originally executed) either a SOFR-based rate (including SOFR, a term SOFR or any other rate based upon SOFR) as a benchmark rate or an alternative benchmark interest rate to replace LIBOR (and such syndicated credit facilities are identified in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94" w:name="page195"/>
    <w:bookmarkEnd w:id="194"/>
    <w:p>
      <w:pPr>
        <w:ind w:left="1960"/>
        <w:spacing w:after="0"/>
        <w:rPr>
          <w:sz w:val="20"/>
          <w:szCs w:val="20"/>
          <w:color w:val="auto"/>
        </w:rPr>
      </w:pPr>
      <w:r>
        <w:rPr>
          <w:rFonts w:ascii="Arial" w:cs="Arial" w:eastAsia="Arial" w:hAnsi="Arial"/>
          <w:sz w:val="19"/>
          <w:szCs w:val="19"/>
          <w:color w:val="FF0000"/>
          <w:strike w:val="1"/>
        </w:rPr>
        <w:t xml:space="preserve">and are publicly available for review) or (y) with respect to any Loans </w:t>
      </w:r>
      <w:r>
        <w:rPr>
          <w:rFonts w:ascii="Arial" w:cs="Arial" w:eastAsia="Arial" w:hAnsi="Arial"/>
          <w:sz w:val="19"/>
          <w:szCs w:val="19"/>
          <w:color w:val="008000"/>
          <w:strike w:val="1"/>
        </w:rPr>
        <w:t>denominated in a Designated Foreign</w:t>
      </w:r>
    </w:p>
    <w:p>
      <w:pPr>
        <w:ind w:left="1960" w:right="80"/>
        <w:spacing w:after="0" w:line="226" w:lineRule="auto"/>
        <w:rPr>
          <w:sz w:val="20"/>
          <w:szCs w:val="20"/>
          <w:color w:val="auto"/>
        </w:rPr>
      </w:pPr>
      <w:r>
        <w:rPr>
          <w:rFonts w:ascii="Arial" w:cs="Arial" w:eastAsia="Arial" w:hAnsi="Arial"/>
          <w:sz w:val="18"/>
          <w:szCs w:val="18"/>
          <w:color w:val="008000"/>
          <w:strike w:val="1"/>
        </w:rPr>
        <w:t xml:space="preserve">Currency, </w:t>
      </w:r>
      <w:r>
        <w:rPr>
          <w:rFonts w:ascii="Arial" w:cs="Arial" w:eastAsia="Arial" w:hAnsi="Arial"/>
          <w:sz w:val="18"/>
          <w:szCs w:val="18"/>
          <w:color w:val="FF0000"/>
          <w:strike w:val="1"/>
        </w:rPr>
        <w:t>a notification by the Administrative Agent to (or the request by the Company to the Administrative Agent</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to notify) each of the other parties hereto that at least five currently outstanding U.S. syndicated credit facilities at</w:t>
      </w:r>
    </w:p>
    <w:p>
      <w:pPr>
        <w:spacing w:after="0" w:line="2" w:lineRule="exact"/>
        <w:rPr>
          <w:sz w:val="20"/>
          <w:szCs w:val="20"/>
          <w:color w:val="auto"/>
        </w:rPr>
      </w:pPr>
    </w:p>
    <w:p>
      <w:pPr>
        <w:ind w:left="1960" w:right="120"/>
        <w:spacing w:after="0" w:line="227" w:lineRule="auto"/>
        <w:rPr>
          <w:sz w:val="20"/>
          <w:szCs w:val="20"/>
          <w:color w:val="auto"/>
        </w:rPr>
      </w:pPr>
      <w:r>
        <w:rPr>
          <w:rFonts w:ascii="Arial" w:cs="Arial" w:eastAsia="Arial" w:hAnsi="Arial"/>
          <w:sz w:val="20"/>
          <w:szCs w:val="20"/>
          <w:color w:val="FF0000"/>
          <w:strike w:val="1"/>
        </w:rPr>
        <w:t>such time contain (as a result of amendment or as originally executed) a benchmark rate other than LIBOR for such Designated Foreign Currency; and</w:t>
      </w:r>
    </w:p>
    <w:p>
      <w:pPr>
        <w:spacing w:after="0" w:line="156" w:lineRule="exact"/>
        <w:rPr>
          <w:sz w:val="20"/>
          <w:szCs w:val="20"/>
          <w:color w:val="auto"/>
        </w:rPr>
      </w:pPr>
    </w:p>
    <w:p>
      <w:pPr>
        <w:ind w:left="1960" w:right="200" w:firstLine="1288"/>
        <w:spacing w:after="0" w:line="227" w:lineRule="auto"/>
        <w:tabs>
          <w:tab w:leader="none" w:pos="3684" w:val="left"/>
        </w:tabs>
        <w:numPr>
          <w:ilvl w:val="0"/>
          <w:numId w:val="192"/>
        </w:numPr>
        <w:rPr>
          <w:rFonts w:ascii="Arial" w:cs="Arial" w:eastAsia="Arial" w:hAnsi="Arial"/>
          <w:sz w:val="20"/>
          <w:szCs w:val="20"/>
          <w:color w:val="FF0000"/>
          <w:strike w:val="1"/>
        </w:rPr>
      </w:pPr>
      <w:r>
        <w:rPr>
          <w:rFonts w:ascii="Arial" w:cs="Arial" w:eastAsia="Arial" w:hAnsi="Arial"/>
          <w:sz w:val="20"/>
          <w:szCs w:val="20"/>
          <w:color w:val="FF0000"/>
          <w:strike w:val="1"/>
        </w:rPr>
        <w:t>the joint election by the Administrative Agent and the Company to trigger a fallback from LIBOR to such benchmark rate and the provision by the Administrative Agent of written notice of such election to the Lenders.</w:t>
      </w:r>
    </w:p>
    <w:p>
      <w:pPr>
        <w:spacing w:after="0" w:line="157" w:lineRule="exact"/>
        <w:rPr>
          <w:sz w:val="20"/>
          <w:szCs w:val="20"/>
          <w:color w:val="auto"/>
        </w:rPr>
      </w:pPr>
    </w:p>
    <w:p>
      <w:pPr>
        <w:ind w:right="4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each Relevant Rate.</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i w:val="1"/>
          <w:iCs w:val="1"/>
          <w:color w:val="FF0000"/>
          <w:strike w:val="1"/>
        </w:rPr>
        <w:t>ISDA Definitions</w:t>
      </w:r>
      <w:r>
        <w:rPr>
          <w:rFonts w:ascii="Arial" w:cs="Arial" w:eastAsia="Arial" w:hAnsi="Arial"/>
          <w:sz w:val="16"/>
          <w:szCs w:val="16"/>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from time to time by the International Swaps and Derivatives Association, Inc. or such successor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LIBOR</w:t>
      </w:r>
      <w:r>
        <w:rPr>
          <w:rFonts w:ascii="Arial" w:cs="Arial" w:eastAsia="Arial" w:hAnsi="Arial"/>
          <w:sz w:val="20"/>
          <w:szCs w:val="20"/>
          <w:color w:val="FF0000"/>
          <w:strike w:val="1"/>
        </w:rPr>
        <w:t>” means the London interbank offered rate for U.S. Dollars or any other Designated Foreign Currency.</w:t>
      </w:r>
    </w:p>
    <w:p>
      <w:pPr>
        <w:spacing w:after="0" w:line="175" w:lineRule="exact"/>
        <w:rPr>
          <w:sz w:val="20"/>
          <w:szCs w:val="20"/>
          <w:color w:val="auto"/>
        </w:rPr>
      </w:pPr>
    </w:p>
    <w:p>
      <w:pPr>
        <w:ind w:right="440"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Reference Time</w:t>
      </w:r>
      <w:r>
        <w:rPr>
          <w:rFonts w:ascii="Arial" w:cs="Arial" w:eastAsia="Arial" w:hAnsi="Arial"/>
          <w:sz w:val="20"/>
          <w:szCs w:val="20"/>
          <w:color w:val="FF0000"/>
          <w:strike w:val="1"/>
        </w:rPr>
        <w:t xml:space="preserve">” means, with respect to any setting of the then-current Benchmark, the time determined </w:t>
      </w:r>
      <w:r>
        <w:rPr>
          <w:rFonts w:ascii="Arial" w:cs="Arial" w:eastAsia="Arial" w:hAnsi="Arial"/>
          <w:sz w:val="20"/>
          <w:szCs w:val="20"/>
          <w:color w:val="008000"/>
          <w:strike w:val="1"/>
        </w:rPr>
        <w:t>by the Administrative</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Agent in its reasonable discretion</w:t>
      </w:r>
      <w:r>
        <w:rPr>
          <w:rFonts w:ascii="Arial" w:cs="Arial" w:eastAsia="Arial" w:hAnsi="Arial"/>
          <w:sz w:val="20"/>
          <w:szCs w:val="20"/>
          <w:color w:val="FF0000"/>
          <w:strike w:val="1"/>
        </w:rPr>
        <w:t>.</w:t>
      </w:r>
    </w:p>
    <w:p>
      <w:pPr>
        <w:spacing w:after="0" w:line="169" w:lineRule="exact"/>
        <w:rPr>
          <w:sz w:val="20"/>
          <w:szCs w:val="20"/>
          <w:color w:val="auto"/>
        </w:rPr>
      </w:pPr>
    </w:p>
    <w:p>
      <w:pPr>
        <w:ind w:right="20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Relevant Governmental Body</w:t>
      </w:r>
      <w:r>
        <w:rPr>
          <w:rFonts w:ascii="Arial" w:cs="Arial" w:eastAsia="Arial" w:hAnsi="Arial"/>
          <w:sz w:val="18"/>
          <w:szCs w:val="18"/>
          <w:color w:val="auto"/>
        </w:rPr>
        <w:t xml:space="preserve">” means (i) with respect to a Benchmark Replacement in respect of Loans denominated in </w:t>
      </w:r>
      <w:r>
        <w:rPr>
          <w:rFonts w:ascii="Arial" w:cs="Arial" w:eastAsia="Arial" w:hAnsi="Arial"/>
          <w:sz w:val="18"/>
          <w:szCs w:val="18"/>
          <w:color w:val="FF0000"/>
          <w:strike w:val="1"/>
        </w:rPr>
        <w:t>U.S.</w:t>
      </w:r>
      <w:r>
        <w:rPr>
          <w:rFonts w:ascii="Arial" w:cs="Arial" w:eastAsia="Arial" w:hAnsi="Arial"/>
          <w:sz w:val="18"/>
          <w:szCs w:val="18"/>
          <w:color w:val="auto"/>
        </w:rPr>
        <w:t xml:space="preserve"> Dollars, the </w:t>
      </w:r>
      <w:r>
        <w:rPr>
          <w:rFonts w:ascii="Arial" w:cs="Arial" w:eastAsia="Arial" w:hAnsi="Arial"/>
          <w:sz w:val="18"/>
          <w:szCs w:val="18"/>
          <w:color w:val="FF0000"/>
          <w:strike w:val="1"/>
        </w:rPr>
        <w:t>Federal Reserve</w:t>
      </w:r>
      <w:r>
        <w:rPr>
          <w:rFonts w:ascii="Arial" w:cs="Arial" w:eastAsia="Arial" w:hAnsi="Arial"/>
          <w:sz w:val="18"/>
          <w:szCs w:val="18"/>
          <w:color w:val="auto"/>
        </w:rPr>
        <w:t xml:space="preserve"> Board and/or the </w:t>
      </w:r>
      <w:r>
        <w:rPr>
          <w:rFonts w:ascii="Arial" w:cs="Arial" w:eastAsia="Arial" w:hAnsi="Arial"/>
          <w:sz w:val="18"/>
          <w:szCs w:val="18"/>
          <w:color w:val="FF0000"/>
          <w:strike w:val="1"/>
        </w:rPr>
        <w:t>NYFRB</w:t>
      </w:r>
      <w:r>
        <w:rPr>
          <w:rFonts w:ascii="Arial" w:cs="Arial" w:eastAsia="Arial" w:hAnsi="Arial"/>
          <w:sz w:val="18"/>
          <w:szCs w:val="18"/>
          <w:u w:val="single" w:color="auto"/>
          <w:color w:val="0000FF"/>
        </w:rPr>
        <w:t>Federal Reserve Bank of New York</w:t>
      </w:r>
      <w:r>
        <w:rPr>
          <w:rFonts w:ascii="Arial" w:cs="Arial" w:eastAsia="Arial" w:hAnsi="Arial"/>
          <w:sz w:val="18"/>
          <w:szCs w:val="18"/>
          <w:color w:val="auto"/>
        </w:rPr>
        <w:t>, or a committee officially endorsed or convened</w:t>
      </w:r>
    </w:p>
    <w:p>
      <w:pPr>
        <w:ind w:right="80"/>
        <w:spacing w:after="0" w:line="255" w:lineRule="auto"/>
        <w:rPr>
          <w:sz w:val="20"/>
          <w:szCs w:val="20"/>
          <w:color w:val="auto"/>
        </w:rPr>
      </w:pPr>
      <w:r>
        <w:rPr>
          <w:rFonts w:ascii="Arial" w:cs="Arial" w:eastAsia="Arial" w:hAnsi="Arial"/>
          <w:sz w:val="16"/>
          <w:szCs w:val="16"/>
          <w:color w:val="auto"/>
        </w:rPr>
        <w:t xml:space="preserve">by the </w:t>
      </w:r>
      <w:r>
        <w:rPr>
          <w:rFonts w:ascii="Arial" w:cs="Arial" w:eastAsia="Arial" w:hAnsi="Arial"/>
          <w:sz w:val="16"/>
          <w:szCs w:val="16"/>
          <w:color w:val="FF0000"/>
          <w:strike w:val="1"/>
        </w:rPr>
        <w:t>Federal Reserve</w:t>
      </w:r>
      <w:r>
        <w:rPr>
          <w:rFonts w:ascii="Arial" w:cs="Arial" w:eastAsia="Arial" w:hAnsi="Arial"/>
          <w:sz w:val="16"/>
          <w:szCs w:val="16"/>
          <w:color w:val="auto"/>
        </w:rPr>
        <w:t xml:space="preserve"> Board and/or the </w:t>
      </w:r>
      <w:r>
        <w:rPr>
          <w:rFonts w:ascii="Arial" w:cs="Arial" w:eastAsia="Arial" w:hAnsi="Arial"/>
          <w:sz w:val="16"/>
          <w:szCs w:val="16"/>
          <w:color w:val="FF0000"/>
          <w:strike w:val="1"/>
        </w:rPr>
        <w:t>NYFRB</w:t>
      </w:r>
      <w:r>
        <w:rPr>
          <w:rFonts w:ascii="Arial" w:cs="Arial" w:eastAsia="Arial" w:hAnsi="Arial"/>
          <w:sz w:val="16"/>
          <w:szCs w:val="16"/>
          <w:u w:val="single" w:color="auto"/>
          <w:color w:val="0000FF"/>
        </w:rPr>
        <w:t>Federal Reserve Bank of New York</w:t>
      </w:r>
      <w:r>
        <w:rPr>
          <w:rFonts w:ascii="Arial" w:cs="Arial" w:eastAsia="Arial" w:hAnsi="Arial"/>
          <w:sz w:val="16"/>
          <w:szCs w:val="16"/>
          <w:color w:val="auto"/>
        </w:rPr>
        <w:t xml:space="preserve"> or, in each case, any successor thereto, (ii) with respect to a Benchmark Replacement in respect of Loans denominated in Sterling, the Bank of England, or a committee officially endorsed or</w:t>
      </w:r>
    </w:p>
    <w:p>
      <w:pPr>
        <w:spacing w:after="0" w:line="235" w:lineRule="auto"/>
        <w:rPr>
          <w:sz w:val="20"/>
          <w:szCs w:val="20"/>
          <w:color w:val="auto"/>
        </w:rPr>
      </w:pPr>
      <w:r>
        <w:rPr>
          <w:rFonts w:ascii="Arial" w:cs="Arial" w:eastAsia="Arial" w:hAnsi="Arial"/>
          <w:sz w:val="18"/>
          <w:szCs w:val="18"/>
          <w:color w:val="auto"/>
        </w:rPr>
        <w:t>convened by the Bank of England or, in each case, any successor thereto, (iii) with respect to a Benchmark Replacement in respect of Loans</w:t>
      </w:r>
    </w:p>
    <w:p>
      <w:pPr>
        <w:ind w:right="80"/>
        <w:spacing w:after="0" w:line="255" w:lineRule="auto"/>
        <w:rPr>
          <w:sz w:val="20"/>
          <w:szCs w:val="20"/>
          <w:color w:val="auto"/>
        </w:rPr>
      </w:pPr>
      <w:r>
        <w:rPr>
          <w:rFonts w:ascii="Arial" w:cs="Arial" w:eastAsia="Arial" w:hAnsi="Arial"/>
          <w:sz w:val="16"/>
          <w:szCs w:val="16"/>
          <w:color w:val="auto"/>
        </w:rPr>
        <w:t>denominated in Euros, the European Central Bank, or a committee officially endorsed or convened by the European Central Bank or, in each case, any successor thereto, (iv) with respect to a Benchmark Replacement in respect of Loans denominated in Swiss Francs, the Swiss</w:t>
      </w:r>
    </w:p>
    <w:p>
      <w:pPr>
        <w:spacing w:after="0" w:line="235" w:lineRule="auto"/>
        <w:rPr>
          <w:sz w:val="20"/>
          <w:szCs w:val="20"/>
          <w:color w:val="auto"/>
        </w:rPr>
      </w:pPr>
      <w:r>
        <w:rPr>
          <w:rFonts w:ascii="Arial" w:cs="Arial" w:eastAsia="Arial" w:hAnsi="Arial"/>
          <w:sz w:val="18"/>
          <w:szCs w:val="18"/>
          <w:color w:val="auto"/>
        </w:rPr>
        <w:t>National Bank, or a committee officially endorsed or convened by the Swiss National Bank or, in each case, any successor thereto, (v) with</w:t>
      </w:r>
    </w:p>
    <w:p>
      <w:pPr>
        <w:spacing w:after="0" w:line="255" w:lineRule="auto"/>
        <w:rPr>
          <w:sz w:val="20"/>
          <w:szCs w:val="20"/>
          <w:color w:val="auto"/>
        </w:rPr>
      </w:pPr>
      <w:r>
        <w:rPr>
          <w:rFonts w:ascii="Arial" w:cs="Arial" w:eastAsia="Arial" w:hAnsi="Arial"/>
          <w:sz w:val="16"/>
          <w:szCs w:val="16"/>
          <w:color w:val="auto"/>
        </w:rPr>
        <w:t>respect to a Benchmark Replacement in respect of Loans denominated in Yen, the Bank of Japan, or a committee officially endorsed or convened by the Bank of Japan or, in each case, any successor thereto, and (vi) with respect to a Benchmark Replacement in respect of Loans</w:t>
      </w:r>
    </w:p>
    <w:p>
      <w:pPr>
        <w:spacing w:after="0" w:line="235" w:lineRule="auto"/>
        <w:rPr>
          <w:sz w:val="20"/>
          <w:szCs w:val="20"/>
          <w:color w:val="auto"/>
        </w:rPr>
      </w:pPr>
      <w:r>
        <w:rPr>
          <w:rFonts w:ascii="Arial" w:cs="Arial" w:eastAsia="Arial" w:hAnsi="Arial"/>
          <w:sz w:val="18"/>
          <w:szCs w:val="18"/>
          <w:color w:val="auto"/>
        </w:rPr>
        <w:t>denominated in any other Designated Foreign Currency, (a) the central bank for the currency in which such Benchmark Replacement is</w:t>
      </w:r>
    </w:p>
    <w:p>
      <w:pPr>
        <w:ind w:right="140"/>
        <w:spacing w:after="0" w:line="226" w:lineRule="auto"/>
        <w:rPr>
          <w:sz w:val="20"/>
          <w:szCs w:val="20"/>
          <w:color w:val="auto"/>
        </w:rPr>
      </w:pPr>
      <w:r>
        <w:rPr>
          <w:rFonts w:ascii="Arial" w:cs="Arial" w:eastAsia="Arial" w:hAnsi="Arial"/>
          <w:sz w:val="18"/>
          <w:szCs w:val="18"/>
          <w:color w:val="auto"/>
        </w:rPr>
        <w:t>denominated or any central bank or other supervisor which is responsible for supervising either (1) such Benchmark Replacement or (2) the administrator of such Benchmark Replacement or (b) any working group or committee officially endorsed or convened by (1) the central</w:t>
      </w:r>
    </w:p>
    <w:p>
      <w:pPr>
        <w:spacing w:after="0" w:line="236" w:lineRule="auto"/>
        <w:rPr>
          <w:sz w:val="20"/>
          <w:szCs w:val="20"/>
          <w:color w:val="auto"/>
        </w:rPr>
      </w:pPr>
      <w:r>
        <w:rPr>
          <w:rFonts w:ascii="Arial" w:cs="Arial" w:eastAsia="Arial" w:hAnsi="Arial"/>
          <w:sz w:val="18"/>
          <w:szCs w:val="18"/>
          <w:color w:val="auto"/>
        </w:rPr>
        <w:t>bank for the currency in which such Benchmark Replacement is denominated, (2) any central bank or other supervisor that is responsible for</w:t>
      </w:r>
    </w:p>
    <w:p>
      <w:pPr>
        <w:spacing w:after="0" w:line="1"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color w:val="auto"/>
        </w:rPr>
        <w:t>supervising either (A) such Benchmark Replacement or (B) the administrator of such Benchmark Replacement, (3) a group of those central banks or other supervisors or (4) the Financial Stability Board or any part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Rate</w:t>
      </w:r>
      <w:r>
        <w:rPr>
          <w:rFonts w:ascii="Arial" w:cs="Arial" w:eastAsia="Arial" w:hAnsi="Arial"/>
          <w:sz w:val="20"/>
          <w:szCs w:val="20"/>
          <w:color w:val="auto"/>
        </w:rPr>
        <w:t xml:space="preserve">” means (i) with respect to any </w:t>
      </w:r>
      <w:r>
        <w:rPr>
          <w:rFonts w:ascii="Arial" w:cs="Arial" w:eastAsia="Arial" w:hAnsi="Arial"/>
          <w:sz w:val="20"/>
          <w:szCs w:val="20"/>
          <w:color w:val="FF0000"/>
          <w:strike w:val="1"/>
        </w:rPr>
        <w:t>Eurodollar</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Borrowing </w:t>
      </w:r>
      <w:r>
        <w:rPr>
          <w:rFonts w:ascii="Arial" w:cs="Arial" w:eastAsia="Arial" w:hAnsi="Arial"/>
          <w:sz w:val="20"/>
          <w:szCs w:val="20"/>
          <w:color w:val="FF0000"/>
          <w:strike w:val="1"/>
        </w:rPr>
        <w:t>denominated in U.S. Dollars, USD LIBOR</w:t>
      </w:r>
      <w:r>
        <w:rPr>
          <w:rFonts w:ascii="Arial" w:cs="Arial" w:eastAsia="Arial" w:hAnsi="Arial"/>
          <w:sz w:val="20"/>
          <w:szCs w:val="20"/>
          <w:u w:val="single" w:color="auto"/>
          <w:color w:val="0000FF"/>
        </w:rPr>
        <w:t>,</w:t>
      </w:r>
    </w:p>
    <w:p>
      <w:pPr>
        <w:ind w:right="60"/>
        <w:spacing w:after="0" w:line="226" w:lineRule="auto"/>
        <w:rPr>
          <w:sz w:val="20"/>
          <w:szCs w:val="20"/>
          <w:color w:val="auto"/>
        </w:rPr>
      </w:pPr>
      <w:r>
        <w:rPr>
          <w:rFonts w:ascii="Arial" w:cs="Arial" w:eastAsia="Arial" w:hAnsi="Arial"/>
          <w:sz w:val="18"/>
          <w:szCs w:val="18"/>
          <w:u w:val="single" w:color="auto"/>
          <w:color w:val="0000FF"/>
        </w:rPr>
        <w:t>Adjusted Term SOFR</w:t>
      </w:r>
      <w:r>
        <w:rPr>
          <w:rFonts w:ascii="Arial" w:cs="Arial" w:eastAsia="Arial" w:hAnsi="Arial"/>
          <w:sz w:val="18"/>
          <w:szCs w:val="18"/>
          <w:color w:val="000000"/>
        </w:rPr>
        <w:t>, (ii) with respect to any Foreign Currency Borrowing denominated in Canadian Dollars, the CDOR Rate, and (iii) with</w:t>
      </w:r>
      <w:r>
        <w:rPr>
          <w:rFonts w:ascii="Arial" w:cs="Arial" w:eastAsia="Arial" w:hAnsi="Arial"/>
          <w:sz w:val="18"/>
          <w:szCs w:val="18"/>
          <w:color w:val="0000FF"/>
        </w:rPr>
        <w:t xml:space="preserve"> </w:t>
      </w:r>
      <w:r>
        <w:rPr>
          <w:rFonts w:ascii="Arial" w:cs="Arial" w:eastAsia="Arial" w:hAnsi="Arial"/>
          <w:sz w:val="18"/>
          <w:szCs w:val="18"/>
          <w:color w:val="000000"/>
        </w:rPr>
        <w:t>respect to any Foreign Currency Borrowing denominated in a Designated Foreign Currency other than Canadian Dollars, the applicable 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described in the definition of Adjusted Foreign Currency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66</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95" w:name="page196"/>
    <w:bookmarkEnd w:id="195"/>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SOFR</w:t>
      </w:r>
      <w:r>
        <w:rPr>
          <w:rFonts w:ascii="Arial" w:cs="Arial" w:eastAsia="Arial" w:hAnsi="Arial"/>
          <w:sz w:val="20"/>
          <w:szCs w:val="20"/>
          <w:color w:val="FF0000"/>
          <w:strike w:val="1"/>
        </w:rPr>
        <w:t>” means, for any Business Day, a rate per annum equal to the secured overnight financing rate for such Business Day</w:t>
      </w:r>
    </w:p>
    <w:p>
      <w:pPr>
        <w:spacing w:after="0" w:line="226" w:lineRule="auto"/>
        <w:rPr>
          <w:sz w:val="20"/>
          <w:szCs w:val="20"/>
          <w:color w:val="auto"/>
        </w:rPr>
      </w:pPr>
      <w:r>
        <w:rPr>
          <w:rFonts w:ascii="Arial" w:cs="Arial" w:eastAsia="Arial" w:hAnsi="Arial"/>
          <w:sz w:val="18"/>
          <w:szCs w:val="18"/>
          <w:color w:val="FF0000"/>
          <w:strike w:val="1"/>
        </w:rPr>
        <w:t xml:space="preserve">published by </w:t>
      </w:r>
      <w:r>
        <w:rPr>
          <w:rFonts w:ascii="Arial" w:cs="Arial" w:eastAsia="Arial" w:hAnsi="Arial"/>
          <w:sz w:val="18"/>
          <w:szCs w:val="18"/>
          <w:color w:val="008000"/>
          <w:strike w:val="1"/>
        </w:rPr>
        <w:t>the Federal Reserve Bank of New York (or a successor administrator of the secured overnight financing rate)</w:t>
      </w:r>
      <w:r>
        <w:rPr>
          <w:rFonts w:ascii="Arial" w:cs="Arial" w:eastAsia="Arial" w:hAnsi="Arial"/>
          <w:sz w:val="18"/>
          <w:szCs w:val="18"/>
          <w:color w:val="FF0000"/>
          <w:strike w:val="1"/>
        </w:rPr>
        <w:t xml:space="preserve"> on </w:t>
      </w:r>
      <w:r>
        <w:rPr>
          <w:rFonts w:ascii="Arial" w:cs="Arial" w:eastAsia="Arial" w:hAnsi="Arial"/>
          <w:sz w:val="18"/>
          <w:szCs w:val="18"/>
          <w:color w:val="008000"/>
          <w:strike w:val="1"/>
        </w:rPr>
        <w:t>the website of</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the Federal Reserve Bank of New York, currently at http://www.newyorkfed.org</w:t>
      </w:r>
      <w:r>
        <w:rPr>
          <w:rFonts w:ascii="Arial" w:cs="Arial" w:eastAsia="Arial" w:hAnsi="Arial"/>
          <w:sz w:val="18"/>
          <w:szCs w:val="18"/>
          <w:color w:val="FF0000"/>
          <w:strike w:val="1"/>
        </w:rPr>
        <w:t>. (or any successor source for the secured overnight financing</w:t>
      </w:r>
    </w:p>
    <w:p>
      <w:pPr>
        <w:spacing w:after="0" w:line="2" w:lineRule="exact"/>
        <w:rPr>
          <w:sz w:val="20"/>
          <w:szCs w:val="20"/>
          <w:color w:val="auto"/>
        </w:rPr>
      </w:pPr>
    </w:p>
    <w:p>
      <w:pPr>
        <w:ind w:right="680"/>
        <w:spacing w:after="0" w:line="227" w:lineRule="auto"/>
        <w:rPr>
          <w:sz w:val="20"/>
          <w:szCs w:val="20"/>
          <w:color w:val="auto"/>
        </w:rPr>
      </w:pPr>
      <w:r>
        <w:rPr>
          <w:rFonts w:ascii="Arial" w:cs="Arial" w:eastAsia="Arial" w:hAnsi="Arial"/>
          <w:sz w:val="20"/>
          <w:szCs w:val="20"/>
          <w:color w:val="FF0000"/>
          <w:strike w:val="1"/>
        </w:rPr>
        <w:t>rate identified as such by the administrator of the secured overnight financing rate from time to time), on the immediately succeeding Business Day.</w:t>
      </w:r>
    </w:p>
    <w:p>
      <w:pPr>
        <w:spacing w:after="0" w:line="156" w:lineRule="exact"/>
        <w:rPr>
          <w:sz w:val="20"/>
          <w:szCs w:val="20"/>
          <w:color w:val="auto"/>
        </w:rPr>
      </w:pPr>
    </w:p>
    <w:p>
      <w:pPr>
        <w:ind w:right="160"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Term SOFR</w:t>
      </w:r>
      <w:r>
        <w:rPr>
          <w:rFonts w:ascii="Arial" w:cs="Arial" w:eastAsia="Arial" w:hAnsi="Arial"/>
          <w:sz w:val="20"/>
          <w:szCs w:val="20"/>
          <w:color w:val="FF0000"/>
          <w:strike w:val="1"/>
        </w:rPr>
        <w:t xml:space="preserve">” means, for the applicable Corresponding Tenor, </w:t>
      </w:r>
      <w:r>
        <w:rPr>
          <w:rFonts w:ascii="Arial" w:cs="Arial" w:eastAsia="Arial" w:hAnsi="Arial"/>
          <w:sz w:val="20"/>
          <w:szCs w:val="20"/>
          <w:color w:val="008000"/>
          <w:strike w:val="1"/>
        </w:rPr>
        <w:t>the forward-looking term rate based on SOFR</w:t>
      </w:r>
      <w:r>
        <w:rPr>
          <w:rFonts w:ascii="Arial" w:cs="Arial" w:eastAsia="Arial" w:hAnsi="Arial"/>
          <w:sz w:val="20"/>
          <w:szCs w:val="20"/>
          <w:color w:val="FF0000"/>
          <w:strike w:val="1"/>
        </w:rPr>
        <w:t xml:space="preserve"> that has been selected or recommended by the Relevant Governmental Body.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USD LIBOR</w:t>
      </w:r>
      <w:r>
        <w:rPr>
          <w:rFonts w:ascii="Arial" w:cs="Arial" w:eastAsia="Arial" w:hAnsi="Arial"/>
          <w:sz w:val="20"/>
          <w:szCs w:val="20"/>
          <w:color w:val="FF0000"/>
          <w:strike w:val="1"/>
        </w:rPr>
        <w:t>” means the London interbank offered rate for U.S. Dollars.</w:t>
      </w:r>
    </w:p>
    <w:p>
      <w:pPr>
        <w:spacing w:after="0" w:line="175" w:lineRule="exact"/>
        <w:rPr>
          <w:sz w:val="20"/>
          <w:szCs w:val="20"/>
          <w:color w:val="auto"/>
        </w:rPr>
      </w:pPr>
    </w:p>
    <w:p>
      <w:pPr>
        <w:ind w:right="9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III</w:t>
      </w:r>
    </w:p>
    <w:p>
      <w:pPr>
        <w:spacing w:after="0" w:line="148"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REPRESENTATIONS AND WARRANTIES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Borrower represents and warrants to the Lenders that:</w:t>
      </w:r>
    </w:p>
    <w:p>
      <w:pPr>
        <w:spacing w:after="0" w:line="189" w:lineRule="exact"/>
        <w:rPr>
          <w:sz w:val="20"/>
          <w:szCs w:val="20"/>
          <w:color w:val="auto"/>
        </w:rPr>
      </w:pPr>
    </w:p>
    <w:p>
      <w:pPr>
        <w:ind w:right="520" w:firstLine="648"/>
        <w:spacing w:after="0" w:line="23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The Company and each Subsidiary is duly organized, incorporated or established, validly existing and in good standing (if applicable or, if applicable in a foreign jurisdiction, enjoys the equivalent status under the laws of any</w:t>
      </w:r>
    </w:p>
    <w:p>
      <w:pPr>
        <w:spacing w:after="0" w:line="222" w:lineRule="auto"/>
        <w:rPr>
          <w:sz w:val="20"/>
          <w:szCs w:val="20"/>
          <w:color w:val="auto"/>
        </w:rPr>
      </w:pPr>
      <w:r>
        <w:rPr>
          <w:rFonts w:ascii="Arial" w:cs="Arial" w:eastAsia="Arial" w:hAnsi="Arial"/>
          <w:sz w:val="19"/>
          <w:szCs w:val="19"/>
          <w:color w:val="auto"/>
        </w:rPr>
        <w:t>jurisdiction of organization outside the United States) under the laws of the jurisdiction of its incorporation, establishment, formation or</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organization, has all requisite power and authority to carry on its business as now conducted and, except where the failure to do so, individually or in the aggregate, could not reasonably be expected to result in a Material Adverse Effect, is qualified to do business in, and 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good standing in, every jurisdiction where such qualification is required.</w:t>
      </w:r>
    </w:p>
    <w:p>
      <w:pPr>
        <w:spacing w:after="0" w:line="159"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each Loan Party’s corporate, partnership, limited liability company or other organizational powers and have been duly authorized by all necessary corporate, partnership, limited liability company or</w:t>
      </w:r>
    </w:p>
    <w:p>
      <w:pPr>
        <w:ind w:right="200"/>
        <w:spacing w:after="0" w:line="255" w:lineRule="auto"/>
        <w:rPr>
          <w:sz w:val="20"/>
          <w:szCs w:val="20"/>
          <w:color w:val="auto"/>
        </w:rPr>
      </w:pPr>
      <w:r>
        <w:rPr>
          <w:rFonts w:ascii="Arial" w:cs="Arial" w:eastAsia="Arial" w:hAnsi="Arial"/>
          <w:sz w:val="16"/>
          <w:szCs w:val="16"/>
          <w:color w:val="auto"/>
        </w:rPr>
        <w:t>other organizational action. Each of this Agreement and the other Loan Documents to which a Loan Party is a party has been duly executed and delivered by such Loan Party and constitutes a legal, valid and binding obligation of such Loan Party, enforceable against such Loan</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Transactions (a) do not require any consent or approval of, registration or filing with, or any other action by, any Governmental Authority, except such as have been obtained or made and are in full force and effect,</w:t>
      </w:r>
    </w:p>
    <w:p>
      <w:pPr>
        <w:ind w:right="60" w:firstLine="8"/>
        <w:spacing w:after="0" w:line="223" w:lineRule="auto"/>
        <w:tabs>
          <w:tab w:leader="none" w:pos="28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will not violate (i) any applicable law or regulation (except to the extent such violation could not reasonably be expected to result in a Material Adverse Effect) or (ii) the charter, by-laws or other organizational documents of the Company or any of its Subsidiaries or (iii) any material order of any Governmental Authority, (c) will not violate or result in a default under any material indenture, agreement or other instrument binding upon the Company or any of its Subsidiaries or their assets, or give rise to a right thereunder to require any payment to be made by the Company or any of its Subsidiaries and (d) will not result in the creation or imposition of any material Lien on any asset of the Company or any of its Subsidiaries, other than any Permitted Lien.</w:t>
      </w:r>
    </w:p>
    <w:p>
      <w:pPr>
        <w:spacing w:after="0" w:line="170" w:lineRule="exact"/>
        <w:rPr>
          <w:sz w:val="20"/>
          <w:szCs w:val="20"/>
          <w:color w:val="auto"/>
        </w:rPr>
      </w:pPr>
    </w:p>
    <w:p>
      <w:pPr>
        <w:ind w:right="440" w:firstLine="648"/>
        <w:spacing w:after="0" w:line="265"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The Company has heretofore furnished to the Lenders its consolidated balance sheet and statements of income, retained earnings and cash flows (i) as of and for the fiscal year ended October 31,</w:t>
      </w:r>
    </w:p>
    <w:p>
      <w:pPr>
        <w:spacing w:after="0" w:line="236" w:lineRule="auto"/>
        <w:rPr>
          <w:sz w:val="20"/>
          <w:szCs w:val="20"/>
          <w:color w:val="auto"/>
        </w:rPr>
      </w:pPr>
      <w:r>
        <w:rPr>
          <w:rFonts w:ascii="Arial" w:cs="Arial" w:eastAsia="Arial" w:hAnsi="Arial"/>
          <w:sz w:val="18"/>
          <w:szCs w:val="18"/>
          <w:color w:val="auto"/>
        </w:rPr>
        <w:t>2019, audited by KPMG LLP, independent public accountants, and (ii) as of and for the fiscal quarter and the portion of the fiscal year ended</w:t>
      </w:r>
    </w:p>
    <w:p>
      <w:pPr>
        <w:ind w:right="440"/>
        <w:spacing w:after="0" w:line="220" w:lineRule="auto"/>
        <w:rPr>
          <w:sz w:val="20"/>
          <w:szCs w:val="20"/>
          <w:color w:val="auto"/>
        </w:rPr>
      </w:pPr>
      <w:r>
        <w:rPr>
          <w:rFonts w:ascii="Arial" w:cs="Arial" w:eastAsia="Arial" w:hAnsi="Arial"/>
          <w:sz w:val="20"/>
          <w:szCs w:val="20"/>
          <w:color w:val="auto"/>
        </w:rPr>
        <w:t>January 31, 2020, certified by one of its Financial Officers. Such financial statements present fairly, in all material respects, the financial position and results of operations and cash flows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196" w:name="page197"/>
    <w:bookmarkEnd w:id="196"/>
    <w:p>
      <w:pPr>
        <w:ind w:right="680"/>
        <w:spacing w:after="0" w:line="236" w:lineRule="auto"/>
        <w:rPr>
          <w:sz w:val="20"/>
          <w:szCs w:val="20"/>
          <w:color w:val="auto"/>
        </w:rPr>
      </w:pPr>
      <w:r>
        <w:rPr>
          <w:rFonts w:ascii="Arial" w:cs="Arial" w:eastAsia="Arial" w:hAnsi="Arial"/>
          <w:sz w:val="20"/>
          <w:szCs w:val="20"/>
          <w:color w:val="auto"/>
        </w:rPr>
        <w:t>Company and its consolidated Subsidiaries as of such dates and for such periods in accordance with GAAP, subject to year-end audit adjustments and the absence of footnotes in the case of the statements referred to in clause (ii) above.</w:t>
      </w:r>
    </w:p>
    <w:p>
      <w:pPr>
        <w:spacing w:after="0" w:line="155" w:lineRule="exact"/>
        <w:rPr>
          <w:sz w:val="20"/>
          <w:szCs w:val="20"/>
          <w:color w:val="auto"/>
        </w:rPr>
      </w:pPr>
    </w:p>
    <w:p>
      <w:pPr>
        <w:ind w:right="860" w:firstLine="1304"/>
        <w:spacing w:after="0" w:line="236" w:lineRule="auto"/>
        <w:tabs>
          <w:tab w:leader="none" w:pos="1725" w:val="left"/>
        </w:tabs>
        <w:numPr>
          <w:ilvl w:val="0"/>
          <w:numId w:val="194"/>
        </w:numPr>
        <w:rPr>
          <w:rFonts w:ascii="Arial" w:cs="Arial" w:eastAsia="Arial" w:hAnsi="Arial"/>
          <w:sz w:val="20"/>
          <w:szCs w:val="20"/>
          <w:color w:val="auto"/>
        </w:rPr>
      </w:pPr>
      <w:r>
        <w:rPr>
          <w:rFonts w:ascii="Arial" w:cs="Arial" w:eastAsia="Arial" w:hAnsi="Arial"/>
          <w:sz w:val="20"/>
          <w:szCs w:val="20"/>
          <w:color w:val="auto"/>
        </w:rPr>
        <w:t>Since October 31, 2019, no event, development or circumstance has occurred which has resulted in, or could reasonably be expected to result in, a Material Adverse Effect.</w:t>
      </w:r>
    </w:p>
    <w:p>
      <w:pPr>
        <w:spacing w:after="0" w:line="169"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(a) Each of the Company and its Subsidiaries has good title to, or valid leasehold interests in, all its real and personal property material to its business, except for minor defects in title that do not interfere with its ability to conduct its business as</w:t>
      </w:r>
    </w:p>
    <w:p>
      <w:pPr>
        <w:ind w:right="440"/>
        <w:spacing w:after="0" w:line="227" w:lineRule="auto"/>
        <w:rPr>
          <w:sz w:val="20"/>
          <w:szCs w:val="20"/>
          <w:color w:val="auto"/>
        </w:rPr>
      </w:pPr>
      <w:r>
        <w:rPr>
          <w:rFonts w:ascii="Arial" w:cs="Arial" w:eastAsia="Arial" w:hAnsi="Arial"/>
          <w:sz w:val="20"/>
          <w:szCs w:val="20"/>
          <w:color w:val="auto"/>
        </w:rPr>
        <w:t>currently conducted or to utilize such properties for their intended purposes or except where the failure to do so could not reasonably be expected to have a Material Adverse Effect.</w:t>
      </w:r>
    </w:p>
    <w:p>
      <w:pPr>
        <w:spacing w:after="0" w:line="156" w:lineRule="exact"/>
        <w:rPr>
          <w:sz w:val="20"/>
          <w:szCs w:val="20"/>
          <w:color w:val="auto"/>
        </w:rPr>
      </w:pPr>
    </w:p>
    <w:p>
      <w:pPr>
        <w:jc w:val="both"/>
        <w:ind w:firstLine="1304"/>
        <w:spacing w:after="0" w:line="220" w:lineRule="auto"/>
        <w:tabs>
          <w:tab w:leader="none" w:pos="1725" w:val="left"/>
        </w:tabs>
        <w:numPr>
          <w:ilvl w:val="0"/>
          <w:numId w:val="195"/>
        </w:numPr>
        <w:rPr>
          <w:rFonts w:ascii="Arial" w:cs="Arial" w:eastAsia="Arial" w:hAnsi="Arial"/>
          <w:sz w:val="20"/>
          <w:szCs w:val="20"/>
          <w:color w:val="auto"/>
        </w:rPr>
      </w:pPr>
      <w:r>
        <w:rPr>
          <w:rFonts w:ascii="Arial" w:cs="Arial" w:eastAsia="Arial" w:hAnsi="Arial"/>
          <w:sz w:val="20"/>
          <w:szCs w:val="20"/>
          <w:color w:val="auto"/>
        </w:rPr>
        <w:t>Each of the Company and its Subsidiaries owns, or is licensed to use, all trademarks, tradenames, copyrights, patents and other intellectual property material to its business, and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 (a) There are no actions, suits or proceedings by or before any arbitrator or</w:t>
      </w:r>
    </w:p>
    <w:p>
      <w:pPr>
        <w:ind w:right="160"/>
        <w:spacing w:after="0" w:line="255" w:lineRule="auto"/>
        <w:rPr>
          <w:sz w:val="20"/>
          <w:szCs w:val="20"/>
          <w:color w:val="auto"/>
        </w:rPr>
      </w:pPr>
      <w:r>
        <w:rPr>
          <w:rFonts w:ascii="Arial" w:cs="Arial" w:eastAsia="Arial" w:hAnsi="Arial"/>
          <w:sz w:val="16"/>
          <w:szCs w:val="16"/>
          <w:color w:val="auto"/>
        </w:rPr>
        <w:t>Governmental Authority pending against or, to the knowledge of the Borrowers, threatened against or affecting the Company or any of its Subsidiaries (i) as to which there is a reasonable possibility of an adverse determination and that, if adversely determined, could reasonably</w:t>
      </w:r>
    </w:p>
    <w:p>
      <w:pPr>
        <w:spacing w:after="0" w:line="1"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be expected, individually or in the aggregate, to result in a Material Adverse Effect (other than the Disclosed Matters) or (ii) that involve this Agreement, the other Loan Documents or the Transactions.</w:t>
      </w:r>
    </w:p>
    <w:p>
      <w:pPr>
        <w:spacing w:after="0" w:line="156" w:lineRule="exact"/>
        <w:rPr>
          <w:sz w:val="20"/>
          <w:szCs w:val="20"/>
          <w:color w:val="auto"/>
        </w:rPr>
      </w:pPr>
    </w:p>
    <w:p>
      <w:pPr>
        <w:ind w:right="20" w:firstLine="1304"/>
        <w:spacing w:after="0" w:line="218" w:lineRule="auto"/>
        <w:tabs>
          <w:tab w:leader="none" w:pos="172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Except for the Disclosed Matters and except with respect to any other matters that, individually or in the aggregate, could not reasonably be expected to result in a Material Adverse Effect, neither the Company nor any of its Subsidiaries (i) has become subject to any Environmental Liability, (ii) has received notice of any claim with respect to any Environmental Liability or (iii) knows of any basis upon which the Company or any of its Subsidiaries would reasonably be expected to become subject to any Environmental Liability arising under Environmental Laws as currently in effect.</w:t>
      </w:r>
    </w:p>
    <w:p>
      <w:pPr>
        <w:spacing w:after="0" w:line="157" w:lineRule="exact"/>
        <w:rPr>
          <w:sz w:val="20"/>
          <w:szCs w:val="20"/>
          <w:color w:val="auto"/>
        </w:rPr>
      </w:pPr>
    </w:p>
    <w:p>
      <w:pPr>
        <w:jc w:val="both"/>
        <w:ind w:right="320" w:firstLine="648"/>
        <w:spacing w:after="0" w:line="24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Company and its Subsidiaries is in compliance with all laws, regulations and orders of any Governmental Authority applicable to it or its property (including Environmental Laws) and all indentures,</w:t>
      </w:r>
    </w:p>
    <w:p>
      <w:pPr>
        <w:spacing w:after="0" w:line="220" w:lineRule="auto"/>
        <w:rPr>
          <w:sz w:val="20"/>
          <w:szCs w:val="20"/>
          <w:color w:val="auto"/>
        </w:rPr>
      </w:pPr>
      <w:r>
        <w:rPr>
          <w:rFonts w:ascii="Arial" w:cs="Arial" w:eastAsia="Arial" w:hAnsi="Arial"/>
          <w:sz w:val="20"/>
          <w:szCs w:val="20"/>
          <w:color w:val="auto"/>
        </w:rPr>
        <w:t>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70" w:lineRule="exact"/>
        <w:rPr>
          <w:sz w:val="20"/>
          <w:szCs w:val="20"/>
          <w:color w:val="auto"/>
        </w:rPr>
      </w:pPr>
    </w:p>
    <w:p>
      <w:pPr>
        <w:ind w:right="60" w:firstLine="648"/>
        <w:spacing w:after="0" w:line="236"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Investment Company Status</w:t>
      </w:r>
      <w:r>
        <w:rPr>
          <w:rFonts w:ascii="Arial" w:cs="Arial" w:eastAsia="Arial" w:hAnsi="Arial"/>
          <w:sz w:val="20"/>
          <w:szCs w:val="20"/>
          <w:color w:val="auto"/>
        </w:rPr>
        <w:t>. Neither the Company nor any of its Subsidiaries is an “investment company” as defined in, or subject to regulation under, the Investment Company Act of 1940.</w:t>
      </w:r>
    </w:p>
    <w:p>
      <w:pPr>
        <w:spacing w:after="0" w:line="155" w:lineRule="exact"/>
        <w:rPr>
          <w:sz w:val="20"/>
          <w:szCs w:val="20"/>
          <w:color w:val="auto"/>
        </w:rPr>
      </w:pPr>
    </w:p>
    <w:p>
      <w:pPr>
        <w:ind w:right="160" w:firstLine="648"/>
        <w:spacing w:after="0" w:line="274"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Company and its Subsidiaries has timely filed or caused to be filed all Tax returns and reports required to have been filed by it and has paid or caused to be paid all Taxes required to have been paid by it, except (a) Taxes that are being</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contested in good faith by appropriate proceedings and for which the Company or such Subsidiary, as applicable, has set aside on its books adequate reserves in accordance with GAAP or (b) to the extent that the failure to do so could not reasonably be expected to result in 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Material Adverse Effect.</w:t>
      </w:r>
    </w:p>
    <w:p>
      <w:pPr>
        <w:spacing w:after="0" w:line="173"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235" w:lineRule="auto"/>
        <w:rPr>
          <w:sz w:val="20"/>
          <w:szCs w:val="20"/>
          <w:color w:val="auto"/>
        </w:rPr>
      </w:pPr>
      <w:r>
        <w:rPr>
          <w:rFonts w:ascii="Arial" w:cs="Arial" w:eastAsia="Arial" w:hAnsi="Arial"/>
          <w:sz w:val="18"/>
          <w:szCs w:val="18"/>
          <w:color w:val="auto"/>
        </w:rPr>
        <w:t>The excess of the present value of all accumulated benefit obligations under each Plan (based on the assumptions used for purposes of</w:t>
      </w:r>
    </w:p>
    <w:p>
      <w:pPr>
        <w:ind w:right="20"/>
        <w:spacing w:after="0" w:line="255" w:lineRule="auto"/>
        <w:rPr>
          <w:sz w:val="20"/>
          <w:szCs w:val="20"/>
          <w:color w:val="auto"/>
        </w:rPr>
      </w:pPr>
      <w:r>
        <w:rPr>
          <w:rFonts w:ascii="Arial" w:cs="Arial" w:eastAsia="Arial" w:hAnsi="Arial"/>
          <w:sz w:val="16"/>
          <w:szCs w:val="16"/>
          <w:color w:val="auto"/>
        </w:rPr>
        <w:t>Statement of Financial Accounting Standards No. 87) as of the date of the most recent financial statements reflecting such amounts, over the fair market value of the assets of such Plan could not reasonably be expected to have a Material Adverse Effect, and the excess of the present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value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68</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05" w:right="3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accumulated benefit obligations of all underfunded Plans (based on the assumptions used for purposes of Statement of Financial Accounting</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Standards No. 87) as of the date of the most recent financial statements reflecting such amounts, over the fair market value of the assets of all such underfunded Plans could not reasonably be expected to have a Material Adverse Effect.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3.11</w:t>
      </w:r>
      <w:r>
        <w:rPr>
          <w:sz w:val="20"/>
          <w:szCs w:val="20"/>
          <w:color w:val="auto"/>
        </w:rPr>
        <w:tab/>
      </w:r>
      <w:r>
        <w:rPr>
          <w:rFonts w:ascii="Arial" w:cs="Arial" w:eastAsia="Arial" w:hAnsi="Arial"/>
          <w:sz w:val="16"/>
          <w:szCs w:val="16"/>
          <w:u w:val="single" w:color="auto"/>
          <w:color w:val="auto"/>
        </w:rPr>
        <w:t>Disclosure</w:t>
      </w:r>
      <w:r>
        <w:rPr>
          <w:rFonts w:ascii="Arial" w:cs="Arial" w:eastAsia="Arial" w:hAnsi="Arial"/>
          <w:sz w:val="16"/>
          <w:szCs w:val="16"/>
          <w:color w:val="auto"/>
        </w:rPr>
        <w:t>. The Company has disclosed to the Lenders all agreements, instruments and corporate or other restrictions</w:t>
      </w:r>
    </w:p>
    <w:p>
      <w:pPr>
        <w:ind w:right="220"/>
        <w:spacing w:after="0" w:line="226" w:lineRule="auto"/>
        <w:rPr>
          <w:sz w:val="20"/>
          <w:szCs w:val="20"/>
          <w:color w:val="auto"/>
        </w:rPr>
      </w:pPr>
      <w:r>
        <w:rPr>
          <w:rFonts w:ascii="Arial" w:cs="Arial" w:eastAsia="Arial" w:hAnsi="Arial"/>
          <w:sz w:val="18"/>
          <w:szCs w:val="18"/>
          <w:color w:val="auto"/>
        </w:rPr>
        <w:t>to which it or any of its Subsidiaries is subject, and all other matters known to it, that, individually or in the aggregate, could reasonably be expected to result in a Material Adverse Effect. As of the Closing Date, none of the reports, financial statements, certificates or other</w:t>
      </w:r>
    </w:p>
    <w:p>
      <w:pPr>
        <w:spacing w:after="0" w:line="236" w:lineRule="auto"/>
        <w:rPr>
          <w:sz w:val="20"/>
          <w:szCs w:val="20"/>
          <w:color w:val="auto"/>
        </w:rPr>
      </w:pPr>
      <w:r>
        <w:rPr>
          <w:rFonts w:ascii="Arial" w:cs="Arial" w:eastAsia="Arial" w:hAnsi="Arial"/>
          <w:sz w:val="18"/>
          <w:szCs w:val="18"/>
          <w:color w:val="auto"/>
        </w:rPr>
        <w:t>information furnished by or on behalf of the Borrowers to the Administrative Agent or any Lender in connection with the negotiation of this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Agreement or delivered hereunder (as modified or supplemented by other information so furnished), taken as a whole, contains any material misstatement of fact or omits to state any material fact necessary to make the statements therein, in the light of the circumstances under</w:t>
      </w:r>
    </w:p>
    <w:p>
      <w:pPr>
        <w:spacing w:after="0" w:line="235" w:lineRule="auto"/>
        <w:rPr>
          <w:sz w:val="20"/>
          <w:szCs w:val="20"/>
          <w:color w:val="auto"/>
        </w:rPr>
      </w:pPr>
      <w:r>
        <w:rPr>
          <w:rFonts w:ascii="Arial" w:cs="Arial" w:eastAsia="Arial" w:hAnsi="Arial"/>
          <w:sz w:val="18"/>
          <w:szCs w:val="18"/>
          <w:color w:val="auto"/>
        </w:rPr>
        <w:t xml:space="preserve">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projected financial information prepared by the Borrower or any of its Subsidiaries is</w:t>
      </w:r>
    </w:p>
    <w:p>
      <w:pPr>
        <w:ind w:right="120"/>
        <w:spacing w:after="0" w:line="255" w:lineRule="auto"/>
        <w:rPr>
          <w:sz w:val="20"/>
          <w:szCs w:val="20"/>
          <w:color w:val="auto"/>
        </w:rPr>
      </w:pPr>
      <w:r>
        <w:rPr>
          <w:rFonts w:ascii="Arial" w:cs="Arial" w:eastAsia="Arial" w:hAnsi="Arial"/>
          <w:sz w:val="16"/>
          <w:szCs w:val="16"/>
          <w:color w:val="auto"/>
        </w:rPr>
        <w:t>only represented herein as being based on good faith estimates and assumptions believed by such persons to be reasonable at the time made, it being recognized by the Lenders that such projections as to future events are not to be viewed as facts and that actual results during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period or periods covered by any such projections may differ materially from the projected results.</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6"/>
          <w:szCs w:val="16"/>
          <w:u w:val="single" w:color="auto"/>
          <w:color w:val="auto"/>
        </w:rPr>
        <w:t>Sanctions Laws and Regulations</w:t>
      </w:r>
      <w:r>
        <w:rPr>
          <w:rFonts w:ascii="Arial" w:cs="Arial" w:eastAsia="Arial" w:hAnsi="Arial"/>
          <w:sz w:val="16"/>
          <w:szCs w:val="16"/>
          <w:color w:val="auto"/>
        </w:rPr>
        <w:t>.</w:t>
      </w:r>
    </w:p>
    <w:p>
      <w:pPr>
        <w:spacing w:after="0" w:line="175" w:lineRule="exact"/>
        <w:rPr>
          <w:sz w:val="20"/>
          <w:szCs w:val="20"/>
          <w:color w:val="auto"/>
        </w:rPr>
      </w:pPr>
    </w:p>
    <w:p>
      <w:pPr>
        <w:ind w:right="220" w:firstLine="1304"/>
        <w:spacing w:after="0" w:line="236" w:lineRule="auto"/>
        <w:tabs>
          <w:tab w:leader="none" w:pos="171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None of the Company or its Subsidiaries, or to the best of its knowledge any of its directors, officers, brokers or other agents acting or benefiting in any capacity in connection with this Agreement, is a Designated Person.</w:t>
      </w:r>
    </w:p>
    <w:p>
      <w:pPr>
        <w:spacing w:after="0" w:line="168" w:lineRule="exact"/>
        <w:rPr>
          <w:rFonts w:ascii="Arial" w:cs="Arial" w:eastAsia="Arial" w:hAnsi="Arial"/>
          <w:sz w:val="20"/>
          <w:szCs w:val="20"/>
          <w:color w:val="auto"/>
        </w:rPr>
      </w:pPr>
    </w:p>
    <w:p>
      <w:pPr>
        <w:ind w:right="20" w:firstLine="1304"/>
        <w:spacing w:after="0" w:line="229" w:lineRule="auto"/>
        <w:tabs>
          <w:tab w:leader="none" w:pos="172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No Borrowing or Letter of Credit, use of proceeds or other transaction contemplated by this Agreement will violate any applicable Sanctions Laws or Regulations.</w:t>
      </w:r>
    </w:p>
    <w:p>
      <w:pPr>
        <w:spacing w:after="0" w:line="169" w:lineRule="exact"/>
        <w:rPr>
          <w:sz w:val="20"/>
          <w:szCs w:val="20"/>
          <w:color w:val="auto"/>
        </w:rPr>
      </w:pPr>
    </w:p>
    <w:p>
      <w:pPr>
        <w:ind w:right="260" w:firstLine="648"/>
        <w:spacing w:after="0" w:line="236"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Federal Reserve Board Regulations</w:t>
      </w:r>
      <w:r>
        <w:rPr>
          <w:rFonts w:ascii="Arial" w:cs="Arial" w:eastAsia="Arial" w:hAnsi="Arial"/>
          <w:sz w:val="18"/>
          <w:szCs w:val="18"/>
          <w:color w:val="auto"/>
        </w:rPr>
        <w:t>. None of the Loan Parties is engaged or will engage, principally or as one of its important activities, in the business of extending credit for the purposes of “purchasing” or “carrying” any “Margin Stock” within the</w:t>
      </w:r>
    </w:p>
    <w:p>
      <w:pPr>
        <w:spacing w:after="0" w:line="222" w:lineRule="auto"/>
        <w:rPr>
          <w:sz w:val="20"/>
          <w:szCs w:val="20"/>
          <w:color w:val="auto"/>
        </w:rPr>
      </w:pPr>
      <w:r>
        <w:rPr>
          <w:rFonts w:ascii="Arial" w:cs="Arial" w:eastAsia="Arial" w:hAnsi="Arial"/>
          <w:sz w:val="19"/>
          <w:szCs w:val="19"/>
          <w:color w:val="auto"/>
        </w:rPr>
        <w:t>respective meanings of such terms under Regulations U, T and X of the Board. No part of the proceeds of the Loans will be used for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“purchasing” or “carrying” “Margin Stock” as so defined for any purpose which violates, or which would be inconsistent with, the provisions of, any applicable laws or regulations of any Governmental Authority (including, without limitation, the Regulations of the Board).</w:t>
      </w:r>
    </w:p>
    <w:p>
      <w:pPr>
        <w:spacing w:after="0" w:line="14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3.14</w:t>
      </w:r>
      <w:r>
        <w:rPr>
          <w:sz w:val="20"/>
          <w:szCs w:val="20"/>
          <w:color w:val="auto"/>
        </w:rPr>
        <w:tab/>
      </w:r>
      <w:r>
        <w:rPr>
          <w:rFonts w:ascii="Arial" w:cs="Arial" w:eastAsia="Arial" w:hAnsi="Arial"/>
          <w:sz w:val="18"/>
          <w:szCs w:val="18"/>
          <w:u w:val="single" w:color="auto"/>
          <w:color w:val="auto"/>
        </w:rPr>
        <w:t>Subsidiaries</w:t>
      </w:r>
      <w:r>
        <w:rPr>
          <w:rFonts w:ascii="Arial" w:cs="Arial" w:eastAsia="Arial" w:hAnsi="Arial"/>
          <w:sz w:val="18"/>
          <w:szCs w:val="18"/>
          <w:color w:val="auto"/>
        </w:rPr>
        <w:t>. As of the Closing Date, Schedule 3.14 sets forth the name and jurisdiction of incorporation of each</w:t>
      </w:r>
    </w:p>
    <w:p>
      <w:pPr>
        <w:ind w:right="100"/>
        <w:spacing w:after="0" w:line="220" w:lineRule="auto"/>
        <w:rPr>
          <w:sz w:val="20"/>
          <w:szCs w:val="20"/>
          <w:color w:val="auto"/>
        </w:rPr>
      </w:pPr>
      <w:r>
        <w:rPr>
          <w:rFonts w:ascii="Arial" w:cs="Arial" w:eastAsia="Arial" w:hAnsi="Arial"/>
          <w:sz w:val="20"/>
          <w:szCs w:val="20"/>
          <w:color w:val="auto"/>
        </w:rPr>
        <w:t>Material Subsidiary and, as to each such Material Subsidiary, the percentage of each class of Equity Interests owned by the Company and its other Subsidiaries.</w:t>
      </w:r>
    </w:p>
    <w:p>
      <w:pPr>
        <w:spacing w:after="0" w:line="170" w:lineRule="exact"/>
        <w:rPr>
          <w:sz w:val="20"/>
          <w:szCs w:val="20"/>
          <w:color w:val="auto"/>
        </w:rPr>
      </w:pPr>
    </w:p>
    <w:p>
      <w:pPr>
        <w:ind w:right="360" w:firstLine="648"/>
        <w:spacing w:after="0" w:line="236" w:lineRule="auto"/>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Solvency</w:t>
      </w:r>
      <w:r>
        <w:rPr>
          <w:rFonts w:ascii="Arial" w:cs="Arial" w:eastAsia="Arial" w:hAnsi="Arial"/>
          <w:sz w:val="20"/>
          <w:szCs w:val="20"/>
          <w:color w:val="auto"/>
        </w:rPr>
        <w:t>. As of the Closing Date, the Company and its Subsidiaries, on a consolidated basis, are, and after giving effect to the incurrence of all Loans and Obligations being incurred in connection herewith will be, Solvent.</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IV</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CONDITIONS</w:t>
      </w:r>
    </w:p>
    <w:p>
      <w:pPr>
        <w:spacing w:after="0" w:line="189" w:lineRule="exact"/>
        <w:rPr>
          <w:sz w:val="20"/>
          <w:szCs w:val="20"/>
          <w:color w:val="auto"/>
        </w:rPr>
      </w:pPr>
    </w:p>
    <w:p>
      <w:pPr>
        <w:ind w:right="480" w:firstLine="648"/>
        <w:spacing w:after="0" w:line="23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Closing Date</w:t>
      </w:r>
      <w:r>
        <w:rPr>
          <w:rFonts w:ascii="Arial" w:cs="Arial" w:eastAsia="Arial" w:hAnsi="Arial"/>
          <w:sz w:val="18"/>
          <w:szCs w:val="18"/>
          <w:color w:val="auto"/>
        </w:rPr>
        <w:t>. The obligations of the Lenders to make Loans and of the Issuing Bank to issue Letters of Credit hereunder shall not become effective until the date on which each of the following conditions is satisfied (or waived in accordance with</w:t>
      </w:r>
    </w:p>
    <w:p>
      <w:pPr>
        <w:spacing w:after="0"/>
        <w:rPr>
          <w:sz w:val="20"/>
          <w:szCs w:val="20"/>
          <w:color w:val="auto"/>
        </w:rPr>
      </w:pPr>
      <w:r>
        <w:rPr>
          <w:rFonts w:ascii="Arial" w:cs="Arial" w:eastAsia="Arial" w:hAnsi="Arial"/>
          <w:sz w:val="20"/>
          <w:szCs w:val="20"/>
          <w:color w:val="auto"/>
        </w:rPr>
        <w:t>Section 10.02):</w:t>
      </w:r>
    </w:p>
    <w:p>
      <w:pPr>
        <w:spacing w:after="0" w:line="173" w:lineRule="exact"/>
        <w:rPr>
          <w:sz w:val="20"/>
          <w:szCs w:val="20"/>
          <w:color w:val="auto"/>
        </w:rPr>
      </w:pPr>
    </w:p>
    <w:p>
      <w:pPr>
        <w:ind w:right="180" w:firstLine="1304"/>
        <w:spacing w:after="0" w:line="298" w:lineRule="auto"/>
        <w:tabs>
          <w:tab w:leader="none" w:pos="171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each party thereto either (i) a counterpart of this Agreement, the Subsidiary Guaranty, the Closing Fee Letter and Notes in favor of each Lender requesting a Note at least three (3) Business Days prior to the Closing Date signed on behalf of such party or (ii) written evidence satisfactory to the Administrative Agent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98" w:name="page199"/>
    <w:bookmarkEnd w:id="198"/>
    <w:p>
      <w:pPr>
        <w:ind w:right="620"/>
        <w:spacing w:after="0" w:line="236" w:lineRule="auto"/>
        <w:rPr>
          <w:sz w:val="20"/>
          <w:szCs w:val="20"/>
          <w:color w:val="auto"/>
        </w:rPr>
      </w:pPr>
      <w:r>
        <w:rPr>
          <w:rFonts w:ascii="Arial" w:cs="Arial" w:eastAsia="Arial" w:hAnsi="Arial"/>
          <w:sz w:val="20"/>
          <w:szCs w:val="20"/>
          <w:color w:val="auto"/>
        </w:rPr>
        <w:t>may include telecopy transmission of a signed signature page of this Agreement or such Loan Document) that such party has signed a counterpart of this Agreement or such Loan Document.</w:t>
      </w:r>
    </w:p>
    <w:p>
      <w:pPr>
        <w:spacing w:after="0" w:line="155" w:lineRule="exact"/>
        <w:rPr>
          <w:sz w:val="20"/>
          <w:szCs w:val="20"/>
          <w:color w:val="auto"/>
        </w:rPr>
      </w:pPr>
    </w:p>
    <w:p>
      <w:pPr>
        <w:ind w:right="160" w:firstLine="1304"/>
        <w:spacing w:after="0" w:line="231" w:lineRule="auto"/>
        <w:tabs>
          <w:tab w:leader="none" w:pos="172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Administrative Agent shall have received a favorable written opinion (addressed to the Administrative Agent and the Lenders and dated the Closing Date) of each of Latham &amp; Watkins LLP (US), CMS Derks Star Busmann N.V. and CMS Cameron McKenna Nabarro Olswang LLP counsel for the Borrowers and the other Loan Parties, in form and substance reasonably acceptable to the Administrative Agent. The Borrowers hereby request each such counsel to deliver such opinions.</w:t>
      </w:r>
    </w:p>
    <w:p>
      <w:pPr>
        <w:spacing w:after="0" w:line="171" w:lineRule="exact"/>
        <w:rPr>
          <w:rFonts w:ascii="Arial" w:cs="Arial" w:eastAsia="Arial" w:hAnsi="Arial"/>
          <w:sz w:val="19"/>
          <w:szCs w:val="19"/>
          <w:color w:val="auto"/>
        </w:rPr>
      </w:pPr>
    </w:p>
    <w:p>
      <w:pPr>
        <w:ind w:left="1720" w:hanging="416"/>
        <w:spacing w:after="0"/>
        <w:tabs>
          <w:tab w:leader="none" w:pos="172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Administrative Agent shall have received the following items from the Borrowers:</w:t>
      </w:r>
    </w:p>
    <w:p>
      <w:pPr>
        <w:spacing w:after="0" w:line="188" w:lineRule="exact"/>
        <w:rPr>
          <w:rFonts w:ascii="Arial" w:cs="Arial" w:eastAsia="Arial" w:hAnsi="Arial"/>
          <w:sz w:val="20"/>
          <w:szCs w:val="20"/>
          <w:color w:val="auto"/>
        </w:rPr>
      </w:pPr>
    </w:p>
    <w:p>
      <w:pPr>
        <w:ind w:left="660" w:right="60" w:firstLine="1292"/>
        <w:spacing w:after="0" w:line="220" w:lineRule="auto"/>
        <w:tabs>
          <w:tab w:leader="none" w:pos="2341" w:val="left"/>
        </w:tabs>
        <w:numPr>
          <w:ilvl w:val="1"/>
          <w:numId w:val="199"/>
        </w:numPr>
        <w:rPr>
          <w:rFonts w:ascii="Arial" w:cs="Arial" w:eastAsia="Arial" w:hAnsi="Arial"/>
          <w:sz w:val="20"/>
          <w:szCs w:val="20"/>
          <w:color w:val="auto"/>
        </w:rPr>
      </w:pPr>
      <w:r>
        <w:rPr>
          <w:rFonts w:ascii="Arial" w:cs="Arial" w:eastAsia="Arial" w:hAnsi="Arial"/>
          <w:sz w:val="20"/>
          <w:szCs w:val="20"/>
          <w:color w:val="auto"/>
        </w:rPr>
        <w:t>a certificate of good standing for each Loan Party (other than CooperVision International and Cooper Kft) from the Secretary of State of the state of organization of such Loan Party or comparable official of the jurisdiction of its organization, if applicable, and a company registration extract of Cooper Kft, in each case dated not more than thirty (30) days prior to the Closing Date;</w:t>
      </w:r>
    </w:p>
    <w:p>
      <w:pPr>
        <w:spacing w:after="0" w:line="155" w:lineRule="exact"/>
        <w:rPr>
          <w:rFonts w:ascii="Arial" w:cs="Arial" w:eastAsia="Arial" w:hAnsi="Arial"/>
          <w:sz w:val="20"/>
          <w:szCs w:val="20"/>
          <w:color w:val="auto"/>
        </w:rPr>
      </w:pPr>
    </w:p>
    <w:p>
      <w:pPr>
        <w:ind w:left="660" w:right="120" w:firstLine="1292"/>
        <w:spacing w:after="0" w:line="218" w:lineRule="auto"/>
        <w:tabs>
          <w:tab w:leader="none" w:pos="2396" w:val="left"/>
        </w:tabs>
        <w:numPr>
          <w:ilvl w:val="1"/>
          <w:numId w:val="199"/>
        </w:numPr>
        <w:rPr>
          <w:rFonts w:ascii="Arial" w:cs="Arial" w:eastAsia="Arial" w:hAnsi="Arial"/>
          <w:sz w:val="20"/>
          <w:szCs w:val="20"/>
          <w:color w:val="auto"/>
        </w:rPr>
      </w:pPr>
      <w:r>
        <w:rPr>
          <w:rFonts w:ascii="Arial" w:cs="Arial" w:eastAsia="Arial" w:hAnsi="Arial"/>
          <w:sz w:val="20"/>
          <w:szCs w:val="20"/>
          <w:color w:val="auto"/>
        </w:rPr>
        <w:t>a copy of the formation document of each Loan Party, together with all amendments thereto, certified as of a recent date by the appropriate governmental officer in its jurisdiction of incorporation, if applicable, and for the avoidance of doubt such certification shall not be applicable for the formation documents of CooperVision International and Cooper Kft, and the most recent deed of foundation of Cooper Kft, in each case dated not more than thirty (30) days prior to the Closing Date and certified by an officer of such Loan Party;</w:t>
      </w:r>
    </w:p>
    <w:p>
      <w:pPr>
        <w:spacing w:after="0" w:line="170" w:lineRule="exact"/>
        <w:rPr>
          <w:rFonts w:ascii="Arial" w:cs="Arial" w:eastAsia="Arial" w:hAnsi="Arial"/>
          <w:sz w:val="20"/>
          <w:szCs w:val="20"/>
          <w:color w:val="auto"/>
        </w:rPr>
      </w:pPr>
    </w:p>
    <w:p>
      <w:pPr>
        <w:ind w:left="660" w:right="240" w:firstLine="1292"/>
        <w:spacing w:after="0" w:line="239" w:lineRule="auto"/>
        <w:tabs>
          <w:tab w:leader="none" w:pos="245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incumbency certificates, executed by officers of each Loan Party (or in the case of Cooper Kft, a power of attorney executed by the managing director of Cooper Kft), which shall identify by name and title and bear the signature of the Persons authorized to sign the Loan Documents on behalf of such Loan Party (and to make borrowings hereunder on behalf of the Borrowers, in the case of the Borrowers), upon which certificate or power of attorney, as applicable, the Administrative Agent and the Lenders shall be entitled to rely until informed of any change in writing by the Borrowers;</w:t>
      </w:r>
    </w:p>
    <w:p>
      <w:pPr>
        <w:spacing w:after="0" w:line="170" w:lineRule="exact"/>
        <w:rPr>
          <w:rFonts w:ascii="Arial" w:cs="Arial" w:eastAsia="Arial" w:hAnsi="Arial"/>
          <w:sz w:val="18"/>
          <w:szCs w:val="18"/>
          <w:color w:val="auto"/>
        </w:rPr>
      </w:pPr>
    </w:p>
    <w:p>
      <w:pPr>
        <w:jc w:val="both"/>
        <w:ind w:left="660" w:right="80" w:firstLine="1292"/>
        <w:spacing w:after="0" w:line="246" w:lineRule="auto"/>
        <w:tabs>
          <w:tab w:leader="none" w:pos="24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copies, certified by a Secretary or an Assistant Secretary of each Loan Party (other than Cooper Kft for which such resolutions shall not be certified) of the resolutions (and resolutions of other bodies, if any are reasonably deemed necessary by counsel for the Administrative Agent) authorizing the Borrowings provided for herein, with respect to the Borrowers, and the execution, delivery and performance of the Loan Documents to be executed and delivered by the Loan Parties;</w:t>
      </w:r>
    </w:p>
    <w:p>
      <w:pPr>
        <w:spacing w:after="0" w:line="150" w:lineRule="exact"/>
        <w:rPr>
          <w:rFonts w:ascii="Arial" w:cs="Arial" w:eastAsia="Arial" w:hAnsi="Arial"/>
          <w:sz w:val="18"/>
          <w:szCs w:val="18"/>
          <w:color w:val="auto"/>
        </w:rPr>
      </w:pPr>
    </w:p>
    <w:p>
      <w:pPr>
        <w:ind w:left="2380" w:hanging="428"/>
        <w:spacing w:after="0"/>
        <w:tabs>
          <w:tab w:leader="none" w:pos="238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the most recent quarterly or annual financial statements of the Company; and</w:t>
      </w:r>
    </w:p>
    <w:p>
      <w:pPr>
        <w:spacing w:after="0" w:line="188" w:lineRule="exact"/>
        <w:rPr>
          <w:rFonts w:ascii="Arial" w:cs="Arial" w:eastAsia="Arial" w:hAnsi="Arial"/>
          <w:sz w:val="20"/>
          <w:szCs w:val="20"/>
          <w:color w:val="auto"/>
        </w:rPr>
      </w:pPr>
    </w:p>
    <w:p>
      <w:pPr>
        <w:ind w:left="2440" w:hanging="488"/>
        <w:spacing w:after="0"/>
        <w:tabs>
          <w:tab w:leader="none" w:pos="244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a Borrowing Request in accordance with Section 2.03.</w:t>
      </w:r>
    </w:p>
    <w:p>
      <w:pPr>
        <w:spacing w:after="0" w:line="188" w:lineRule="exact"/>
        <w:rPr>
          <w:rFonts w:ascii="Arial" w:cs="Arial" w:eastAsia="Arial" w:hAnsi="Arial"/>
          <w:sz w:val="20"/>
          <w:szCs w:val="20"/>
          <w:color w:val="auto"/>
        </w:rPr>
      </w:pPr>
    </w:p>
    <w:p>
      <w:pPr>
        <w:ind w:firstLine="1304"/>
        <w:spacing w:after="0" w:line="239" w:lineRule="auto"/>
        <w:tabs>
          <w:tab w:leader="none" w:pos="172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(including the upfront fees payable to the Lenders pursuant to the Closing Fee Letter and the fees payable to the Administrative Agent or KeyBanc Capital Markets Inc. pursuant to the Administrative Agent Fee Letter) and other amounts due and payable to the Administrative Agent on or prior to the Closing Date, including, to the extent invoiced at least 3 Business Days prior to the Closing Date, reimbursement or payment of all out of pocket expenses required to be reimbursed or paid by the Borrowers hereunder, or satisfactory evidence that such fees and amounts will be paid out of the initial Borrowing hereunder.</w:t>
      </w:r>
    </w:p>
    <w:p>
      <w:pPr>
        <w:spacing w:after="0" w:line="170" w:lineRule="exact"/>
        <w:rPr>
          <w:rFonts w:ascii="Arial" w:cs="Arial" w:eastAsia="Arial" w:hAnsi="Arial"/>
          <w:sz w:val="18"/>
          <w:szCs w:val="18"/>
          <w:color w:val="auto"/>
        </w:rPr>
      </w:pPr>
    </w:p>
    <w:p>
      <w:pPr>
        <w:ind w:right="320" w:firstLine="1304"/>
        <w:spacing w:after="0" w:line="257" w:lineRule="auto"/>
        <w:tabs>
          <w:tab w:leader="none" w:pos="171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Joint Lead Arrangers shall have received all fees payable to the Joint Lead Arrangers pursuant to the Joint Lead Arranger Fee Letters or satisfactory evidence that such fees will be paid out of the initial Borrowing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199" w:name="page200"/>
    <w:bookmarkEnd w:id="199"/>
    <w:p>
      <w:pPr>
        <w:ind w:right="60" w:firstLine="1304"/>
        <w:spacing w:after="0" w:line="285" w:lineRule="auto"/>
        <w:tabs>
          <w:tab w:leader="none" w:pos="168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Indebtedness under the Existing Credit Agreement, together with all interest and all other amounts due and payable with respect thereto, shall be paid in full, and the commitments in respect of such Indebtedness shall be permanently terminated.</w:t>
      </w:r>
    </w:p>
    <w:p>
      <w:pPr>
        <w:spacing w:after="0" w:line="115" w:lineRule="exact"/>
        <w:rPr>
          <w:rFonts w:ascii="Arial" w:cs="Arial" w:eastAsia="Arial" w:hAnsi="Arial"/>
          <w:sz w:val="18"/>
          <w:szCs w:val="18"/>
          <w:color w:val="auto"/>
        </w:rPr>
      </w:pPr>
    </w:p>
    <w:p>
      <w:pPr>
        <w:ind w:right="20" w:firstLine="1304"/>
        <w:spacing w:after="0" w:line="220" w:lineRule="auto"/>
        <w:tabs>
          <w:tab w:leader="none" w:pos="1721"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Administrative Agent and the Lenders shall have received all documentation and other information about the Loan Parties as shall have been reasonably requested by the Administrative Agent or such Lender at least 7 days prior to the Closing Date that it shall have reasonably determined is required by regulatory authorities under applicable “know your customer” and anti-money laundering rules and regulations, including without limitation, the USA PATRIOT Act.</w:t>
      </w:r>
    </w:p>
    <w:p>
      <w:pPr>
        <w:spacing w:after="0" w:line="169" w:lineRule="exact"/>
        <w:rPr>
          <w:rFonts w:ascii="Arial" w:cs="Arial" w:eastAsia="Arial" w:hAnsi="Arial"/>
          <w:sz w:val="20"/>
          <w:szCs w:val="20"/>
          <w:color w:val="auto"/>
        </w:rPr>
      </w:pPr>
    </w:p>
    <w:p>
      <w:pPr>
        <w:ind w:right="280" w:firstLine="1304"/>
        <w:spacing w:after="0" w:line="257" w:lineRule="auto"/>
        <w:tabs>
          <w:tab w:leader="none" w:pos="172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Administrative Agent shall have received a copy of an amendment to the Existing PNC Term Loan Agreement, including any related documentation, in form and substance reasonably acceptable to the Administrative Agent.</w:t>
      </w:r>
    </w:p>
    <w:p>
      <w:pPr>
        <w:spacing w:after="0" w:line="12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4.02</w:t>
      </w:r>
      <w:r>
        <w:rPr>
          <w:sz w:val="20"/>
          <w:szCs w:val="20"/>
          <w:color w:val="auto"/>
        </w:rPr>
        <w:tab/>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w:t>
      </w:r>
    </w:p>
    <w:p>
      <w:pPr>
        <w:spacing w:after="0"/>
        <w:rPr>
          <w:sz w:val="20"/>
          <w:szCs w:val="20"/>
          <w:color w:val="auto"/>
        </w:rPr>
      </w:pPr>
      <w:r>
        <w:rPr>
          <w:rFonts w:ascii="Arial" w:cs="Arial" w:eastAsia="Arial" w:hAnsi="Arial"/>
          <w:sz w:val="20"/>
          <w:szCs w:val="20"/>
          <w:color w:val="auto"/>
        </w:rPr>
        <w:t>Issuing Bank to issue, amend, renew or extend any Letter of Credit, is subject to the satisfaction of the following conditions:</w:t>
      </w:r>
    </w:p>
    <w:p>
      <w:pPr>
        <w:spacing w:after="0" w:line="173" w:lineRule="exact"/>
        <w:rPr>
          <w:sz w:val="20"/>
          <w:szCs w:val="20"/>
          <w:color w:val="auto"/>
        </w:rPr>
      </w:pPr>
    </w:p>
    <w:p>
      <w:pPr>
        <w:jc w:val="both"/>
        <w:ind w:right="40" w:firstLine="1304"/>
        <w:spacing w:after="0" w:line="227" w:lineRule="auto"/>
        <w:tabs>
          <w:tab w:leader="none" w:pos="171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Borrowers set forth in this Agreement shall be true and correct in all material respects (or in all respects if such representation or warranty is qualified by Material Adverse Effect or other materiality qualifier) on and as of the date of such Borrowing or the date of issuance, amendment, renewal or extension of such Letter of Credit, as applicable (except to the extent that any such representation and warranty expressly relates to an earlier date, in which case such representation and warranty shall be true and correct in all material respects as of such earlier date).</w:t>
      </w:r>
    </w:p>
    <w:p>
      <w:pPr>
        <w:spacing w:after="0" w:line="168" w:lineRule="exact"/>
        <w:rPr>
          <w:rFonts w:ascii="Arial" w:cs="Arial" w:eastAsia="Arial" w:hAnsi="Arial"/>
          <w:sz w:val="19"/>
          <w:szCs w:val="19"/>
          <w:color w:val="auto"/>
        </w:rPr>
      </w:pPr>
    </w:p>
    <w:p>
      <w:pPr>
        <w:ind w:firstLine="1304"/>
        <w:spacing w:after="0" w:line="236" w:lineRule="auto"/>
        <w:tabs>
          <w:tab w:leader="none" w:pos="1714"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55" w:lineRule="exact"/>
        <w:rPr>
          <w:sz w:val="20"/>
          <w:szCs w:val="20"/>
          <w:color w:val="auto"/>
        </w:rPr>
      </w:pPr>
    </w:p>
    <w:p>
      <w:pPr>
        <w:ind w:right="660" w:firstLine="648"/>
        <w:spacing w:after="0" w:line="350" w:lineRule="auto"/>
        <w:rPr>
          <w:sz w:val="20"/>
          <w:szCs w:val="20"/>
          <w:color w:val="auto"/>
        </w:rPr>
      </w:pPr>
      <w:r>
        <w:rPr>
          <w:rFonts w:ascii="Arial" w:cs="Arial" w:eastAsia="Arial" w:hAnsi="Arial"/>
          <w:sz w:val="16"/>
          <w:szCs w:val="16"/>
          <w:color w:val="auto"/>
        </w:rPr>
        <w:t>Each Borrowing and each issuance, amendment, renewal or extension of a Letter of Credit shall be deemed to constitute a representation and warranty by the Borrowers on the date thereof as to the matters specified in paragraphs (a) and (b) of this Section.</w:t>
      </w:r>
    </w:p>
    <w:p>
      <w:pPr>
        <w:spacing w:after="0" w:line="71"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V</w:t>
      </w:r>
    </w:p>
    <w:p>
      <w:pPr>
        <w:spacing w:after="0" w:line="16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AFFIRMATIVE COVENANTS</w:t>
      </w:r>
    </w:p>
    <w:p>
      <w:pPr>
        <w:spacing w:after="0" w:line="189" w:lineRule="exact"/>
        <w:rPr>
          <w:sz w:val="20"/>
          <w:szCs w:val="20"/>
          <w:color w:val="auto"/>
        </w:rPr>
      </w:pPr>
    </w:p>
    <w:p>
      <w:pPr>
        <w:ind w:right="260" w:firstLine="648"/>
        <w:spacing w:after="0" w:line="265"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and other Obligations payable hereunder shall have been paid in full and all Letters of Credit shall have expired or terminated, in each case, without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pending draw, and all LC Disbursements shall have been reimbursed, each Borrower covenants and agrees with the Lenders that:</w:t>
      </w:r>
    </w:p>
    <w:p>
      <w:pPr>
        <w:spacing w:after="0" w:line="196" w:lineRule="exact"/>
        <w:rPr>
          <w:sz w:val="20"/>
          <w:szCs w:val="20"/>
          <w:color w:val="auto"/>
        </w:rPr>
      </w:pPr>
    </w:p>
    <w:p>
      <w:pPr>
        <w:ind w:right="40" w:firstLine="648"/>
        <w:spacing w:after="0" w:line="229"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Financial Statements; Ratings Change and Other Information</w:t>
      </w:r>
      <w:r>
        <w:rPr>
          <w:rFonts w:ascii="Arial" w:cs="Arial" w:eastAsia="Arial" w:hAnsi="Arial"/>
          <w:sz w:val="20"/>
          <w:szCs w:val="20"/>
          <w:color w:val="auto"/>
        </w:rPr>
        <w:t>. The Company will furnish to the Administrative Agent and each Lender:</w:t>
      </w:r>
    </w:p>
    <w:p>
      <w:pPr>
        <w:spacing w:after="0" w:line="169" w:lineRule="exact"/>
        <w:rPr>
          <w:sz w:val="20"/>
          <w:szCs w:val="20"/>
          <w:color w:val="auto"/>
        </w:rPr>
      </w:pPr>
    </w:p>
    <w:p>
      <w:pPr>
        <w:ind w:right="40" w:firstLine="1304"/>
        <w:spacing w:after="0" w:line="274" w:lineRule="auto"/>
        <w:tabs>
          <w:tab w:leader="none" w:pos="171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within 100 days after the end of each fiscal year of the Company, its audited consolidated balance sheet and related statements of income, retained earnings and cash flows as of the end of and for such year, setting forth in each case in comparative form the figures for the previous fiscal year, all reported on by KPMG LLP or other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43" w:lineRule="exact"/>
        <w:rPr>
          <w:rFonts w:ascii="Arial" w:cs="Arial" w:eastAsia="Arial" w:hAnsi="Arial"/>
          <w:sz w:val="16"/>
          <w:szCs w:val="16"/>
          <w:color w:val="auto"/>
        </w:rPr>
      </w:pPr>
    </w:p>
    <w:p>
      <w:pPr>
        <w:ind w:firstLine="1304"/>
        <w:spacing w:after="0" w:line="236" w:lineRule="auto"/>
        <w:tabs>
          <w:tab w:leader="none" w:pos="1725" w:val="left"/>
        </w:tabs>
        <w:numPr>
          <w:ilvl w:val="0"/>
          <w:numId w:val="202"/>
        </w:numPr>
        <w:rPr>
          <w:rFonts w:ascii="Arial" w:cs="Arial" w:eastAsia="Arial" w:hAnsi="Arial"/>
          <w:sz w:val="20"/>
          <w:szCs w:val="20"/>
          <w:color w:val="auto"/>
        </w:rPr>
      </w:pPr>
      <w:r>
        <w:rPr>
          <w:rFonts w:ascii="Arial" w:cs="Arial" w:eastAsia="Arial" w:hAnsi="Arial"/>
          <w:sz w:val="20"/>
          <w:szCs w:val="20"/>
          <w:color w:val="auto"/>
        </w:rPr>
        <w:t>within 55 days after the end of each of the first three fiscal quarters of each fiscal year of the Company, its consolidated balance sheet and related statements of income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80"/>
          </w:cols>
          <w:pgMar w:left="320" w:top="1405" w:right="39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and cash flows as of the end of and for such fiscal quarter and the then elapsed portion of the fiscal year, setting forth in each case in</w:t>
      </w:r>
    </w:p>
    <w:p>
      <w:pPr>
        <w:ind w:right="340"/>
        <w:spacing w:after="0" w:line="255" w:lineRule="auto"/>
        <w:rPr>
          <w:sz w:val="20"/>
          <w:szCs w:val="20"/>
          <w:color w:val="auto"/>
        </w:rPr>
      </w:pPr>
      <w:r>
        <w:rPr>
          <w:rFonts w:ascii="Arial" w:cs="Arial" w:eastAsia="Arial" w:hAnsi="Arial"/>
          <w:sz w:val="16"/>
          <w:szCs w:val="16"/>
          <w:color w:val="auto"/>
        </w:rPr>
        <w:t>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operations of the Company and its consolidated Subsidiaries on a consolidated basis in accordance with GAAP consistently applied, subject to normal year-end audit adjustments and the absence of footnotes;</w:t>
      </w:r>
    </w:p>
    <w:p>
      <w:pPr>
        <w:spacing w:after="0" w:line="156" w:lineRule="exact"/>
        <w:rPr>
          <w:sz w:val="20"/>
          <w:szCs w:val="20"/>
          <w:color w:val="auto"/>
        </w:rPr>
      </w:pPr>
    </w:p>
    <w:p>
      <w:pPr>
        <w:ind w:right="20" w:firstLine="1304"/>
        <w:spacing w:after="0" w:line="246" w:lineRule="auto"/>
        <w:tabs>
          <w:tab w:leader="none" w:pos="171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clause (a) or (b) above, a certificate of a Financial Officer of the Company (each, a “</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 certifying as to whether a Default has occurred and is continuing and, if a Default has occurred and is continuing, specifying the details thereof and any action taken or proposed to be taken with respect thereto and (ii) setting forth reasonably detailed calculations demonstrating compliance with the applicable Financial Covenants;</w:t>
      </w:r>
    </w:p>
    <w:p>
      <w:pPr>
        <w:spacing w:after="0" w:line="163" w:lineRule="exact"/>
        <w:rPr>
          <w:rFonts w:ascii="Arial" w:cs="Arial" w:eastAsia="Arial" w:hAnsi="Arial"/>
          <w:sz w:val="18"/>
          <w:szCs w:val="18"/>
          <w:color w:val="auto"/>
        </w:rPr>
      </w:pPr>
    </w:p>
    <w:p>
      <w:pPr>
        <w:ind w:right="20" w:firstLine="1304"/>
        <w:spacing w:after="0" w:line="220" w:lineRule="auto"/>
        <w:tabs>
          <w:tab w:leader="none" w:pos="1725" w:val="left"/>
        </w:tabs>
        <w:numPr>
          <w:ilvl w:val="0"/>
          <w:numId w:val="203"/>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by the Company or any Subsidiary with the Securities and Exchange Commission, or any Governmental Authority succeeding to any or all of the functions of said Commission, or with any national securities exchange, and/or distributed by the Company to its shareholders generally, as the case may be; and</w:t>
      </w:r>
    </w:p>
    <w:p>
      <w:pPr>
        <w:spacing w:after="0" w:line="169" w:lineRule="exact"/>
        <w:rPr>
          <w:rFonts w:ascii="Arial" w:cs="Arial" w:eastAsia="Arial" w:hAnsi="Arial"/>
          <w:sz w:val="20"/>
          <w:szCs w:val="20"/>
          <w:color w:val="auto"/>
        </w:rPr>
      </w:pPr>
    </w:p>
    <w:p>
      <w:pPr>
        <w:ind w:right="20" w:firstLine="1304"/>
        <w:spacing w:after="0" w:line="215" w:lineRule="auto"/>
        <w:tabs>
          <w:tab w:leader="none" w:pos="1713"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promptly following any request therefor, such other information regarding the operations, business affairs and financial condition of the Company or any Subsidiary, or compliance with the terms of this Agreement, as the Administrative Agent or any Lender may reasonably request;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Company shall not be required to deliver confidential information consisting of trade secrets or other proprietary or competitively sensitive information relating to the Company or any of its Subsidiaries and their respective businesses and not constituting financial information.</w:t>
      </w:r>
    </w:p>
    <w:p>
      <w:pPr>
        <w:spacing w:after="0" w:line="171" w:lineRule="exact"/>
        <w:rPr>
          <w:rFonts w:ascii="Arial" w:cs="Arial" w:eastAsia="Arial" w:hAnsi="Arial"/>
          <w:sz w:val="20"/>
          <w:szCs w:val="20"/>
          <w:color w:val="auto"/>
        </w:rPr>
      </w:pPr>
    </w:p>
    <w:p>
      <w:pPr>
        <w:ind w:right="280" w:firstLine="1304"/>
        <w:spacing w:after="0" w:line="252" w:lineRule="auto"/>
        <w:tabs>
          <w:tab w:leader="none" w:pos="168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financial statements required to be delivered pursuant to Section 5.01(a) or 5.01(b) above and any information required to be delivered pursuant to Section 5.01(d) above shall be deemed to have been furnished to the Administrative Agent on the date that such financial statement or other information is posted on the SEC’s website at www.sec.gov or the website for the Company.</w:t>
      </w:r>
    </w:p>
    <w:p>
      <w:pPr>
        <w:spacing w:after="0" w:line="13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Company will furnish to the Administrative Agent (for distribution to each Lender)</w:t>
      </w:r>
    </w:p>
    <w:p>
      <w:pPr>
        <w:spacing w:after="0"/>
        <w:rPr>
          <w:sz w:val="20"/>
          <w:szCs w:val="20"/>
          <w:color w:val="auto"/>
        </w:rPr>
      </w:pPr>
      <w:r>
        <w:rPr>
          <w:rFonts w:ascii="Arial" w:cs="Arial" w:eastAsia="Arial" w:hAnsi="Arial"/>
          <w:sz w:val="20"/>
          <w:szCs w:val="20"/>
          <w:color w:val="auto"/>
        </w:rPr>
        <w:t>prompt written notice, after an Authorized Officer becomes aware of such event, of the following events:</w:t>
      </w:r>
    </w:p>
    <w:p>
      <w:pPr>
        <w:spacing w:after="0" w:line="173" w:lineRule="exact"/>
        <w:rPr>
          <w:sz w:val="20"/>
          <w:szCs w:val="20"/>
          <w:color w:val="auto"/>
        </w:rPr>
      </w:pPr>
    </w:p>
    <w:p>
      <w:pPr>
        <w:ind w:left="1720" w:hanging="416"/>
        <w:spacing w:after="0"/>
        <w:tabs>
          <w:tab w:leader="none" w:pos="172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188" w:lineRule="exact"/>
        <w:rPr>
          <w:rFonts w:ascii="Arial" w:cs="Arial" w:eastAsia="Arial" w:hAnsi="Arial"/>
          <w:sz w:val="20"/>
          <w:szCs w:val="20"/>
          <w:color w:val="auto"/>
        </w:rPr>
      </w:pPr>
    </w:p>
    <w:p>
      <w:pPr>
        <w:ind w:firstLine="1304"/>
        <w:spacing w:after="0" w:line="220" w:lineRule="auto"/>
        <w:tabs>
          <w:tab w:leader="none" w:pos="172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filing or commencement of any action, suit, investigation or proceeding by or before any arbitrator or Governmental Authority against or affecting the Company or any Affiliate (or any adverse change or development in any such action, suit, investigation or proceeding) thereof that, in the good faith judgment of the Company, if adversely determined, could reasonably be expected to result in a Material Adverse Effect;</w:t>
      </w:r>
    </w:p>
    <w:p>
      <w:pPr>
        <w:spacing w:after="0" w:line="155" w:lineRule="exact"/>
        <w:rPr>
          <w:rFonts w:ascii="Arial" w:cs="Arial" w:eastAsia="Arial" w:hAnsi="Arial"/>
          <w:sz w:val="20"/>
          <w:szCs w:val="20"/>
          <w:color w:val="auto"/>
        </w:rPr>
      </w:pPr>
    </w:p>
    <w:p>
      <w:pPr>
        <w:ind w:right="440" w:firstLine="1304"/>
        <w:spacing w:after="0" w:line="236" w:lineRule="auto"/>
        <w:tabs>
          <w:tab w:leader="none" w:pos="1713"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occurrence of any ERISA Event that, alone or together with any other ERISA Events that have occurred, could reasonably be expected to result in a Material Adverse Effect;</w:t>
      </w:r>
    </w:p>
    <w:p>
      <w:pPr>
        <w:spacing w:after="0" w:line="168" w:lineRule="exact"/>
        <w:rPr>
          <w:rFonts w:ascii="Arial" w:cs="Arial" w:eastAsia="Arial" w:hAnsi="Arial"/>
          <w:sz w:val="20"/>
          <w:szCs w:val="20"/>
          <w:color w:val="auto"/>
        </w:rPr>
      </w:pPr>
    </w:p>
    <w:p>
      <w:pPr>
        <w:ind w:right="560" w:firstLine="1304"/>
        <w:spacing w:after="0" w:line="242" w:lineRule="auto"/>
        <w:tabs>
          <w:tab w:leader="none" w:pos="1725"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any other development (including the incurrence or imposition of Environmental Liability) that, in the good faith judgment of the Company, results in, or could reasonably be expected to result in, a Material Adverse Effect; and</w:t>
      </w:r>
    </w:p>
    <w:p>
      <w:pPr>
        <w:spacing w:after="0" w:line="166" w:lineRule="exact"/>
        <w:rPr>
          <w:rFonts w:ascii="Arial" w:cs="Arial" w:eastAsia="Arial" w:hAnsi="Arial"/>
          <w:sz w:val="19"/>
          <w:szCs w:val="19"/>
          <w:color w:val="auto"/>
        </w:rPr>
      </w:pPr>
    </w:p>
    <w:p>
      <w:pPr>
        <w:ind w:right="20" w:firstLine="1304"/>
        <w:spacing w:after="0" w:line="223" w:lineRule="auto"/>
        <w:tabs>
          <w:tab w:leader="none" w:pos="1713" w:val="left"/>
        </w:tabs>
        <w:numPr>
          <w:ilvl w:val="0"/>
          <w:numId w:val="204"/>
        </w:numPr>
        <w:rPr>
          <w:rFonts w:ascii="Arial" w:cs="Arial" w:eastAsia="Arial" w:hAnsi="Arial"/>
          <w:sz w:val="20"/>
          <w:szCs w:val="20"/>
          <w:color w:val="auto"/>
        </w:rPr>
      </w:pPr>
      <w:r>
        <w:rPr>
          <w:rFonts w:ascii="Arial" w:cs="Arial" w:eastAsia="Arial" w:hAnsi="Arial"/>
          <w:sz w:val="20"/>
          <w:szCs w:val="20"/>
          <w:color w:val="auto"/>
        </w:rPr>
        <w:t>solely to the extent that any Borrower qualifies as a “legal entity customer” under the Beneficial Ownership Regulation, any change in the information provided in any Beneficial Ownership Certification that would result in a change to the list of beneficial owners identified in parts (c) or (d) of such certification.</w:t>
      </w:r>
    </w:p>
    <w:p>
      <w:pPr>
        <w:spacing w:after="0" w:line="169" w:lineRule="exact"/>
        <w:rPr>
          <w:sz w:val="20"/>
          <w:szCs w:val="20"/>
          <w:color w:val="auto"/>
        </w:rPr>
      </w:pPr>
    </w:p>
    <w:p>
      <w:pPr>
        <w:ind w:right="40" w:firstLine="648"/>
        <w:spacing w:after="0" w:line="236" w:lineRule="auto"/>
        <w:rPr>
          <w:sz w:val="20"/>
          <w:szCs w:val="20"/>
          <w:color w:val="auto"/>
        </w:rPr>
      </w:pPr>
      <w:r>
        <w:rPr>
          <w:rFonts w:ascii="Arial" w:cs="Arial" w:eastAsia="Arial" w:hAnsi="Arial"/>
          <w:sz w:val="20"/>
          <w:szCs w:val="20"/>
          <w:color w:val="auto"/>
        </w:rPr>
        <w:t>Each notice delivered under clauses (a) through (d) of this Section 5.02 shall be accompanied by a statement of a Financial Officer or other executive officer of the Company setting forth the details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01" w:name="page202"/>
    <w:bookmarkEnd w:id="201"/>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event or development requiring such notice and any action taken or proposed to be taken with respect thereto.</w:t>
      </w:r>
    </w:p>
    <w:p>
      <w:pPr>
        <w:spacing w:after="0" w:line="189" w:lineRule="exact"/>
        <w:rPr>
          <w:sz w:val="20"/>
          <w:szCs w:val="20"/>
          <w:color w:val="auto"/>
        </w:rPr>
      </w:pPr>
    </w:p>
    <w:p>
      <w:pPr>
        <w:ind w:right="360" w:firstLine="648"/>
        <w:spacing w:after="0" w:line="23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Each Borrower will, and will cause each Subsidiary to, do or cause to be done all things necessary to preserve, renew and keep in full force and effect its legal existence and the rights, licenses, permits, privileges and</w:t>
      </w:r>
    </w:p>
    <w:p>
      <w:pPr>
        <w:spacing w:after="0"/>
        <w:rPr>
          <w:sz w:val="20"/>
          <w:szCs w:val="20"/>
          <w:color w:val="auto"/>
        </w:rPr>
      </w:pPr>
      <w:r>
        <w:rPr>
          <w:rFonts w:ascii="Arial" w:cs="Arial" w:eastAsia="Arial" w:hAnsi="Arial"/>
          <w:sz w:val="16"/>
          <w:szCs w:val="16"/>
          <w:color w:val="auto"/>
        </w:rPr>
        <w:t>franchises material to the conduct of its business, except to the extent any failure to do so by a Subsidiary could not reasonably be expected to</w:t>
      </w:r>
    </w:p>
    <w:p>
      <w:pPr>
        <w:spacing w:after="0" w:line="19" w:lineRule="exact"/>
        <w:rPr>
          <w:sz w:val="20"/>
          <w:szCs w:val="20"/>
          <w:color w:val="auto"/>
        </w:rPr>
      </w:pPr>
    </w:p>
    <w:p>
      <w:pPr>
        <w:ind w:right="640"/>
        <w:spacing w:after="0" w:line="220" w:lineRule="auto"/>
        <w:rPr>
          <w:sz w:val="20"/>
          <w:szCs w:val="20"/>
          <w:color w:val="auto"/>
        </w:rPr>
      </w:pPr>
      <w:r>
        <w:rPr>
          <w:rFonts w:ascii="Arial" w:cs="Arial" w:eastAsia="Arial" w:hAnsi="Arial"/>
          <w:sz w:val="20"/>
          <w:szCs w:val="20"/>
          <w:color w:val="auto"/>
        </w:rPr>
        <w:t xml:space="preserve">result in a Material Adverse Effect;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shall not prohibit any merger, consolidation, liquidation or dissolution permitted under Section 6.02.</w:t>
      </w:r>
    </w:p>
    <w:p>
      <w:pPr>
        <w:spacing w:after="0" w:line="170" w:lineRule="exact"/>
        <w:rPr>
          <w:sz w:val="20"/>
          <w:szCs w:val="20"/>
          <w:color w:val="auto"/>
        </w:rPr>
      </w:pPr>
    </w:p>
    <w:p>
      <w:pPr>
        <w:ind w:right="380" w:firstLine="648"/>
        <w:spacing w:after="0" w:line="236"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Each Borrower will, and will cause each Subsidiary to, pay its obligations, including Tax liabilities, that, if not paid, could result in a Material Adverse Effect before the same shall become delinquent or in default, except where</w:t>
      </w:r>
    </w:p>
    <w:p>
      <w:pPr>
        <w:ind w:right="80" w:firstLine="8"/>
        <w:spacing w:after="0" w:line="222" w:lineRule="auto"/>
        <w:tabs>
          <w:tab w:leader="none" w:pos="269"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the validity or amount thereof is being contested in good faith by appropriate proceedings, (b) such Borrower or Subsidiary has set aside on its books adequate reserves with respect thereto in accordance with GAAP and (c) the failure to make such payment pending such contest could not reasonably be expected to result in a Material Adverse Effect.</w:t>
      </w:r>
    </w:p>
    <w:p>
      <w:pPr>
        <w:spacing w:after="0" w:line="156" w:lineRule="exact"/>
        <w:rPr>
          <w:sz w:val="20"/>
          <w:szCs w:val="20"/>
          <w:color w:val="auto"/>
        </w:rPr>
      </w:pPr>
    </w:p>
    <w:p>
      <w:pPr>
        <w:ind w:right="240" w:firstLine="648"/>
        <w:spacing w:after="0" w:line="244"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 Each Borrower will, and will cause each Subsidiary to, keep and maintain all property material to the conduct of its business in good working order and condition, ordinary wear and tear excepted, except to the extent</w:t>
      </w:r>
    </w:p>
    <w:p>
      <w:pPr>
        <w:ind w:right="280"/>
        <w:spacing w:after="0" w:line="226" w:lineRule="auto"/>
        <w:rPr>
          <w:sz w:val="20"/>
          <w:szCs w:val="20"/>
          <w:color w:val="auto"/>
        </w:rPr>
      </w:pPr>
      <w:r>
        <w:rPr>
          <w:rFonts w:ascii="Arial" w:cs="Arial" w:eastAsia="Arial" w:hAnsi="Arial"/>
          <w:sz w:val="18"/>
          <w:szCs w:val="18"/>
          <w:color w:val="auto"/>
        </w:rPr>
        <w:t>any failure to do so could not reasonably be expected to result in a Material Adverse Effect. Each Borrower will, and will cause each of its Subsidiaries to, maintain insurance coverage by such insurers and in such forms and amounts and against such risks as are generally</w:t>
      </w:r>
    </w:p>
    <w:p>
      <w:pPr>
        <w:spacing w:after="0" w:line="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consistent with the insurance coverage maintained by such Borrower and its Subsidiaries as of the Closing Date, or are of such types and amounts as are customarily carried by Persons engaged in the same or similar business as the Borrowers and their Subsidiaries.</w:t>
      </w:r>
    </w:p>
    <w:p>
      <w:pPr>
        <w:spacing w:after="0" w:line="12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5.06</w:t>
      </w:r>
      <w:r>
        <w:rPr>
          <w:sz w:val="20"/>
          <w:szCs w:val="20"/>
          <w:color w:val="auto"/>
        </w:rPr>
        <w:tab/>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Each Borrower will, and will cause each Subsidiary to, keep proper books of</w:t>
      </w:r>
    </w:p>
    <w:p>
      <w:pPr>
        <w:jc w:val="both"/>
        <w:ind w:right="320"/>
        <w:spacing w:after="0" w:line="255" w:lineRule="auto"/>
        <w:rPr>
          <w:sz w:val="20"/>
          <w:szCs w:val="20"/>
          <w:color w:val="auto"/>
        </w:rPr>
      </w:pPr>
      <w:r>
        <w:rPr>
          <w:rFonts w:ascii="Arial" w:cs="Arial" w:eastAsia="Arial" w:hAnsi="Arial"/>
          <w:sz w:val="16"/>
          <w:szCs w:val="16"/>
          <w:color w:val="auto"/>
        </w:rPr>
        <w:t>record and account in which full, true and correct entries are made of all dealings and transactions in relation to its business and activities. Each Borrower will, and will cause each Subsidiary to, permit any representatives designated by the Administrative Agent or any Lender,</w:t>
      </w:r>
    </w:p>
    <w:p>
      <w:pPr>
        <w:spacing w:after="0" w:line="235" w:lineRule="auto"/>
        <w:rPr>
          <w:sz w:val="20"/>
          <w:szCs w:val="20"/>
          <w:color w:val="auto"/>
        </w:rPr>
      </w:pPr>
      <w:r>
        <w:rPr>
          <w:rFonts w:ascii="Arial" w:cs="Arial" w:eastAsia="Arial" w:hAnsi="Arial"/>
          <w:sz w:val="18"/>
          <w:szCs w:val="18"/>
          <w:color w:val="auto"/>
        </w:rPr>
        <w:t>upon reasonable prior notice, to visit and inspect its properties, to examine and make extracts from its books and records, and to discuss its</w:t>
      </w:r>
    </w:p>
    <w:p>
      <w:pPr>
        <w:spacing w:after="0" w:line="226" w:lineRule="auto"/>
        <w:rPr>
          <w:sz w:val="20"/>
          <w:szCs w:val="20"/>
          <w:color w:val="auto"/>
        </w:rPr>
      </w:pPr>
      <w:r>
        <w:rPr>
          <w:rFonts w:ascii="Arial" w:cs="Arial" w:eastAsia="Arial" w:hAnsi="Arial"/>
          <w:sz w:val="18"/>
          <w:szCs w:val="18"/>
          <w:color w:val="auto"/>
        </w:rPr>
        <w:t xml:space="preserve">affairs, finances and condition with its officers and independent accountants, all at such reasonable times and as often as reasonably requested;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without the express prior written approval of each Borrower, no such inspection shall include any intrusive</w:t>
      </w:r>
    </w:p>
    <w:p>
      <w:pPr>
        <w:spacing w:after="0" w:line="236" w:lineRule="auto"/>
        <w:rPr>
          <w:sz w:val="20"/>
          <w:szCs w:val="20"/>
          <w:color w:val="auto"/>
        </w:rPr>
      </w:pPr>
      <w:r>
        <w:rPr>
          <w:rFonts w:ascii="Arial" w:cs="Arial" w:eastAsia="Arial" w:hAnsi="Arial"/>
          <w:sz w:val="18"/>
          <w:szCs w:val="18"/>
          <w:color w:val="auto"/>
        </w:rPr>
        <w:t>(i.e., “Phase II”) environmental investigations or collection of samples of any environmental media (including air, soil, groundwater, surface</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 xml:space="preserve">water, wastewaters, or building materials);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that (i) unless an Event of Default has occurred and is continuing, the Administrative Agent and the Lenders shall be limited to one such visit or inspection in each calendar year and such visit or inspection shall</w:t>
      </w:r>
    </w:p>
    <w:p>
      <w:pPr>
        <w:spacing w:after="0" w:line="236" w:lineRule="auto"/>
        <w:rPr>
          <w:sz w:val="20"/>
          <w:szCs w:val="20"/>
          <w:color w:val="auto"/>
        </w:rPr>
      </w:pPr>
      <w:r>
        <w:rPr>
          <w:rFonts w:ascii="Arial" w:cs="Arial" w:eastAsia="Arial" w:hAnsi="Arial"/>
          <w:sz w:val="18"/>
          <w:szCs w:val="18"/>
          <w:color w:val="auto"/>
        </w:rPr>
        <w:t>be at the sole cost and expense of the Administrative Agent or applicable Lenders (except that the Administrative Agent may make one such</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visit during each fiscal year and the reasonable cost and expense thereof shall be borne by the Company) and (ii) in respect of any such discussions with any independent accountants, the Company or such Subsidiary, as the case may be, shall have received reasonable advance</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notice thereof and a reasonable opportunity to participate therein and the Administrative Agent shall have executed a customary non-reliance letter requested by such independent accountants.</w:t>
      </w:r>
    </w:p>
    <w:p>
      <w:pPr>
        <w:spacing w:after="0" w:line="156"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Borrower will, and will cause each Subsidiary to, comply with all laws, rules, regulations and orders of any Governmental Authority applicable to it or its property, including Environmental Laws, except where the failure to do so, individually or in the aggregate, could not reasonably be expected to result in a Material Adverse Effect.</w:t>
      </w:r>
    </w:p>
    <w:p>
      <w:pPr>
        <w:spacing w:after="0" w:line="14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5.08</w:t>
      </w:r>
      <w:r>
        <w:rPr>
          <w:sz w:val="20"/>
          <w:szCs w:val="20"/>
          <w:color w:val="auto"/>
        </w:rPr>
        <w:tab/>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w:t>
      </w:r>
    </w:p>
    <w:p>
      <w:pPr>
        <w:spacing w:after="0" w:line="189" w:lineRule="exact"/>
        <w:rPr>
          <w:sz w:val="20"/>
          <w:szCs w:val="20"/>
          <w:color w:val="auto"/>
        </w:rPr>
      </w:pPr>
    </w:p>
    <w:p>
      <w:pPr>
        <w:ind w:right="20" w:firstLine="1304"/>
        <w:spacing w:after="0" w:line="252" w:lineRule="auto"/>
        <w:tabs>
          <w:tab w:leader="none" w:pos="171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On the Closing Date, (i) the proceeds of the Term Loans incurred on the Closing Date will be used to repay at least 50% of the Indebtedness outstanding pursuant to the Existing DNB Term Loan Agreement and (ii) the proceeds of the Revolving Loans incurred on the Closing Date will be used (A) </w:t>
      </w:r>
      <w:r>
        <w:rPr>
          <w:rFonts w:ascii="Arial" w:cs="Arial" w:eastAsia="Arial" w:hAnsi="Arial"/>
          <w:sz w:val="18"/>
          <w:szCs w:val="18"/>
          <w:i w:val="1"/>
          <w:iCs w:val="1"/>
          <w:color w:val="auto"/>
        </w:rPr>
        <w:t>first</w:t>
      </w:r>
      <w:r>
        <w:rPr>
          <w:rFonts w:ascii="Arial" w:cs="Arial" w:eastAsia="Arial" w:hAnsi="Arial"/>
          <w:sz w:val="18"/>
          <w:szCs w:val="18"/>
          <w:color w:val="auto"/>
        </w:rPr>
        <w:t>, to refinance and repay in full all Indebtedness outstanding pursuant to the Existing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40" w:right="339" w:bottom="1440" w:gutter="0" w:footer="0" w:header="0"/>
        </w:sectPr>
      </w:pPr>
    </w:p>
    <w:bookmarkStart w:id="202" w:name="page203"/>
    <w:bookmarkEnd w:id="202"/>
    <w:p>
      <w:pPr>
        <w:ind w:right="640"/>
        <w:spacing w:after="0" w:line="285" w:lineRule="auto"/>
        <w:rPr>
          <w:sz w:val="20"/>
          <w:szCs w:val="20"/>
          <w:color w:val="auto"/>
        </w:rPr>
      </w:pPr>
      <w:r>
        <w:rPr>
          <w:rFonts w:ascii="Arial" w:cs="Arial" w:eastAsia="Arial" w:hAnsi="Arial"/>
          <w:sz w:val="18"/>
          <w:szCs w:val="18"/>
          <w:color w:val="auto"/>
        </w:rPr>
        <w:t xml:space="preserve">Agreement, (B)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repay a portion of the Indebtedness outstanding pursuant to the Existing DNB Term Loan Agreement in an amount equal to the Closing Date Revolver Prepayment Amount and (C) </w:t>
      </w:r>
      <w:r>
        <w:rPr>
          <w:rFonts w:ascii="Arial" w:cs="Arial" w:eastAsia="Arial" w:hAnsi="Arial"/>
          <w:sz w:val="18"/>
          <w:szCs w:val="18"/>
          <w:i w:val="1"/>
          <w:iCs w:val="1"/>
          <w:color w:val="auto"/>
        </w:rPr>
        <w:t>third</w:t>
      </w:r>
      <w:r>
        <w:rPr>
          <w:rFonts w:ascii="Arial" w:cs="Arial" w:eastAsia="Arial" w:hAnsi="Arial"/>
          <w:sz w:val="18"/>
          <w:szCs w:val="18"/>
          <w:color w:val="auto"/>
        </w:rPr>
        <w:t>, in accordance with Section 5.08(b).</w:t>
      </w:r>
    </w:p>
    <w:p>
      <w:pPr>
        <w:spacing w:after="0" w:line="116" w:lineRule="exact"/>
        <w:rPr>
          <w:sz w:val="20"/>
          <w:szCs w:val="20"/>
          <w:color w:val="auto"/>
        </w:rPr>
      </w:pPr>
    </w:p>
    <w:p>
      <w:pPr>
        <w:ind w:right="40" w:firstLine="1304"/>
        <w:spacing w:after="0" w:line="220" w:lineRule="auto"/>
        <w:tabs>
          <w:tab w:leader="none" w:pos="1725" w:val="left"/>
        </w:tabs>
        <w:numPr>
          <w:ilvl w:val="0"/>
          <w:numId w:val="207"/>
        </w:numPr>
        <w:rPr>
          <w:rFonts w:ascii="Arial" w:cs="Arial" w:eastAsia="Arial" w:hAnsi="Arial"/>
          <w:sz w:val="20"/>
          <w:szCs w:val="20"/>
          <w:color w:val="auto"/>
        </w:rPr>
      </w:pPr>
      <w:r>
        <w:rPr>
          <w:rFonts w:ascii="Arial" w:cs="Arial" w:eastAsia="Arial" w:hAnsi="Arial"/>
          <w:sz w:val="20"/>
          <w:szCs w:val="20"/>
          <w:color w:val="auto"/>
        </w:rPr>
        <w:t>On and after the Closing Date, the proceeds of the Loans will be used only for, and Letters of Credit will be issued only to support, (i) the repayment of existing Indebtedness of the Company and its Subsidiaries and (ii) general corporate purposes of the Borrowers, including, but not limited to, the funding of acquisitions, investments, redevelopments, expansions, renovations, construction, capital expenditures and working capital needs.</w:t>
      </w:r>
    </w:p>
    <w:p>
      <w:pPr>
        <w:spacing w:after="0" w:line="169" w:lineRule="exact"/>
        <w:rPr>
          <w:rFonts w:ascii="Arial" w:cs="Arial" w:eastAsia="Arial" w:hAnsi="Arial"/>
          <w:sz w:val="20"/>
          <w:szCs w:val="20"/>
          <w:color w:val="auto"/>
        </w:rPr>
      </w:pPr>
    </w:p>
    <w:p>
      <w:pPr>
        <w:ind w:right="100" w:firstLine="1304"/>
        <w:spacing w:after="0" w:line="236" w:lineRule="auto"/>
        <w:tabs>
          <w:tab w:leader="none" w:pos="171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No part of the proceeds of any Loan will be used, whether directly or indirectly, for any purpose that entails a violation of any of the Regulations of the Board, including Regulations T, U and X.</w:t>
      </w:r>
    </w:p>
    <w:p>
      <w:pPr>
        <w:spacing w:after="0" w:line="155"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Additional Subsidiary Guarantors</w:t>
      </w:r>
      <w:r>
        <w:rPr>
          <w:rFonts w:ascii="Arial" w:cs="Arial" w:eastAsia="Arial" w:hAnsi="Arial"/>
          <w:sz w:val="18"/>
          <w:szCs w:val="18"/>
          <w:color w:val="auto"/>
        </w:rPr>
        <w:t>. Within fifty-five (55) days (or such longer period to which the Administrative Agent may agree in its sole discretion) after any Subsidiary of the Company that is not already a party to the Subsidiary Guaranty qualifies as</w:t>
      </w:r>
    </w:p>
    <w:p>
      <w:pPr>
        <w:ind w:right="120"/>
        <w:spacing w:after="0" w:line="226" w:lineRule="auto"/>
        <w:rPr>
          <w:sz w:val="20"/>
          <w:szCs w:val="20"/>
          <w:color w:val="auto"/>
        </w:rPr>
      </w:pPr>
      <w:r>
        <w:rPr>
          <w:rFonts w:ascii="Arial" w:cs="Arial" w:eastAsia="Arial" w:hAnsi="Arial"/>
          <w:sz w:val="18"/>
          <w:szCs w:val="18"/>
          <w:color w:val="auto"/>
        </w:rPr>
        <w:t>a Domestic Subsidiary (but excluding any Excluded Subsidiary), the Company will cause such Domestic Subsidiary to deliver to the Administrative Agent, a Guaranty Supplement (as defined in the Subsidiary Guaranty), duly executed by such Subsidiary, pursuant to which</w:t>
      </w:r>
    </w:p>
    <w:p>
      <w:pPr>
        <w:spacing w:after="0" w:line="236" w:lineRule="auto"/>
        <w:rPr>
          <w:sz w:val="20"/>
          <w:szCs w:val="20"/>
          <w:color w:val="auto"/>
        </w:rPr>
      </w:pPr>
      <w:r>
        <w:rPr>
          <w:rFonts w:ascii="Arial" w:cs="Arial" w:eastAsia="Arial" w:hAnsi="Arial"/>
          <w:sz w:val="18"/>
          <w:szCs w:val="18"/>
          <w:color w:val="auto"/>
        </w:rPr>
        <w:t>such Domestic Subsidiary joins in the Subsidiary Guaranty as a guarantor thereunder. Notwithstanding anything to the contrary in any Loan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Document, no Excluded Subsidiary will be required to be a Subsidiary Guarantor, but the Borrower may, in its sole and absolute discretion, cause any Excluded Subsidiary to become a “Subsidiary Guarantor” and a “Loan Party” by causing such Excluded Subsidiary to comply 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requirements set forth in this Section 5.09 as if it were subject thereto.</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189" w:lineRule="exact"/>
        <w:rPr>
          <w:sz w:val="20"/>
          <w:szCs w:val="20"/>
          <w:color w:val="auto"/>
        </w:rPr>
      </w:pPr>
    </w:p>
    <w:p>
      <w:pPr>
        <w:ind w:right="60" w:firstLine="648"/>
        <w:spacing w:after="0" w:line="265" w:lineRule="auto"/>
        <w:rPr>
          <w:sz w:val="20"/>
          <w:szCs w:val="20"/>
          <w:color w:val="auto"/>
        </w:rPr>
      </w:pPr>
      <w:r>
        <w:rPr>
          <w:rFonts w:ascii="Arial" w:cs="Arial" w:eastAsia="Arial" w:hAnsi="Arial"/>
          <w:sz w:val="16"/>
          <w:szCs w:val="16"/>
          <w:color w:val="auto"/>
        </w:rPr>
        <w:t>Until the Commitments have expired or terminated and the principal of and interest on each Loan and all fees and other Obligations payable hereunder have been paid in full and all Letters of Credit have expired or terminated, in each case, without any pending draw, and all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LC Disbursements shall have been reimbursed, each Borrower covenants and agrees with the Lenders that:</w:t>
      </w:r>
    </w:p>
    <w:p>
      <w:pPr>
        <w:spacing w:after="0" w:line="17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Changes in Business</w:t>
      </w:r>
      <w:r>
        <w:rPr>
          <w:rFonts w:ascii="Arial" w:cs="Arial" w:eastAsia="Arial" w:hAnsi="Arial"/>
          <w:sz w:val="18"/>
          <w:szCs w:val="18"/>
          <w:color w:val="auto"/>
        </w:rPr>
        <w:t>. No Borrower nor any of its Subsidiaries will engage to any material extent in any business if, as a result, the general nature of the business, taken on a consolidated basis, which would then be engaged in by such Borrower and its</w:t>
      </w:r>
    </w:p>
    <w:p>
      <w:pPr>
        <w:spacing w:after="0"/>
        <w:rPr>
          <w:sz w:val="20"/>
          <w:szCs w:val="20"/>
          <w:color w:val="auto"/>
        </w:rPr>
      </w:pPr>
      <w:r>
        <w:rPr>
          <w:rFonts w:ascii="Arial" w:cs="Arial" w:eastAsia="Arial" w:hAnsi="Arial"/>
          <w:sz w:val="16"/>
          <w:szCs w:val="16"/>
          <w:color w:val="auto"/>
        </w:rPr>
        <w:t>Subsidiaries, would be substantially changed from the general nature of the business engaged in by such Borrower and its Subsidiaries on the</w:t>
      </w:r>
    </w:p>
    <w:p>
      <w:pPr>
        <w:spacing w:after="0" w:line="19"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Closing Date or any business reasonably related, complementary, ancillary or incidental thereto or a reasonable extension, development or expansion thereof.</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6.02</w:t>
      </w:r>
      <w:r>
        <w:rPr>
          <w:sz w:val="20"/>
          <w:szCs w:val="20"/>
          <w:color w:val="auto"/>
        </w:rPr>
        <w:tab/>
      </w:r>
      <w:r>
        <w:rPr>
          <w:rFonts w:ascii="Arial" w:cs="Arial" w:eastAsia="Arial" w:hAnsi="Arial"/>
          <w:sz w:val="18"/>
          <w:szCs w:val="18"/>
          <w:u w:val="single" w:color="auto"/>
          <w:color w:val="auto"/>
        </w:rPr>
        <w:t>Consolidation, Merger, Asset Sales, etc</w:t>
      </w:r>
      <w:r>
        <w:rPr>
          <w:rFonts w:ascii="Arial" w:cs="Arial" w:eastAsia="Arial" w:hAnsi="Arial"/>
          <w:sz w:val="18"/>
          <w:szCs w:val="18"/>
          <w:color w:val="auto"/>
        </w:rPr>
        <w:t>. No Borrower will, nor will permit any Subsidiary to, (i) wind up, liquidate or</w:t>
      </w:r>
    </w:p>
    <w:p>
      <w:pPr>
        <w:ind w:right="120"/>
        <w:spacing w:after="0" w:line="220" w:lineRule="auto"/>
        <w:rPr>
          <w:sz w:val="20"/>
          <w:szCs w:val="20"/>
          <w:color w:val="auto"/>
        </w:rPr>
      </w:pPr>
      <w:r>
        <w:rPr>
          <w:rFonts w:ascii="Arial" w:cs="Arial" w:eastAsia="Arial" w:hAnsi="Arial"/>
          <w:sz w:val="20"/>
          <w:szCs w:val="20"/>
          <w:color w:val="auto"/>
        </w:rPr>
        <w:t>dissolve its affairs, (ii) enter into any Asset Sale or (iii) merge or consolidate with or into any other Person, except that each of the following shall be permitted:</w:t>
      </w:r>
    </w:p>
    <w:p>
      <w:pPr>
        <w:spacing w:after="0" w:line="170" w:lineRule="exact"/>
        <w:rPr>
          <w:sz w:val="20"/>
          <w:szCs w:val="20"/>
          <w:color w:val="auto"/>
        </w:rPr>
      </w:pPr>
    </w:p>
    <w:p>
      <w:pPr>
        <w:ind w:right="120" w:firstLine="1304"/>
        <w:spacing w:after="0" w:line="235" w:lineRule="auto"/>
        <w:tabs>
          <w:tab w:leader="none" w:pos="171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 the merger, consolidation or amalgamation of (x) any Subsidiary of the Company with or into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the Company is the surviving or continuing or resulting corporation; (y) any Subsidiary of the Company with or into any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any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surviving or continuing or resulting corporation is a Borrower or a Subsidiary Guarantor; or</w:t>
      </w:r>
    </w:p>
    <w:p>
      <w:pPr>
        <w:spacing w:after="0" w:line="1" w:lineRule="exact"/>
        <w:rPr>
          <w:rFonts w:ascii="Arial" w:cs="Arial" w:eastAsia="Arial" w:hAnsi="Arial"/>
          <w:sz w:val="18"/>
          <w:szCs w:val="18"/>
          <w:color w:val="auto"/>
        </w:rPr>
      </w:pPr>
    </w:p>
    <w:p>
      <w:pPr>
        <w:ind w:firstLine="8"/>
        <w:spacing w:after="0" w:line="217" w:lineRule="auto"/>
        <w:tabs>
          <w:tab w:leader="none" w:pos="269" w:val="left"/>
        </w:tabs>
        <w:numPr>
          <w:ilvl w:val="0"/>
          <w:numId w:val="209"/>
        </w:numPr>
        <w:rPr>
          <w:rFonts w:ascii="Arial" w:cs="Arial" w:eastAsia="Arial" w:hAnsi="Arial"/>
          <w:sz w:val="20"/>
          <w:szCs w:val="20"/>
          <w:color w:val="auto"/>
        </w:rPr>
      </w:pPr>
      <w:r>
        <w:rPr>
          <w:rFonts w:ascii="Arial" w:cs="Arial" w:eastAsia="Arial" w:hAnsi="Arial"/>
          <w:sz w:val="20"/>
          <w:szCs w:val="20"/>
          <w:color w:val="auto"/>
        </w:rPr>
        <w:t>any Subsidiary (other than any Loan Party) of the Company with or into any other Subsidiary (other than any Loan Party) of the Company or (ii) the sale, lease, transfer or disposition of any property or assets of the Company or any of its Subsidiaries to the Company or any direct or indirect wholly-owned Subsidiary of the Company;</w:t>
      </w:r>
    </w:p>
    <w:p>
      <w:pPr>
        <w:spacing w:after="0" w:line="170" w:lineRule="exact"/>
        <w:rPr>
          <w:rFonts w:ascii="Arial" w:cs="Arial" w:eastAsia="Arial" w:hAnsi="Arial"/>
          <w:sz w:val="20"/>
          <w:szCs w:val="20"/>
          <w:color w:val="auto"/>
        </w:rPr>
      </w:pPr>
    </w:p>
    <w:p>
      <w:pPr>
        <w:ind w:left="1740" w:hanging="436"/>
        <w:spacing w:after="0"/>
        <w:tabs>
          <w:tab w:leader="none" w:pos="174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dispositions of cash and cash equivalent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03" w:name="page204"/>
    <w:bookmarkEnd w:id="203"/>
    <w:p>
      <w:pPr>
        <w:ind w:right="280" w:firstLine="1304"/>
        <w:spacing w:after="0" w:line="223" w:lineRule="auto"/>
        <w:tabs>
          <w:tab w:leader="none" w:pos="171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voluntary dissolution or liquidation of any Subsidiary (i) that is not a Material Subsidiary or (ii) if the Company determines in good faith that such dissolution or liquidation is in the best interest of the Company and is not materially disadvantageous to the Lenders;</w:t>
      </w:r>
    </w:p>
    <w:p>
      <w:pPr>
        <w:spacing w:after="0" w:line="168" w:lineRule="exact"/>
        <w:rPr>
          <w:rFonts w:ascii="Arial" w:cs="Arial" w:eastAsia="Arial" w:hAnsi="Arial"/>
          <w:sz w:val="20"/>
          <w:szCs w:val="20"/>
          <w:color w:val="auto"/>
        </w:rPr>
      </w:pPr>
    </w:p>
    <w:p>
      <w:pPr>
        <w:ind w:firstLine="1304"/>
        <w:spacing w:after="0" w:line="214" w:lineRule="auto"/>
        <w:tabs>
          <w:tab w:leader="none" w:pos="1725"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(i) any sales, transfers or other dispositions of inventory, or obsolete, worn-out or excess furniture, fixtures, equipment or other property, real or personal, tangible or intangible, or property or assets that are no longer used or useful in the business of the Company or its Subsidiaries, in each case in the ordinary course of business; (ii) any Event of Loss; (iii) dispositions of any assets acquired in connection with any Acquisition that is consummated after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disposition is consummated within three years of such Acquisition; and (iv) dispositions required by any Governmental Authority in connection with such Governmental Authority’s approval of such Acquisition or otherwise necessary or advisable to comply with any applicable law or regulation or any order of any Governmental Authority;</w:t>
      </w:r>
    </w:p>
    <w:p>
      <w:pPr>
        <w:spacing w:after="0" w:line="171" w:lineRule="exact"/>
        <w:rPr>
          <w:rFonts w:ascii="Arial" w:cs="Arial" w:eastAsia="Arial" w:hAnsi="Arial"/>
          <w:sz w:val="20"/>
          <w:szCs w:val="20"/>
          <w:color w:val="auto"/>
        </w:rPr>
      </w:pPr>
    </w:p>
    <w:p>
      <w:pPr>
        <w:ind w:right="80" w:firstLine="1304"/>
        <w:spacing w:after="0" w:line="223" w:lineRule="auto"/>
        <w:tabs>
          <w:tab w:leader="none" w:pos="171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any other Asset Sale,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at the time of such Asset Sale, no Event of Default shall exist or would result from such Asset Sale and (ii) immediately after giving effect to such Asset Sale, the Company would be in compliance on a Pro Forma Basis with the Financial Covenants; and</w:t>
      </w:r>
    </w:p>
    <w:p>
      <w:pPr>
        <w:spacing w:after="0" w:line="168" w:lineRule="exact"/>
        <w:rPr>
          <w:rFonts w:ascii="Arial" w:cs="Arial" w:eastAsia="Arial" w:hAnsi="Arial"/>
          <w:sz w:val="20"/>
          <w:szCs w:val="20"/>
          <w:color w:val="auto"/>
        </w:rPr>
      </w:pPr>
    </w:p>
    <w:p>
      <w:pPr>
        <w:ind w:right="240" w:firstLine="1304"/>
        <w:spacing w:after="0" w:line="229" w:lineRule="auto"/>
        <w:tabs>
          <w:tab w:leader="none" w:pos="169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the Company or any Subsidiary may make any Acquisition;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any Acquisition made by the Company, the Company shall be the surviving or continuing or resulting corporation of such Acquisition.</w:t>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8"/>
          <w:szCs w:val="18"/>
          <w:u w:val="single" w:color="auto"/>
          <w:color w:val="auto"/>
        </w:rPr>
        <w:t>Liens</w:t>
      </w:r>
      <w:r>
        <w:rPr>
          <w:rFonts w:ascii="Arial" w:cs="Arial" w:eastAsia="Arial" w:hAnsi="Arial"/>
          <w:sz w:val="18"/>
          <w:szCs w:val="18"/>
          <w:color w:val="auto"/>
        </w:rPr>
        <w:t>. No Borrower will, nor will permit any of its Subsidiaries to, create, incur, assume or suffer to exist any Lien</w:t>
      </w:r>
    </w:p>
    <w:p>
      <w:pPr>
        <w:ind w:right="760"/>
        <w:spacing w:after="0" w:line="220" w:lineRule="auto"/>
        <w:rPr>
          <w:sz w:val="20"/>
          <w:szCs w:val="20"/>
          <w:color w:val="auto"/>
        </w:rPr>
      </w:pPr>
      <w:r>
        <w:rPr>
          <w:rFonts w:ascii="Arial" w:cs="Arial" w:eastAsia="Arial" w:hAnsi="Arial"/>
          <w:sz w:val="20"/>
          <w:szCs w:val="20"/>
          <w:color w:val="auto"/>
        </w:rPr>
        <w:t>upon or with respect to any property or assets of any kind of such Borrower or any such Subsidiary whether now owned or hereafter acquired, except that the foregoing shall not apply to:</w:t>
      </w:r>
    </w:p>
    <w:p>
      <w:pPr>
        <w:spacing w:after="0" w:line="170" w:lineRule="exact"/>
        <w:rPr>
          <w:sz w:val="20"/>
          <w:szCs w:val="20"/>
          <w:color w:val="auto"/>
        </w:rPr>
      </w:pPr>
    </w:p>
    <w:p>
      <w:pPr>
        <w:ind w:left="1720" w:hanging="416"/>
        <w:spacing w:after="0"/>
        <w:tabs>
          <w:tab w:leader="none" w:pos="172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any Standard Permitted Lien;</w:t>
      </w:r>
    </w:p>
    <w:p>
      <w:pPr>
        <w:spacing w:after="0" w:line="175" w:lineRule="exact"/>
        <w:rPr>
          <w:rFonts w:ascii="Arial" w:cs="Arial" w:eastAsia="Arial" w:hAnsi="Arial"/>
          <w:sz w:val="20"/>
          <w:szCs w:val="20"/>
          <w:color w:val="auto"/>
        </w:rPr>
      </w:pPr>
    </w:p>
    <w:p>
      <w:pPr>
        <w:ind w:right="60" w:firstLine="1304"/>
        <w:spacing w:after="0" w:line="220" w:lineRule="auto"/>
        <w:tabs>
          <w:tab w:leader="none" w:pos="1725" w:val="left"/>
        </w:tabs>
        <w:numPr>
          <w:ilvl w:val="1"/>
          <w:numId w:val="211"/>
        </w:numPr>
        <w:rPr>
          <w:rFonts w:ascii="Arial" w:cs="Arial" w:eastAsia="Arial" w:hAnsi="Arial"/>
          <w:sz w:val="20"/>
          <w:szCs w:val="20"/>
          <w:color w:val="auto"/>
        </w:rPr>
      </w:pPr>
      <w:r>
        <w:rPr>
          <w:rFonts w:ascii="Arial" w:cs="Arial" w:eastAsia="Arial" w:hAnsi="Arial"/>
          <w:sz w:val="20"/>
          <w:szCs w:val="20"/>
          <w:color w:val="auto"/>
        </w:rPr>
        <w:t xml:space="preserve">Liens in existence on the Closing Date and, to the extent in respect of obligations in excess of $25,000,000, set forth on </w:t>
      </w:r>
      <w:r>
        <w:rPr>
          <w:rFonts w:ascii="Arial" w:cs="Arial" w:eastAsia="Arial" w:hAnsi="Arial"/>
          <w:sz w:val="20"/>
          <w:szCs w:val="20"/>
          <w:u w:val="single" w:color="auto"/>
          <w:color w:val="auto"/>
        </w:rPr>
        <w:t>Schedule 6.03</w:t>
      </w:r>
      <w:r>
        <w:rPr>
          <w:rFonts w:ascii="Arial" w:cs="Arial" w:eastAsia="Arial" w:hAnsi="Arial"/>
          <w:sz w:val="20"/>
          <w:szCs w:val="20"/>
          <w:color w:val="auto"/>
        </w:rPr>
        <w:t xml:space="preserve"> hereto and extensions or renewals of such Liens, so long as such Liens being extended or renewed do not extend to any other property or assets other than proceeds and replacements and the aggregate principal amount of Indebtedness secured by such Liens is not increased (except as contemplated by Section 6.04(b));</w:t>
      </w:r>
    </w:p>
    <w:p>
      <w:pPr>
        <w:spacing w:after="0" w:line="169" w:lineRule="exact"/>
        <w:rPr>
          <w:rFonts w:ascii="Arial" w:cs="Arial" w:eastAsia="Arial" w:hAnsi="Arial"/>
          <w:sz w:val="20"/>
          <w:szCs w:val="20"/>
          <w:color w:val="auto"/>
        </w:rPr>
      </w:pPr>
    </w:p>
    <w:p>
      <w:pPr>
        <w:ind w:right="200" w:firstLine="1304"/>
        <w:spacing w:after="0" w:line="235" w:lineRule="auto"/>
        <w:tabs>
          <w:tab w:leader="none" w:pos="171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Liens (i) that are placed upon fixed or capital assets, acquired, constructed or improved by such Borrower or any Subsidiary, provided that (A) such Liens only secure Indebtedness permitted by Section 6.04(f)(A)(ii), (B) such Liens and the Indebtedness secured thereby are incurred prior to or within 180 days after such acquisition or the completion of such construction or improvement, and</w:t>
      </w:r>
    </w:p>
    <w:p>
      <w:pPr>
        <w:spacing w:after="0" w:line="1" w:lineRule="exact"/>
        <w:rPr>
          <w:rFonts w:ascii="Arial" w:cs="Arial" w:eastAsia="Arial" w:hAnsi="Arial"/>
          <w:sz w:val="18"/>
          <w:szCs w:val="18"/>
          <w:color w:val="auto"/>
        </w:rPr>
      </w:pPr>
    </w:p>
    <w:p>
      <w:pPr>
        <w:ind w:right="180" w:firstLine="8"/>
        <w:spacing w:after="0" w:line="216" w:lineRule="auto"/>
        <w:tabs>
          <w:tab w:leader="none" w:pos="313" w:val="left"/>
        </w:tabs>
        <w:numPr>
          <w:ilvl w:val="0"/>
          <w:numId w:val="212"/>
        </w:numPr>
        <w:rPr>
          <w:rFonts w:ascii="Arial" w:cs="Arial" w:eastAsia="Arial" w:hAnsi="Arial"/>
          <w:sz w:val="20"/>
          <w:szCs w:val="20"/>
          <w:color w:val="auto"/>
        </w:rPr>
      </w:pPr>
      <w:r>
        <w:rPr>
          <w:rFonts w:ascii="Arial" w:cs="Arial" w:eastAsia="Arial" w:hAnsi="Arial"/>
          <w:sz w:val="20"/>
          <w:szCs w:val="20"/>
          <w:color w:val="auto"/>
        </w:rPr>
        <w:t>such Liens shall not apply to any other property or assets of such Borrower or any Subsidiary; or (ii) arising out of the refinancing, extension, renewal or refunding of any Indebtedness secured by any such Liens, provided that the principal amount of such Indebtedness is not increased (except as contemplated by Section 6.04(f)) and such Indebtedness is not secured by any additional assets other than proceeds and replacements;</w:t>
      </w:r>
    </w:p>
    <w:p>
      <w:pPr>
        <w:spacing w:after="0" w:line="168" w:lineRule="exact"/>
        <w:rPr>
          <w:rFonts w:ascii="Arial" w:cs="Arial" w:eastAsia="Arial" w:hAnsi="Arial"/>
          <w:sz w:val="20"/>
          <w:szCs w:val="20"/>
          <w:color w:val="auto"/>
        </w:rPr>
      </w:pPr>
    </w:p>
    <w:p>
      <w:pPr>
        <w:ind w:right="180" w:firstLine="1304"/>
        <w:spacing w:after="0" w:line="220" w:lineRule="auto"/>
        <w:tabs>
          <w:tab w:leader="none" w:pos="1725" w:val="left"/>
        </w:tabs>
        <w:numPr>
          <w:ilvl w:val="1"/>
          <w:numId w:val="212"/>
        </w:numPr>
        <w:rPr>
          <w:rFonts w:ascii="Arial" w:cs="Arial" w:eastAsia="Arial" w:hAnsi="Arial"/>
          <w:sz w:val="20"/>
          <w:szCs w:val="20"/>
          <w:color w:val="auto"/>
        </w:rPr>
      </w:pPr>
      <w:r>
        <w:rPr>
          <w:rFonts w:ascii="Arial" w:cs="Arial" w:eastAsia="Arial" w:hAnsi="Arial"/>
          <w:sz w:val="20"/>
          <w:szCs w:val="20"/>
          <w:color w:val="auto"/>
        </w:rPr>
        <w:t>Liens (i) securing Indebtedness permitted pursuant to Sections 6.04(f)(A)(i) or (ii) arising out of the refinancing, extension, renewal or refunding of any Indebtedness secured by any such Liens, provided that the principal amount of such Indebtedness is not increased (except as contemplated by Section 6.04(f)) and such Indebtedness is not secured by any additional assets other than proceeds and replacements;</w:t>
      </w:r>
    </w:p>
    <w:p>
      <w:pPr>
        <w:spacing w:after="0" w:line="155" w:lineRule="exact"/>
        <w:rPr>
          <w:rFonts w:ascii="Arial" w:cs="Arial" w:eastAsia="Arial" w:hAnsi="Arial"/>
          <w:sz w:val="20"/>
          <w:szCs w:val="20"/>
          <w:color w:val="auto"/>
        </w:rPr>
      </w:pPr>
    </w:p>
    <w:p>
      <w:pPr>
        <w:ind w:right="700" w:firstLine="1304"/>
        <w:spacing w:after="0" w:line="236" w:lineRule="auto"/>
        <w:tabs>
          <w:tab w:leader="none" w:pos="1713" w:val="left"/>
        </w:tabs>
        <w:numPr>
          <w:ilvl w:val="1"/>
          <w:numId w:val="212"/>
        </w:numPr>
        <w:rPr>
          <w:rFonts w:ascii="Arial" w:cs="Arial" w:eastAsia="Arial" w:hAnsi="Arial"/>
          <w:sz w:val="20"/>
          <w:szCs w:val="20"/>
          <w:color w:val="auto"/>
        </w:rPr>
      </w:pPr>
      <w:r>
        <w:rPr>
          <w:rFonts w:ascii="Arial" w:cs="Arial" w:eastAsia="Arial" w:hAnsi="Arial"/>
          <w:sz w:val="20"/>
          <w:szCs w:val="20"/>
          <w:color w:val="auto"/>
        </w:rPr>
        <w:t>vendor Liens granted in the ordinary course of business in connection with the customary terms for purchase of materials, supplies and equipment;</w:t>
      </w:r>
    </w:p>
    <w:p>
      <w:pPr>
        <w:spacing w:after="0" w:line="168" w:lineRule="exact"/>
        <w:rPr>
          <w:rFonts w:ascii="Arial" w:cs="Arial" w:eastAsia="Arial" w:hAnsi="Arial"/>
          <w:sz w:val="20"/>
          <w:szCs w:val="20"/>
          <w:color w:val="auto"/>
        </w:rPr>
      </w:pPr>
    </w:p>
    <w:p>
      <w:pPr>
        <w:ind w:right="480" w:firstLine="1304"/>
        <w:spacing w:after="0" w:line="229" w:lineRule="auto"/>
        <w:tabs>
          <w:tab w:leader="none" w:pos="1692" w:val="left"/>
        </w:tabs>
        <w:numPr>
          <w:ilvl w:val="1"/>
          <w:numId w:val="212"/>
        </w:numPr>
        <w:rPr>
          <w:rFonts w:ascii="Arial" w:cs="Arial" w:eastAsia="Arial" w:hAnsi="Arial"/>
          <w:sz w:val="20"/>
          <w:szCs w:val="20"/>
          <w:color w:val="auto"/>
        </w:rPr>
      </w:pPr>
      <w:r>
        <w:rPr>
          <w:rFonts w:ascii="Arial" w:cs="Arial" w:eastAsia="Arial" w:hAnsi="Arial"/>
          <w:sz w:val="20"/>
          <w:szCs w:val="20"/>
          <w:color w:val="auto"/>
        </w:rPr>
        <w:t>(i) any Lien granted pursuant to the Loan Documents securing any of the Obligations or any obligations under any Hedge Agreement permitted pursuant to Section 6.04(h)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Liens arising in connection with any margin posted related to Hedge Agreements permitted pursuant to Section 6.04(e);</w:t>
      </w:r>
    </w:p>
    <w:p>
      <w:pPr>
        <w:spacing w:after="0" w:line="189" w:lineRule="exact"/>
        <w:rPr>
          <w:sz w:val="20"/>
          <w:szCs w:val="20"/>
          <w:color w:val="auto"/>
        </w:rPr>
      </w:pPr>
    </w:p>
    <w:p>
      <w:pPr>
        <w:ind w:right="140" w:firstLine="1304"/>
        <w:spacing w:after="0" w:line="229" w:lineRule="auto"/>
        <w:tabs>
          <w:tab w:leader="none" w:pos="1725"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Liens existing on property at the time of the acquisition thereof by the Company or any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Lien was not created in contemplation of such acquisition;</w:t>
      </w:r>
    </w:p>
    <w:p>
      <w:pPr>
        <w:spacing w:after="0" w:line="168" w:lineRule="exact"/>
        <w:rPr>
          <w:rFonts w:ascii="Arial" w:cs="Arial" w:eastAsia="Arial" w:hAnsi="Arial"/>
          <w:sz w:val="20"/>
          <w:szCs w:val="20"/>
          <w:color w:val="auto"/>
        </w:rPr>
      </w:pPr>
    </w:p>
    <w:p>
      <w:pPr>
        <w:ind w:right="840" w:firstLine="1304"/>
        <w:spacing w:after="0" w:line="236" w:lineRule="auto"/>
        <w:tabs>
          <w:tab w:leader="none" w:pos="1725" w:val="left"/>
        </w:tabs>
        <w:numPr>
          <w:ilvl w:val="0"/>
          <w:numId w:val="213"/>
        </w:numPr>
        <w:rPr>
          <w:rFonts w:ascii="Arial" w:cs="Arial" w:eastAsia="Arial" w:hAnsi="Arial"/>
          <w:sz w:val="20"/>
          <w:szCs w:val="20"/>
          <w:color w:val="auto"/>
        </w:rPr>
      </w:pPr>
      <w:r>
        <w:rPr>
          <w:rFonts w:ascii="Arial" w:cs="Arial" w:eastAsia="Arial" w:hAnsi="Arial"/>
          <w:sz w:val="20"/>
          <w:szCs w:val="20"/>
          <w:color w:val="auto"/>
        </w:rPr>
        <w:t>Liens with respect to any accounts and related rights and assets subject to purchase pursuant to any Permitted Securitization Transaction;</w:t>
      </w:r>
    </w:p>
    <w:p>
      <w:pPr>
        <w:spacing w:after="0" w:line="155" w:lineRule="exact"/>
        <w:rPr>
          <w:rFonts w:ascii="Arial" w:cs="Arial" w:eastAsia="Arial" w:hAnsi="Arial"/>
          <w:sz w:val="20"/>
          <w:szCs w:val="20"/>
          <w:color w:val="auto"/>
        </w:rPr>
      </w:pPr>
    </w:p>
    <w:p>
      <w:pPr>
        <w:ind w:firstLine="1304"/>
        <w:spacing w:after="0" w:line="246" w:lineRule="auto"/>
        <w:tabs>
          <w:tab w:leader="none" w:pos="168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Liens securing Indebtedness of a Loan Party under any capital markets or private placement debt agreement (including any agreements with respect to convertible debt securities) or bilateral or syndicated loan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Liens have been or will be substantially simultaneously granted to secure the Obligations on an equal and ratable basis pursuant to appropriate security documents, and subject to an intercreditor agreement, in each case, reasonably acceptable to the Administrative Agent and the Company;</w:t>
      </w:r>
    </w:p>
    <w:p>
      <w:pPr>
        <w:spacing w:after="0" w:line="163" w:lineRule="exact"/>
        <w:rPr>
          <w:rFonts w:ascii="Arial" w:cs="Arial" w:eastAsia="Arial" w:hAnsi="Arial"/>
          <w:sz w:val="18"/>
          <w:szCs w:val="18"/>
          <w:color w:val="auto"/>
        </w:rPr>
      </w:pPr>
    </w:p>
    <w:p>
      <w:pPr>
        <w:ind w:left="1680" w:hanging="376"/>
        <w:spacing w:after="0"/>
        <w:tabs>
          <w:tab w:leader="none" w:pos="168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Liens securing Indebtedness of any Subsidiary owed to the Company or any other Loan Party; and</w:t>
      </w:r>
    </w:p>
    <w:p>
      <w:pPr>
        <w:spacing w:after="0" w:line="188" w:lineRule="exact"/>
        <w:rPr>
          <w:rFonts w:ascii="Arial" w:cs="Arial" w:eastAsia="Arial" w:hAnsi="Arial"/>
          <w:sz w:val="20"/>
          <w:szCs w:val="20"/>
          <w:color w:val="auto"/>
        </w:rPr>
      </w:pPr>
    </w:p>
    <w:p>
      <w:pPr>
        <w:ind w:right="260" w:firstLine="1304"/>
        <w:spacing w:after="0" w:line="231" w:lineRule="auto"/>
        <w:tabs>
          <w:tab w:leader="none" w:pos="172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addition to any Lien permitted pursuant to any of the foregoing subparts, Liens securing other obligations of the Company or any of its Subsidiaries, so long as at the time of and after giving effect to the incurrence of such obligations, the aggregate principal amount of (x) all such obligations secured by Liens permitted pursuant to this clause (k), (y) all Indebtedness of Subsidiaries that are not a Borrower or Subsidiary Guarantor incurred pursuant to Section 6.04(g) and (z) all Indebtedness permitted pursuant to Section</w:t>
      </w:r>
    </w:p>
    <w:p>
      <w:pPr>
        <w:spacing w:after="0" w:line="2" w:lineRule="exact"/>
        <w:rPr>
          <w:rFonts w:ascii="Arial" w:cs="Arial" w:eastAsia="Arial" w:hAnsi="Arial"/>
          <w:sz w:val="18"/>
          <w:szCs w:val="18"/>
          <w:color w:val="auto"/>
        </w:rPr>
      </w:pPr>
    </w:p>
    <w:p>
      <w:pPr>
        <w:ind w:right="220"/>
        <w:spacing w:after="0" w:line="239" w:lineRule="auto"/>
        <w:rPr>
          <w:rFonts w:ascii="Arial" w:cs="Arial" w:eastAsia="Arial" w:hAnsi="Arial"/>
          <w:sz w:val="18"/>
          <w:szCs w:val="18"/>
          <w:color w:val="auto"/>
        </w:rPr>
      </w:pPr>
      <w:r>
        <w:rPr>
          <w:rFonts w:ascii="Arial" w:cs="Arial" w:eastAsia="Arial" w:hAnsi="Arial"/>
          <w:sz w:val="19"/>
          <w:szCs w:val="19"/>
          <w:color w:val="auto"/>
        </w:rPr>
        <w:t>6.04(m), when taken together (without duplication in the case of Indebtedness secured by Liens permitted pursuant to this clause (k)), does not at any time exceed an amount equal to the greater of $1,000,000,000 and 15% of Consolidated Total Assets.</w:t>
      </w:r>
    </w:p>
    <w:p>
      <w:pPr>
        <w:spacing w:after="0" w:line="170" w:lineRule="exact"/>
        <w:rPr>
          <w:sz w:val="20"/>
          <w:szCs w:val="20"/>
          <w:color w:val="auto"/>
        </w:rPr>
      </w:pPr>
    </w:p>
    <w:p>
      <w:pPr>
        <w:ind w:right="140" w:firstLine="648"/>
        <w:spacing w:after="0" w:line="229"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u w:val="single" w:color="auto"/>
          <w:color w:val="auto"/>
        </w:rPr>
        <w:t>Indebtedness of Non-Loan Party Subsidiaries</w:t>
      </w:r>
      <w:r>
        <w:rPr>
          <w:rFonts w:ascii="Arial" w:cs="Arial" w:eastAsia="Arial" w:hAnsi="Arial"/>
          <w:sz w:val="20"/>
          <w:szCs w:val="20"/>
          <w:color w:val="auto"/>
        </w:rPr>
        <w:t>. No Borrower will permit any of its Subsidiaries that is not a Borrower or a Subsidiary Guarantor to, contract, create, incur, assume or suffer to exist any Indebtedness, except:</w:t>
      </w:r>
    </w:p>
    <w:p>
      <w:pPr>
        <w:spacing w:after="0" w:line="169" w:lineRule="exact"/>
        <w:rPr>
          <w:sz w:val="20"/>
          <w:szCs w:val="20"/>
          <w:color w:val="auto"/>
        </w:rPr>
      </w:pPr>
    </w:p>
    <w:p>
      <w:pPr>
        <w:ind w:left="1720" w:hanging="416"/>
        <w:spacing w:after="0"/>
        <w:tabs>
          <w:tab w:leader="none" w:pos="172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Indebtedness incurred under this Agreement and the other Loan Documents;</w:t>
      </w:r>
    </w:p>
    <w:p>
      <w:pPr>
        <w:spacing w:after="0" w:line="175" w:lineRule="exact"/>
        <w:rPr>
          <w:rFonts w:ascii="Arial" w:cs="Arial" w:eastAsia="Arial" w:hAnsi="Arial"/>
          <w:sz w:val="20"/>
          <w:szCs w:val="20"/>
          <w:color w:val="auto"/>
        </w:rPr>
      </w:pPr>
    </w:p>
    <w:p>
      <w:pPr>
        <w:ind w:right="100" w:firstLine="1304"/>
        <w:spacing w:after="0" w:line="281" w:lineRule="auto"/>
        <w:tabs>
          <w:tab w:leader="none" w:pos="172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(A) Indebtedness outstanding on the Closing Date and, to the extent in respect of obligations in excess of $25,000,000, set forth on </w:t>
      </w:r>
      <w:r>
        <w:rPr>
          <w:rFonts w:ascii="Arial" w:cs="Arial" w:eastAsia="Arial" w:hAnsi="Arial"/>
          <w:sz w:val="16"/>
          <w:szCs w:val="16"/>
          <w:u w:val="single" w:color="auto"/>
          <w:color w:val="auto"/>
        </w:rPr>
        <w:t>Schedule 6.04</w:t>
      </w:r>
      <w:r>
        <w:rPr>
          <w:rFonts w:ascii="Arial" w:cs="Arial" w:eastAsia="Arial" w:hAnsi="Arial"/>
          <w:sz w:val="16"/>
          <w:szCs w:val="16"/>
          <w:color w:val="auto"/>
        </w:rPr>
        <w:t xml:space="preserve"> hereto and (B) any refinancing, extension, renewal or refunding of any such Indebtedness not involving an increase in the principal amount thereof except (i) by an amount equal to a reasonable premium or other reasonable amount paid, and fees and expenses reasonably incurred, in connection with such refinancing and by an amount equal to any existing commitments unutilized thereunder and/or (ii) to the extent that any such increase is permitted to be incurred under any other clause of this Section 6.04;</w:t>
      </w:r>
    </w:p>
    <w:p>
      <w:pPr>
        <w:spacing w:after="0" w:line="137" w:lineRule="exact"/>
        <w:rPr>
          <w:rFonts w:ascii="Arial" w:cs="Arial" w:eastAsia="Arial" w:hAnsi="Arial"/>
          <w:sz w:val="16"/>
          <w:szCs w:val="16"/>
          <w:color w:val="auto"/>
        </w:rPr>
      </w:pPr>
    </w:p>
    <w:p>
      <w:pPr>
        <w:ind w:right="40" w:firstLine="1304"/>
        <w:spacing w:after="0" w:line="238" w:lineRule="auto"/>
        <w:tabs>
          <w:tab w:leader="none" w:pos="171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 Indebtedness assumed in connection with any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was not incurred in contemplation of such Acquisition, (ii) no Default or Event of Default shall then exist or at the time such Indebtedness is assumed will exist and (iii) the Company shall be in compliance with the Financial Covenants both immediately before and after giving effect to the assumption of such Indebtedness on a Pro Forma Basis and (B) any refinancing, extension, renewal or refunding of any such Indebtedness not involving an increase in the principal amount thereof except (i) by an amount equal to a reasonable premium or other reasonable amount paid, and fees and expenses reasonably incurred, in connection with such refinancing and by an amount equal to any existing commitments unutilized thereunder and/or (ii) to the extent that any such increase is permitted to be incurred under any other clause of this Section 6.04;</w:t>
      </w:r>
    </w:p>
    <w:p>
      <w:pPr>
        <w:spacing w:after="0" w:line="156" w:lineRule="exact"/>
        <w:rPr>
          <w:rFonts w:ascii="Arial" w:cs="Arial" w:eastAsia="Arial" w:hAnsi="Arial"/>
          <w:sz w:val="18"/>
          <w:szCs w:val="18"/>
          <w:color w:val="auto"/>
        </w:rPr>
      </w:pPr>
    </w:p>
    <w:p>
      <w:pPr>
        <w:ind w:left="1740" w:hanging="436"/>
        <w:spacing w:after="0"/>
        <w:tabs>
          <w:tab w:leader="none" w:pos="17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Indebtedness owed to the Company or any of its Subsidiaries;</w:t>
      </w:r>
    </w:p>
    <w:p>
      <w:pPr>
        <w:spacing w:after="0" w:line="188" w:lineRule="exact"/>
        <w:rPr>
          <w:rFonts w:ascii="Arial" w:cs="Arial" w:eastAsia="Arial" w:hAnsi="Arial"/>
          <w:sz w:val="20"/>
          <w:szCs w:val="20"/>
          <w:color w:val="auto"/>
        </w:rPr>
      </w:pPr>
    </w:p>
    <w:p>
      <w:pPr>
        <w:ind w:right="280" w:firstLine="1304"/>
        <w:spacing w:after="0" w:line="236" w:lineRule="auto"/>
        <w:tabs>
          <w:tab w:leader="none" w:pos="171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Indebtedness of such Subsidiaries under or in support of Hedge Agreements,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such Hedge Agreements have been entered into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205" w:name="page206"/>
    <w:bookmarkEnd w:id="205"/>
    <w:p>
      <w:pPr>
        <w:ind w:right="20" w:firstLine="1304"/>
        <w:spacing w:after="0" w:line="226" w:lineRule="auto"/>
        <w:tabs>
          <w:tab w:leader="none" w:pos="1692" w:val="left"/>
        </w:tabs>
        <w:numPr>
          <w:ilvl w:val="0"/>
          <w:numId w:val="215"/>
        </w:numPr>
        <w:rPr>
          <w:rFonts w:ascii="Arial" w:cs="Arial" w:eastAsia="Arial" w:hAnsi="Arial"/>
          <w:sz w:val="19"/>
          <w:szCs w:val="19"/>
          <w:color w:val="auto"/>
        </w:rPr>
      </w:pPr>
      <w:r>
        <w:rPr>
          <w:rFonts w:ascii="Arial" w:cs="Arial" w:eastAsia="Arial" w:hAnsi="Arial"/>
          <w:sz w:val="19"/>
          <w:szCs w:val="19"/>
          <w:color w:val="auto"/>
        </w:rPr>
        <w:t>(A) Indebtedness (i) consisting of Capital Lease Obligations or (ii) incurred in connection with the acquisition, construction or improvement of fixed or capital assets secured by Liens permitted pursuant to Section 6.03(c) hereof and (B) any refinancing, extension, renewal or refunding of any such Indebtedness not involving an increase in the principal amount thereof except (i) by an amount equal to a reasonable premium or other reasonable amount paid, and fees and expenses reasonably incurred, in connection with such refinancing and by an amount equal to any existing commitments unutilized thereunder and/or (ii) to the extent that any such increase is permitted to be incurred under any other clause of this Section 6.04;</w:t>
      </w:r>
    </w:p>
    <w:p>
      <w:pPr>
        <w:spacing w:after="0" w:line="169" w:lineRule="exact"/>
        <w:rPr>
          <w:rFonts w:ascii="Arial" w:cs="Arial" w:eastAsia="Arial" w:hAnsi="Arial"/>
          <w:sz w:val="19"/>
          <w:szCs w:val="19"/>
          <w:color w:val="auto"/>
        </w:rPr>
      </w:pPr>
    </w:p>
    <w:p>
      <w:pPr>
        <w:ind w:right="60" w:firstLine="1304"/>
        <w:spacing w:after="0" w:line="223" w:lineRule="auto"/>
        <w:tabs>
          <w:tab w:leader="none" w:pos="1725"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Indebtedness of any special purpose entity created or acquired in connection with, or which issues Indebtedness in connection with, a Permitted Securitization Transaction,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amount of all such Indebtedness outstanding at any time pursuant to this clause (g) shall not exceed $200,000,000;</w:t>
      </w:r>
    </w:p>
    <w:p>
      <w:pPr>
        <w:spacing w:after="0" w:line="168" w:lineRule="exact"/>
        <w:rPr>
          <w:rFonts w:ascii="Arial" w:cs="Arial" w:eastAsia="Arial" w:hAnsi="Arial"/>
          <w:sz w:val="20"/>
          <w:szCs w:val="20"/>
          <w:color w:val="auto"/>
        </w:rPr>
      </w:pPr>
    </w:p>
    <w:p>
      <w:pPr>
        <w:ind w:right="300" w:firstLine="1304"/>
        <w:spacing w:after="0" w:line="236" w:lineRule="auto"/>
        <w:tabs>
          <w:tab w:leader="none" w:pos="1725"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any Guaranty Obligations of any Subsidiary of the Company in favor of the Administrative Agent, the Issuing Bank and the Lenders and any other Credit Party in respect of any Designated Hedge Agreement;</w:t>
      </w:r>
    </w:p>
    <w:p>
      <w:pPr>
        <w:spacing w:after="0" w:line="155" w:lineRule="exact"/>
        <w:rPr>
          <w:rFonts w:ascii="Arial" w:cs="Arial" w:eastAsia="Arial" w:hAnsi="Arial"/>
          <w:sz w:val="20"/>
          <w:szCs w:val="20"/>
          <w:color w:val="auto"/>
        </w:rPr>
      </w:pPr>
    </w:p>
    <w:p>
      <w:pPr>
        <w:ind w:right="440" w:firstLine="1304"/>
        <w:spacing w:after="0" w:line="236" w:lineRule="auto"/>
        <w:tabs>
          <w:tab w:leader="none" w:pos="1681" w:val="left"/>
        </w:tabs>
        <w:numPr>
          <w:ilvl w:val="0"/>
          <w:numId w:val="215"/>
        </w:numPr>
        <w:rPr>
          <w:rFonts w:ascii="Arial" w:cs="Arial" w:eastAsia="Arial" w:hAnsi="Arial"/>
          <w:sz w:val="20"/>
          <w:szCs w:val="20"/>
          <w:color w:val="auto"/>
        </w:rPr>
      </w:pPr>
      <w:r>
        <w:rPr>
          <w:rFonts w:ascii="Arial" w:cs="Arial" w:eastAsia="Arial" w:hAnsi="Arial"/>
          <w:sz w:val="20"/>
          <w:szCs w:val="20"/>
          <w:color w:val="auto"/>
        </w:rPr>
        <w:t>Indebtedness incurred or arising from or as a result of agreements providing for indemnification, deferred payment obligations, purchase price adjustments, earn-out payments or similar obligations;</w:t>
      </w:r>
    </w:p>
    <w:p>
      <w:pPr>
        <w:spacing w:after="0" w:line="166" w:lineRule="exact"/>
        <w:rPr>
          <w:rFonts w:ascii="Arial" w:cs="Arial" w:eastAsia="Arial" w:hAnsi="Arial"/>
          <w:sz w:val="20"/>
          <w:szCs w:val="20"/>
          <w:color w:val="auto"/>
        </w:rPr>
      </w:pPr>
    </w:p>
    <w:p>
      <w:pPr>
        <w:ind w:left="1680" w:hanging="376"/>
        <w:spacing w:after="0"/>
        <w:tabs>
          <w:tab w:leader="none" w:pos="16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Guaranty Obligations of any Subsidiary of the Company with respect to Indebtedness incurred pursuant to Section</w:t>
      </w:r>
    </w:p>
    <w:p>
      <w:pPr>
        <w:spacing w:after="0"/>
        <w:rPr>
          <w:rFonts w:ascii="Arial" w:cs="Arial" w:eastAsia="Arial" w:hAnsi="Arial"/>
          <w:sz w:val="18"/>
          <w:szCs w:val="18"/>
          <w:color w:val="auto"/>
        </w:rPr>
      </w:pPr>
      <w:r>
        <w:rPr>
          <w:rFonts w:ascii="Arial" w:cs="Arial" w:eastAsia="Arial" w:hAnsi="Arial"/>
          <w:sz w:val="20"/>
          <w:szCs w:val="20"/>
          <w:color w:val="auto"/>
        </w:rPr>
        <w:t>6.04(m);</w:t>
      </w:r>
    </w:p>
    <w:p>
      <w:pPr>
        <w:spacing w:after="0" w:line="172" w:lineRule="exact"/>
        <w:rPr>
          <w:rFonts w:ascii="Arial" w:cs="Arial" w:eastAsia="Arial" w:hAnsi="Arial"/>
          <w:sz w:val="18"/>
          <w:szCs w:val="18"/>
          <w:color w:val="auto"/>
        </w:rPr>
      </w:pPr>
    </w:p>
    <w:p>
      <w:pPr>
        <w:ind w:right="480" w:firstLine="1304"/>
        <w:spacing w:after="0" w:line="236" w:lineRule="auto"/>
        <w:tabs>
          <w:tab w:leader="none" w:pos="1725" w:val="left"/>
        </w:tabs>
        <w:numPr>
          <w:ilvl w:val="0"/>
          <w:numId w:val="215"/>
        </w:numPr>
        <w:rPr>
          <w:rFonts w:ascii="Arial" w:cs="Arial" w:eastAsia="Arial" w:hAnsi="Arial"/>
          <w:sz w:val="20"/>
          <w:szCs w:val="20"/>
          <w:color w:val="auto"/>
        </w:rPr>
      </w:pPr>
      <w:r>
        <w:rPr>
          <w:rFonts w:ascii="Arial" w:cs="Arial" w:eastAsia="Arial" w:hAnsi="Arial"/>
          <w:sz w:val="20"/>
          <w:szCs w:val="20"/>
          <w:color w:val="auto"/>
        </w:rPr>
        <w:t>Indebtedness in connection with overdue accounts payable, which are being contested in good faith and for which adequate reserves have been established in accordance with GAAP;</w:t>
      </w:r>
    </w:p>
    <w:p>
      <w:pPr>
        <w:spacing w:after="0" w:line="155" w:lineRule="exact"/>
        <w:rPr>
          <w:rFonts w:ascii="Arial" w:cs="Arial" w:eastAsia="Arial" w:hAnsi="Arial"/>
          <w:sz w:val="20"/>
          <w:szCs w:val="20"/>
          <w:color w:val="auto"/>
        </w:rPr>
      </w:pPr>
    </w:p>
    <w:p>
      <w:pPr>
        <w:ind w:firstLine="1304"/>
        <w:spacing w:after="0" w:line="236" w:lineRule="auto"/>
        <w:tabs>
          <w:tab w:leader="none" w:pos="1681" w:val="left"/>
        </w:tabs>
        <w:numPr>
          <w:ilvl w:val="0"/>
          <w:numId w:val="215"/>
        </w:numPr>
        <w:rPr>
          <w:rFonts w:ascii="Arial" w:cs="Arial" w:eastAsia="Arial" w:hAnsi="Arial"/>
          <w:sz w:val="20"/>
          <w:szCs w:val="20"/>
          <w:color w:val="auto"/>
        </w:rPr>
      </w:pPr>
      <w:r>
        <w:rPr>
          <w:rFonts w:ascii="Arial" w:cs="Arial" w:eastAsia="Arial" w:hAnsi="Arial"/>
          <w:sz w:val="20"/>
          <w:szCs w:val="20"/>
          <w:color w:val="auto"/>
        </w:rPr>
        <w:t>Indebtedness in respect of netting services, automatic clearing house arrangements, employees’ credit or purchase cards, overdraft protections and similar arrangements in each case incurred in the ordinary course of business; and</w:t>
      </w:r>
    </w:p>
    <w:p>
      <w:pPr>
        <w:spacing w:after="0" w:line="155" w:lineRule="exact"/>
        <w:rPr>
          <w:rFonts w:ascii="Arial" w:cs="Arial" w:eastAsia="Arial" w:hAnsi="Arial"/>
          <w:sz w:val="20"/>
          <w:szCs w:val="20"/>
          <w:color w:val="auto"/>
        </w:rPr>
      </w:pPr>
    </w:p>
    <w:p>
      <w:pPr>
        <w:ind w:right="80" w:firstLine="1304"/>
        <w:spacing w:after="0" w:line="217" w:lineRule="auto"/>
        <w:tabs>
          <w:tab w:leader="none" w:pos="17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additional Indebtedness of any Subsidiary that is not a Loan Party, so long as at the time of and after giving effect to the incurrence of such Indebtedness, the aggregate principal amount of (i) all such Indebtedness permitted pursuant to this clause (m), (ii) all Indebtedness of Subsidiaries that are not a Borrower or Subsidiary Guarantor incurred pursuant to Section 6.04(g) and (iii) all obligations secured by Liens permitted pursuant to Section 6.03(k), when taken together (without duplication in the case of Liens securing Indebtedness permitted pursuant to this clause (m)), does not at any time exceed an amount equal to the greater of $1,000,000,000 and 15% of Consolidated Total Assets.</w:t>
      </w:r>
    </w:p>
    <w:p>
      <w:pPr>
        <w:spacing w:after="0" w:line="1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6.06</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189" w:lineRule="exact"/>
        <w:rPr>
          <w:sz w:val="20"/>
          <w:szCs w:val="20"/>
          <w:color w:val="auto"/>
        </w:rPr>
      </w:pPr>
    </w:p>
    <w:p>
      <w:pPr>
        <w:ind w:right="40" w:firstLine="1304"/>
        <w:spacing w:after="0" w:line="242" w:lineRule="auto"/>
        <w:tabs>
          <w:tab w:leader="none" w:pos="1713"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Total Leverage Ratio</w:t>
      </w:r>
      <w:r>
        <w:rPr>
          <w:rFonts w:ascii="Arial" w:cs="Arial" w:eastAsia="Arial" w:hAnsi="Arial"/>
          <w:sz w:val="19"/>
          <w:szCs w:val="19"/>
          <w:color w:val="auto"/>
        </w:rPr>
        <w:t>. The Company will not permit the Total Leverage Ratio as of the last day of any Testing Period of the Company, beginning with the fiscal quarter ending April 30, 2020, to exceed the Maximum Total Leverage Ratio.</w:t>
      </w:r>
    </w:p>
    <w:p>
      <w:pPr>
        <w:spacing w:after="0" w:line="166" w:lineRule="exact"/>
        <w:rPr>
          <w:rFonts w:ascii="Arial" w:cs="Arial" w:eastAsia="Arial" w:hAnsi="Arial"/>
          <w:sz w:val="19"/>
          <w:szCs w:val="19"/>
          <w:color w:val="auto"/>
        </w:rPr>
      </w:pPr>
    </w:p>
    <w:p>
      <w:pPr>
        <w:ind w:right="380" w:firstLine="1304"/>
        <w:spacing w:after="0" w:line="236" w:lineRule="auto"/>
        <w:tabs>
          <w:tab w:leader="none" w:pos="1724"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Interest Coverage Ratio</w:t>
      </w:r>
      <w:r>
        <w:rPr>
          <w:rFonts w:ascii="Arial" w:cs="Arial" w:eastAsia="Arial" w:hAnsi="Arial"/>
          <w:sz w:val="20"/>
          <w:szCs w:val="20"/>
          <w:color w:val="auto"/>
        </w:rPr>
        <w:t>. The Company will not permit the Interest Coverage Ratio as of the last day of any Testing Period of the Company, beginning with the fiscal quarter April 30, 2020, to be less than 3.00 to 1.00.</w:t>
      </w:r>
    </w:p>
    <w:p>
      <w:pPr>
        <w:spacing w:after="0" w:line="15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6.08</w:t>
      </w:r>
      <w:r>
        <w:rPr>
          <w:sz w:val="20"/>
          <w:szCs w:val="20"/>
          <w:color w:val="auto"/>
        </w:rPr>
        <w:tab/>
      </w:r>
      <w:r>
        <w:rPr>
          <w:rFonts w:ascii="Arial" w:cs="Arial" w:eastAsia="Arial" w:hAnsi="Arial"/>
          <w:sz w:val="18"/>
          <w:szCs w:val="18"/>
          <w:u w:val="single" w:color="auto"/>
          <w:color w:val="auto"/>
        </w:rPr>
        <w:t>Transactions with Affiliate</w:t>
      </w:r>
      <w:r>
        <w:rPr>
          <w:rFonts w:ascii="Arial" w:cs="Arial" w:eastAsia="Arial" w:hAnsi="Arial"/>
          <w:sz w:val="18"/>
          <w:szCs w:val="18"/>
          <w:color w:val="auto"/>
        </w:rPr>
        <w:t>. No Borrower will, nor will it permit any Subsidiary to, enter into any transaction or series</w:t>
      </w:r>
    </w:p>
    <w:p>
      <w:pPr>
        <w:ind w:right="80"/>
        <w:spacing w:after="0" w:line="220" w:lineRule="auto"/>
        <w:rPr>
          <w:sz w:val="20"/>
          <w:szCs w:val="20"/>
          <w:color w:val="auto"/>
        </w:rPr>
      </w:pPr>
      <w:r>
        <w:rPr>
          <w:rFonts w:ascii="Arial" w:cs="Arial" w:eastAsia="Arial" w:hAnsi="Arial"/>
          <w:sz w:val="20"/>
          <w:szCs w:val="20"/>
          <w:color w:val="auto"/>
        </w:rPr>
        <w:t>of transactions with any Affiliate (other than transactions between or among the Company and/or any of the Company’s Subsidiaries and not involving any other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77</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other than upon fair and reasonable terms no less favorable to such Borrower or such Subsidiary than would be obtained in a comparable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arm’s-length transaction with a Person other than an Affiliate, except (i) sales of goods to an Affiliate for use or distribution outside the United States that in the good faith judgment of such Borrower comply with any applicable legal requirements of the Code, or (ii) agreements</w:t>
      </w:r>
    </w:p>
    <w:p>
      <w:pPr>
        <w:spacing w:after="0" w:line="236" w:lineRule="auto"/>
        <w:rPr>
          <w:sz w:val="20"/>
          <w:szCs w:val="20"/>
          <w:color w:val="auto"/>
        </w:rPr>
      </w:pPr>
      <w:r>
        <w:rPr>
          <w:rFonts w:ascii="Arial" w:cs="Arial" w:eastAsia="Arial" w:hAnsi="Arial"/>
          <w:sz w:val="18"/>
          <w:szCs w:val="18"/>
          <w:color w:val="auto"/>
        </w:rPr>
        <w:t>and transactions with and payments to officers, directors and shareholders that are either (A) entered into in the ordinary course of business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and not prohibited by any of the provisions of this Agreement, or (B) entered into outside the ordinary course of business, approved by the directors or shareholders of such Borrower, and not prohibited by any of the provisions of this Agreement or in violation of any law, rule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regulation.</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6.09</w:t>
      </w:r>
      <w:r>
        <w:rPr>
          <w:sz w:val="20"/>
          <w:szCs w:val="20"/>
          <w:color w:val="auto"/>
        </w:rPr>
        <w:tab/>
      </w:r>
      <w:r>
        <w:rPr>
          <w:rFonts w:ascii="Arial" w:cs="Arial" w:eastAsia="Arial" w:hAnsi="Arial"/>
          <w:sz w:val="16"/>
          <w:szCs w:val="16"/>
          <w:u w:val="single" w:color="auto"/>
          <w:color w:val="auto"/>
        </w:rPr>
        <w:t>Sanctions Laws and Regulations</w:t>
      </w:r>
      <w:r>
        <w:rPr>
          <w:rFonts w:ascii="Arial" w:cs="Arial" w:eastAsia="Arial" w:hAnsi="Arial"/>
          <w:sz w:val="16"/>
          <w:szCs w:val="16"/>
          <w:color w:val="auto"/>
        </w:rPr>
        <w:t>.</w:t>
      </w:r>
    </w:p>
    <w:p>
      <w:pPr>
        <w:spacing w:after="0" w:line="175" w:lineRule="exact"/>
        <w:rPr>
          <w:sz w:val="20"/>
          <w:szCs w:val="20"/>
          <w:color w:val="auto"/>
        </w:rPr>
      </w:pPr>
    </w:p>
    <w:p>
      <w:pPr>
        <w:jc w:val="both"/>
        <w:ind w:right="20" w:firstLine="1304"/>
        <w:spacing w:after="0" w:line="246" w:lineRule="auto"/>
        <w:tabs>
          <w:tab w:leader="none" w:pos="171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Borrower shall, directly or indirectly, use the proceeds of the Loans, or lend, contribute or otherwise make available such proceeds to any Subsidiary, joint venture partner or other person or entity (i) to fund any activities or business of or with any Designated Person, or in any Sanctioned Country that would result in a violation of any Sanctions Laws and Regulations by any party to this Agreement or (ii) in any other manner that would result in a violation of any Sanctions Laws and Regulations by any party to this Agreement.</w:t>
      </w:r>
    </w:p>
    <w:p>
      <w:pPr>
        <w:spacing w:after="0" w:line="163" w:lineRule="exact"/>
        <w:rPr>
          <w:rFonts w:ascii="Arial" w:cs="Arial" w:eastAsia="Arial" w:hAnsi="Arial"/>
          <w:sz w:val="18"/>
          <w:szCs w:val="18"/>
          <w:color w:val="auto"/>
        </w:rPr>
      </w:pPr>
    </w:p>
    <w:p>
      <w:pPr>
        <w:jc w:val="both"/>
        <w:ind w:right="460" w:firstLine="1304"/>
        <w:spacing w:after="0" w:line="223" w:lineRule="auto"/>
        <w:tabs>
          <w:tab w:leader="none" w:pos="1725" w:val="left"/>
        </w:tabs>
        <w:numPr>
          <w:ilvl w:val="0"/>
          <w:numId w:val="217"/>
        </w:numPr>
        <w:rPr>
          <w:rFonts w:ascii="Arial" w:cs="Arial" w:eastAsia="Arial" w:hAnsi="Arial"/>
          <w:sz w:val="20"/>
          <w:szCs w:val="20"/>
          <w:color w:val="auto"/>
        </w:rPr>
      </w:pPr>
      <w:r>
        <w:rPr>
          <w:rFonts w:ascii="Arial" w:cs="Arial" w:eastAsia="Arial" w:hAnsi="Arial"/>
          <w:sz w:val="20"/>
          <w:szCs w:val="20"/>
          <w:color w:val="auto"/>
        </w:rPr>
        <w:t>None of the funds or assets of any Borrower that are used to pay any amount due pursuant to this Agreement shall constitute funds obtained from transactions with or relating to Designated Persons or Sanctioned Countries in violation of any Sanctions Laws and Regulations.</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ARTICLE VII</w:t>
      </w:r>
    </w:p>
    <w:p>
      <w:pPr>
        <w:spacing w:after="0" w:line="162"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EVENTS OF DEFAULT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b w:val="1"/>
          <w:bCs w:val="1"/>
          <w:i w:val="1"/>
          <w:iCs w:val="1"/>
          <w:color w:val="auto"/>
        </w:rPr>
        <w:t>Events of Default</w:t>
      </w:r>
      <w:r>
        <w:rPr>
          <w:rFonts w:ascii="Arial" w:cs="Arial" w:eastAsia="Arial" w:hAnsi="Arial"/>
          <w:sz w:val="20"/>
          <w:szCs w:val="20"/>
          <w:color w:val="auto"/>
        </w:rPr>
        <w:t>”) shall occur:</w:t>
      </w:r>
    </w:p>
    <w:p>
      <w:pPr>
        <w:spacing w:after="0" w:line="175" w:lineRule="exact"/>
        <w:rPr>
          <w:sz w:val="20"/>
          <w:szCs w:val="20"/>
          <w:color w:val="auto"/>
        </w:rPr>
      </w:pPr>
    </w:p>
    <w:p>
      <w:pPr>
        <w:ind w:right="140" w:firstLine="1304"/>
        <w:spacing w:after="0" w:line="227" w:lineRule="auto"/>
        <w:tabs>
          <w:tab w:leader="none" w:pos="171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7" w:lineRule="exact"/>
        <w:rPr>
          <w:rFonts w:ascii="Arial" w:cs="Arial" w:eastAsia="Arial" w:hAnsi="Arial"/>
          <w:sz w:val="20"/>
          <w:szCs w:val="20"/>
          <w:color w:val="auto"/>
        </w:rPr>
      </w:pPr>
    </w:p>
    <w:p>
      <w:pPr>
        <w:ind w:right="180" w:firstLine="1304"/>
        <w:spacing w:after="0" w:line="227" w:lineRule="auto"/>
        <w:tabs>
          <w:tab w:leader="none" w:pos="172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(5) Business Days;</w:t>
      </w:r>
    </w:p>
    <w:p>
      <w:pPr>
        <w:spacing w:after="0" w:line="157" w:lineRule="exact"/>
        <w:rPr>
          <w:rFonts w:ascii="Arial" w:cs="Arial" w:eastAsia="Arial" w:hAnsi="Arial"/>
          <w:sz w:val="20"/>
          <w:szCs w:val="20"/>
          <w:color w:val="auto"/>
        </w:rPr>
      </w:pPr>
    </w:p>
    <w:p>
      <w:pPr>
        <w:ind w:right="60" w:firstLine="1304"/>
        <w:spacing w:after="0" w:line="218" w:lineRule="auto"/>
        <w:tabs>
          <w:tab w:leader="none" w:pos="171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any Borrower or any other Loan Party in or in connection with this Agreement and the other Loan Documents or any amendment or modification hereof or waiver hereunder or thereunder, or in any report, certificate, financial statement or other document furnished pursuant to or in connection with this Agreement or any amendment or modification hereof or waiver hereunder or thereunder, shall prove to have been incorrect in any material respect when made or deemed made;</w:t>
      </w:r>
    </w:p>
    <w:p>
      <w:pPr>
        <w:spacing w:after="0" w:line="170" w:lineRule="exact"/>
        <w:rPr>
          <w:rFonts w:ascii="Arial" w:cs="Arial" w:eastAsia="Arial" w:hAnsi="Arial"/>
          <w:sz w:val="20"/>
          <w:szCs w:val="20"/>
          <w:color w:val="auto"/>
        </w:rPr>
      </w:pPr>
    </w:p>
    <w:p>
      <w:pPr>
        <w:ind w:right="160" w:firstLine="1304"/>
        <w:spacing w:after="0" w:line="229" w:lineRule="auto"/>
        <w:tabs>
          <w:tab w:leader="none" w:pos="1725"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Borrower shall fail to observe or perform any covenant, condition or agreement contained in Section 5.02(a), 5.03 (with respect to the existence of any Borrower) or 5.08 or in Article VI;</w:t>
      </w:r>
    </w:p>
    <w:p>
      <w:pPr>
        <w:spacing w:after="0" w:line="168" w:lineRule="exact"/>
        <w:rPr>
          <w:rFonts w:ascii="Arial" w:cs="Arial" w:eastAsia="Arial" w:hAnsi="Arial"/>
          <w:sz w:val="20"/>
          <w:szCs w:val="20"/>
          <w:color w:val="auto"/>
        </w:rPr>
      </w:pPr>
    </w:p>
    <w:p>
      <w:pPr>
        <w:ind w:right="80" w:firstLine="1304"/>
        <w:spacing w:after="0" w:line="223" w:lineRule="auto"/>
        <w:tabs>
          <w:tab w:leader="none" w:pos="171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Borrower shall fail to observe or perform any covenant, condition or agreement contained in this Agreement (other than those specified in clause (a), (b) or (d) of this Article), and such failure shall continue unremedied for a period of thirty (30) days after notice thereof from the Administrative Agent or the Required Lenders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07" w:name="page208"/>
    <w:bookmarkEnd w:id="207"/>
    <w:p>
      <w:pPr>
        <w:ind w:right="540" w:firstLine="1304"/>
        <w:spacing w:after="0" w:line="236" w:lineRule="auto"/>
        <w:tabs>
          <w:tab w:leader="none" w:pos="169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Borrower or any Subsidiary shall fail to make any payment (whether of principal or interest and regardless of amount) in respect of any Material Indebtedness, when and as the same shall become due and payable;</w:t>
      </w:r>
    </w:p>
    <w:p>
      <w:pPr>
        <w:spacing w:after="0" w:line="155" w:lineRule="exact"/>
        <w:rPr>
          <w:rFonts w:ascii="Arial" w:cs="Arial" w:eastAsia="Arial" w:hAnsi="Arial"/>
          <w:sz w:val="20"/>
          <w:szCs w:val="20"/>
          <w:color w:val="auto"/>
        </w:rPr>
      </w:pPr>
    </w:p>
    <w:p>
      <w:pPr>
        <w:ind w:right="40" w:firstLine="1304"/>
        <w:spacing w:after="0" w:line="238" w:lineRule="auto"/>
        <w:tabs>
          <w:tab w:leader="none" w:pos="172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or (ii) without limitation of the foregoing, any default in any payment obligation under a Designated Hedge Agreement that continues after the applicable grace period, if any, specified in such Designated Hedge Agreement or any other agreement or instrument relating thereto, to the extent the termination value of such Designated Hedge Agreement is greater than the greater of $150,000,000 and 6% of Consolidated Total Tangible Assets;</w:t>
      </w:r>
    </w:p>
    <w:p>
      <w:pPr>
        <w:spacing w:after="0" w:line="169" w:lineRule="exact"/>
        <w:rPr>
          <w:rFonts w:ascii="Arial" w:cs="Arial" w:eastAsia="Arial" w:hAnsi="Arial"/>
          <w:sz w:val="18"/>
          <w:szCs w:val="18"/>
          <w:color w:val="auto"/>
        </w:rPr>
      </w:pPr>
    </w:p>
    <w:p>
      <w:pPr>
        <w:ind w:right="120" w:firstLine="1304"/>
        <w:spacing w:after="0" w:line="214" w:lineRule="auto"/>
        <w:tabs>
          <w:tab w:leader="none" w:pos="1725"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Borrower or any Material Subsidiary or for a substantial part of its assets, and, in any such case, such proceeding or petition shall continue undismissed for 60 days or an order or decree approving or ordering any of the foregoing shall be entered;</w:t>
      </w:r>
    </w:p>
    <w:p>
      <w:pPr>
        <w:spacing w:after="0" w:line="173" w:lineRule="exact"/>
        <w:rPr>
          <w:rFonts w:ascii="Arial" w:cs="Arial" w:eastAsia="Arial" w:hAnsi="Arial"/>
          <w:sz w:val="20"/>
          <w:szCs w:val="20"/>
          <w:color w:val="auto"/>
        </w:rPr>
      </w:pPr>
    </w:p>
    <w:p>
      <w:pPr>
        <w:ind w:firstLine="1304"/>
        <w:spacing w:after="0" w:line="214" w:lineRule="auto"/>
        <w:tabs>
          <w:tab w:leader="none" w:pos="1681"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Borrower or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7" w:lineRule="exact"/>
        <w:rPr>
          <w:rFonts w:ascii="Arial" w:cs="Arial" w:eastAsia="Arial" w:hAnsi="Arial"/>
          <w:sz w:val="20"/>
          <w:szCs w:val="20"/>
          <w:color w:val="auto"/>
        </w:rPr>
      </w:pPr>
    </w:p>
    <w:p>
      <w:pPr>
        <w:ind w:right="200" w:firstLine="1304"/>
        <w:spacing w:after="0" w:line="236" w:lineRule="auto"/>
        <w:tabs>
          <w:tab w:leader="none" w:pos="1681"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Borrower or any Material Subsidiary shall become unable, admit in writing its inability or fail generally to pay its debts as they become due;</w:t>
      </w:r>
    </w:p>
    <w:p>
      <w:pPr>
        <w:spacing w:after="0" w:line="168" w:lineRule="exact"/>
        <w:rPr>
          <w:rFonts w:ascii="Arial" w:cs="Arial" w:eastAsia="Arial" w:hAnsi="Arial"/>
          <w:sz w:val="20"/>
          <w:szCs w:val="20"/>
          <w:color w:val="auto"/>
        </w:rPr>
      </w:pPr>
    </w:p>
    <w:p>
      <w:pPr>
        <w:ind w:right="80" w:firstLine="1304"/>
        <w:spacing w:after="0" w:line="215" w:lineRule="auto"/>
        <w:tabs>
          <w:tab w:leader="none" w:pos="1725"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Borrower or any Material Subsidiary shall fail within sixty (60) days to pay, bond or otherwise discharge any judgments or orders for the payment of money (not covered by insurance as to which the insurer has been notified of such judgment or order and does not dispute payment) in an amount which, when added to all other such judgments or orders outstanding against any Borrower or any Material Subsidiary would exceed $150,000,000 in the aggregate, which have not been stayed on appeal or otherwise appropriately contested in good faith;</w:t>
      </w:r>
    </w:p>
    <w:p>
      <w:pPr>
        <w:spacing w:after="0" w:line="171" w:lineRule="exact"/>
        <w:rPr>
          <w:rFonts w:ascii="Arial" w:cs="Arial" w:eastAsia="Arial" w:hAnsi="Arial"/>
          <w:sz w:val="20"/>
          <w:szCs w:val="20"/>
          <w:color w:val="auto"/>
        </w:rPr>
      </w:pPr>
    </w:p>
    <w:p>
      <w:pPr>
        <w:ind w:right="180" w:firstLine="1304"/>
        <w:spacing w:after="0" w:line="218" w:lineRule="auto"/>
        <w:tabs>
          <w:tab w:leader="none" w:pos="1681"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Borrower or any other Loan Party shall disavow, revoke or terminate (or attempt to terminate), in each case in writing, any Loan Document to which it is a party or shall otherwise challenge or contest in any action, suit or proceeding in any court or before any Governmental Authority the validity or enforceability of this Agreement, the Subsidiary Guaranty or any other Loan Document; or this Agreement, the Subsidiary Guaranty or any other Loan Document shall cease to be in full force and effect (except as a result of the express terms thereof);</w:t>
      </w:r>
    </w:p>
    <w:p>
      <w:pPr>
        <w:spacing w:after="0" w:line="157" w:lineRule="exact"/>
        <w:rPr>
          <w:rFonts w:ascii="Arial" w:cs="Arial" w:eastAsia="Arial" w:hAnsi="Arial"/>
          <w:sz w:val="20"/>
          <w:szCs w:val="20"/>
          <w:color w:val="auto"/>
        </w:rPr>
      </w:pPr>
    </w:p>
    <w:p>
      <w:pPr>
        <w:ind w:right="120" w:firstLine="1304"/>
        <w:spacing w:after="0" w:line="236" w:lineRule="auto"/>
        <w:tabs>
          <w:tab w:leader="none" w:pos="178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 ERISA Event shall have occurred that, when taken together with all other ERISA Events that have occurred, could reasonably be expected to result in a Material Adverse Effect; or</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175"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color w:val="auto"/>
        </w:rPr>
        <w:t>then, and in every such event (other than an event with respect to a Borrower described in clause (h) or (i) of this Article), and at any time thereafter during the continuance of such event,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79</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Agent may, and at the request of the Required Lenders shall, by notice to the Company, take either or both of the following actions, at the</w:t>
      </w:r>
    </w:p>
    <w:p>
      <w:pPr>
        <w:spacing w:after="0" w:line="1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same or different times: (i) terminate the Commitments, and thereupon the Commitments shall terminate immediately, and (ii) declare the Loans then outstanding to be due and payable in whole (or in part, in which case any principal not so declared to be due and payable may</w:t>
      </w:r>
    </w:p>
    <w:p>
      <w:pPr>
        <w:spacing w:after="0" w:line="235" w:lineRule="auto"/>
        <w:rPr>
          <w:sz w:val="20"/>
          <w:szCs w:val="20"/>
          <w:color w:val="auto"/>
        </w:rPr>
      </w:pPr>
      <w:r>
        <w:rPr>
          <w:rFonts w:ascii="Arial" w:cs="Arial" w:eastAsia="Arial" w:hAnsi="Arial"/>
          <w:sz w:val="18"/>
          <w:szCs w:val="18"/>
          <w:color w:val="auto"/>
        </w:rPr>
        <w:t>thereafter be declared to be due and payable), and thereupon the principal of the Loans so declared to be due and payable, together with</w:t>
      </w:r>
    </w:p>
    <w:p>
      <w:pPr>
        <w:ind w:right="100"/>
        <w:spacing w:after="0" w:line="255" w:lineRule="auto"/>
        <w:rPr>
          <w:sz w:val="20"/>
          <w:szCs w:val="20"/>
          <w:color w:val="auto"/>
        </w:rPr>
      </w:pPr>
      <w:r>
        <w:rPr>
          <w:rFonts w:ascii="Arial" w:cs="Arial" w:eastAsia="Arial" w:hAnsi="Arial"/>
          <w:sz w:val="16"/>
          <w:szCs w:val="16"/>
          <w:color w:val="auto"/>
        </w:rPr>
        <w:t>accrued interest thereon and all fees and other obligations of the Borrowers accrued hereunder, shall become due and payable immediately, without presentment, demand, protest or other notice of any kind, all of which are hereby waived by the Borrower; and in case of any event</w:t>
      </w:r>
    </w:p>
    <w:p>
      <w:pPr>
        <w:spacing w:after="0" w:line="235" w:lineRule="auto"/>
        <w:rPr>
          <w:sz w:val="20"/>
          <w:szCs w:val="20"/>
          <w:color w:val="auto"/>
        </w:rPr>
      </w:pPr>
      <w:r>
        <w:rPr>
          <w:rFonts w:ascii="Arial" w:cs="Arial" w:eastAsia="Arial" w:hAnsi="Arial"/>
          <w:sz w:val="18"/>
          <w:szCs w:val="18"/>
          <w:color w:val="auto"/>
        </w:rPr>
        <w:t>with respect to a Borrower described in clause (h) or (i) of this Article, the Commitments shall automatically terminate and the principal of</w:t>
      </w:r>
    </w:p>
    <w:p>
      <w:pPr>
        <w:ind w:right="300"/>
        <w:spacing w:after="0" w:line="255" w:lineRule="auto"/>
        <w:rPr>
          <w:sz w:val="20"/>
          <w:szCs w:val="20"/>
          <w:color w:val="auto"/>
        </w:rPr>
      </w:pPr>
      <w:r>
        <w:rPr>
          <w:rFonts w:ascii="Arial" w:cs="Arial" w:eastAsia="Arial" w:hAnsi="Arial"/>
          <w:sz w:val="16"/>
          <w:szCs w:val="16"/>
          <w:color w:val="auto"/>
        </w:rPr>
        <w:t>the Loans then outstanding, together with accrued interest thereon and all fees and other obligations of the Borrowers accrued hereunder, shall automatically become due and payable, without presentment, demand, protest or other notice of any kind, all of which are hereby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waived by the Borrowers.</w:t>
      </w:r>
    </w:p>
    <w:p>
      <w:pPr>
        <w:spacing w:after="0" w:line="173" w:lineRule="exact"/>
        <w:rPr>
          <w:sz w:val="20"/>
          <w:szCs w:val="20"/>
          <w:color w:val="auto"/>
        </w:rPr>
      </w:pPr>
    </w:p>
    <w:p>
      <w:pPr>
        <w:ind w:right="220" w:firstLine="648"/>
        <w:spacing w:after="0" w:line="265"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Distribution of Payments after Default</w:t>
      </w:r>
      <w:r>
        <w:rPr>
          <w:rFonts w:ascii="Arial" w:cs="Arial" w:eastAsia="Arial" w:hAnsi="Arial"/>
          <w:sz w:val="16"/>
          <w:szCs w:val="16"/>
          <w:color w:val="auto"/>
        </w:rPr>
        <w:t>. In the event that following the occurrence or during the continuance of any Event of Default, the Administrative Agent or any Lender, as the case may be, receives any monies in connection with the enforcement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any the Loan Documents, such monies shall be distributed for application as follows:</w:t>
      </w:r>
    </w:p>
    <w:p>
      <w:pPr>
        <w:spacing w:after="0" w:line="173" w:lineRule="exact"/>
        <w:rPr>
          <w:sz w:val="20"/>
          <w:szCs w:val="20"/>
          <w:color w:val="auto"/>
        </w:rPr>
      </w:pPr>
    </w:p>
    <w:p>
      <w:pPr>
        <w:ind w:firstLine="1304"/>
        <w:spacing w:after="0" w:line="226" w:lineRule="auto"/>
        <w:tabs>
          <w:tab w:leader="none" w:pos="1713" w:val="left"/>
        </w:tabs>
        <w:numPr>
          <w:ilvl w:val="0"/>
          <w:numId w:val="220"/>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to the payment of, or (as the case may be) the reimbursement of the Administrative Agent for or in respect of, all</w:t>
      </w:r>
      <w:r>
        <w:rPr>
          <w:rFonts w:ascii="Arial" w:cs="Arial" w:eastAsia="Arial" w:hAnsi="Arial"/>
          <w:sz w:val="19"/>
          <w:szCs w:val="19"/>
          <w:i w:val="1"/>
          <w:iCs w:val="1"/>
          <w:color w:val="auto"/>
        </w:rPr>
        <w:t xml:space="preserve"> </w:t>
      </w:r>
      <w:r>
        <w:rPr>
          <w:rFonts w:ascii="Arial" w:cs="Arial" w:eastAsia="Arial" w:hAnsi="Arial"/>
          <w:sz w:val="19"/>
          <w:szCs w:val="19"/>
          <w:color w:val="auto"/>
        </w:rPr>
        <w:t>reasonable costs, expenses, disbursements and losses which shall have been incurred or sustained by the Administrative Agent in connection with the collection of such monies by the Administrative Agent, for the exercise, protection or enforcement by the Administrative Agent of all or any of the rights, remedies, powers and privileges of the Administrative Agent under this Agreement or any of the other Loan Documents or in support of any provision of adequate indemnity to the Administrative Agent against any taxes or liens which by law shall have, or may have, priority over the rights of the Administrative Agent to such monies;</w:t>
      </w:r>
    </w:p>
    <w:p>
      <w:pPr>
        <w:spacing w:after="0" w:line="156" w:lineRule="exact"/>
        <w:rPr>
          <w:rFonts w:ascii="Arial" w:cs="Arial" w:eastAsia="Arial" w:hAnsi="Arial"/>
          <w:sz w:val="19"/>
          <w:szCs w:val="19"/>
          <w:color w:val="auto"/>
        </w:rPr>
      </w:pPr>
    </w:p>
    <w:p>
      <w:pPr>
        <w:ind w:left="1740" w:hanging="436"/>
        <w:spacing w:after="0"/>
        <w:tabs>
          <w:tab w:leader="none" w:pos="1740" w:val="left"/>
        </w:tabs>
        <w:numPr>
          <w:ilvl w:val="0"/>
          <w:numId w:val="220"/>
        </w:numPr>
        <w:rPr>
          <w:rFonts w:ascii="Arial" w:cs="Arial" w:eastAsia="Arial" w:hAnsi="Arial"/>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 any fees or expense reimbursements then due to the Lenders from the Loan Parties;</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0"/>
          <w:numId w:val="220"/>
        </w:numPr>
        <w:rPr>
          <w:rFonts w:ascii="Arial" w:cs="Arial" w:eastAsia="Arial" w:hAnsi="Arial"/>
          <w:sz w:val="20"/>
          <w:szCs w:val="20"/>
          <w:color w:val="auto"/>
        </w:rPr>
      </w:pPr>
      <w:r>
        <w:rPr>
          <w:rFonts w:ascii="Arial" w:cs="Arial" w:eastAsia="Arial" w:hAnsi="Arial"/>
          <w:sz w:val="20"/>
          <w:szCs w:val="20"/>
          <w:i w:val="1"/>
          <w:iCs w:val="1"/>
          <w:color w:val="auto"/>
        </w:rPr>
        <w:t>Third</w:t>
      </w:r>
      <w:r>
        <w:rPr>
          <w:rFonts w:ascii="Arial" w:cs="Arial" w:eastAsia="Arial" w:hAnsi="Arial"/>
          <w:sz w:val="20"/>
          <w:szCs w:val="20"/>
          <w:color w:val="auto"/>
        </w:rPr>
        <w:t>, to pay interest then due and payable on the Loans and unreimbursed LC Disbursements ratably;</w:t>
      </w:r>
    </w:p>
    <w:p>
      <w:pPr>
        <w:spacing w:after="0" w:line="188" w:lineRule="exact"/>
        <w:rPr>
          <w:rFonts w:ascii="Arial" w:cs="Arial" w:eastAsia="Arial" w:hAnsi="Arial"/>
          <w:sz w:val="20"/>
          <w:szCs w:val="20"/>
          <w:color w:val="auto"/>
        </w:rPr>
      </w:pPr>
    </w:p>
    <w:p>
      <w:pPr>
        <w:ind w:right="180" w:firstLine="1304"/>
        <w:spacing w:after="0" w:line="252" w:lineRule="auto"/>
        <w:tabs>
          <w:tab w:leader="none" w:pos="1724"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(i) to prepay principal on the Loans and unreimbursed LC Disbursements ratably and (ii) to pay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Designated Hedge Creditors under Designated Hedge Agreements subject to confirmation by the Administrative Agent that any calculations of termination or other payment obligations are being made in accordance with normal industry practice;</w:t>
      </w:r>
    </w:p>
    <w:p>
      <w:pPr>
        <w:spacing w:after="0" w:line="157" w:lineRule="exact"/>
        <w:rPr>
          <w:rFonts w:ascii="Arial" w:cs="Arial" w:eastAsia="Arial" w:hAnsi="Arial"/>
          <w:sz w:val="18"/>
          <w:szCs w:val="18"/>
          <w:color w:val="auto"/>
        </w:rPr>
      </w:pPr>
    </w:p>
    <w:p>
      <w:pPr>
        <w:ind w:right="240" w:firstLine="1304"/>
        <w:spacing w:after="0" w:line="223" w:lineRule="auto"/>
        <w:tabs>
          <w:tab w:leader="none" w:pos="1713" w:val="left"/>
        </w:tabs>
        <w:numPr>
          <w:ilvl w:val="0"/>
          <w:numId w:val="220"/>
        </w:numPr>
        <w:rPr>
          <w:rFonts w:ascii="Arial" w:cs="Arial" w:eastAsia="Arial" w:hAnsi="Arial"/>
          <w:sz w:val="20"/>
          <w:szCs w:val="20"/>
          <w:color w:val="auto"/>
        </w:rPr>
      </w:pPr>
      <w:r>
        <w:rPr>
          <w:rFonts w:ascii="Arial" w:cs="Arial" w:eastAsia="Arial" w:hAnsi="Arial"/>
          <w:sz w:val="20"/>
          <w:szCs w:val="20"/>
          <w:i w:val="1"/>
          <w:iCs w:val="1"/>
          <w:color w:val="auto"/>
        </w:rPr>
        <w:t>Fifth</w:t>
      </w:r>
      <w:r>
        <w:rPr>
          <w:rFonts w:ascii="Arial" w:cs="Arial" w:eastAsia="Arial" w:hAnsi="Arial"/>
          <w:sz w:val="20"/>
          <w:szCs w:val="20"/>
          <w:color w:val="auto"/>
        </w:rPr>
        <w:t>, to pay an amount to the Administrative Agent equal to one hundred percent (100%) of the aggregate undrawn</w:t>
      </w:r>
      <w:r>
        <w:rPr>
          <w:rFonts w:ascii="Arial" w:cs="Arial" w:eastAsia="Arial" w:hAnsi="Arial"/>
          <w:sz w:val="20"/>
          <w:szCs w:val="20"/>
          <w:i w:val="1"/>
          <w:iCs w:val="1"/>
          <w:color w:val="auto"/>
        </w:rPr>
        <w:t xml:space="preserve"> </w:t>
      </w:r>
      <w:r>
        <w:rPr>
          <w:rFonts w:ascii="Arial" w:cs="Arial" w:eastAsia="Arial" w:hAnsi="Arial"/>
          <w:sz w:val="20"/>
          <w:szCs w:val="20"/>
          <w:color w:val="auto"/>
        </w:rPr>
        <w:t>face amount of all outstanding Letters of Credit and the aggregate amount of any unreimbursed LC Disbursements, to be held as cash collateral for such Obligations;</w:t>
      </w:r>
    </w:p>
    <w:p>
      <w:pPr>
        <w:spacing w:after="0" w:line="168" w:lineRule="exact"/>
        <w:rPr>
          <w:rFonts w:ascii="Arial" w:cs="Arial" w:eastAsia="Arial" w:hAnsi="Arial"/>
          <w:sz w:val="20"/>
          <w:szCs w:val="20"/>
          <w:color w:val="auto"/>
        </w:rPr>
      </w:pPr>
    </w:p>
    <w:p>
      <w:pPr>
        <w:ind w:left="1700" w:hanging="396"/>
        <w:spacing w:after="0"/>
        <w:tabs>
          <w:tab w:leader="none" w:pos="1700" w:val="left"/>
        </w:tabs>
        <w:numPr>
          <w:ilvl w:val="0"/>
          <w:numId w:val="220"/>
        </w:numPr>
        <w:rPr>
          <w:rFonts w:ascii="Arial" w:cs="Arial" w:eastAsia="Arial" w:hAnsi="Arial"/>
          <w:sz w:val="19"/>
          <w:szCs w:val="19"/>
          <w:color w:val="auto"/>
        </w:rPr>
      </w:pPr>
      <w:r>
        <w:rPr>
          <w:rFonts w:ascii="Arial" w:cs="Arial" w:eastAsia="Arial" w:hAnsi="Arial"/>
          <w:sz w:val="19"/>
          <w:szCs w:val="19"/>
          <w:i w:val="1"/>
          <w:iCs w:val="1"/>
          <w:color w:val="auto"/>
        </w:rPr>
        <w:t>Sixth</w:t>
      </w:r>
      <w:r>
        <w:rPr>
          <w:rFonts w:ascii="Arial" w:cs="Arial" w:eastAsia="Arial" w:hAnsi="Arial"/>
          <w:sz w:val="19"/>
          <w:szCs w:val="19"/>
          <w:color w:val="auto"/>
        </w:rPr>
        <w:t>, to payment of any amounts owing with respect to indemnification provisions of the Loan Documents; and</w:t>
      </w:r>
    </w:p>
    <w:p>
      <w:pPr>
        <w:spacing w:after="0" w:line="186" w:lineRule="exact"/>
        <w:rPr>
          <w:rFonts w:ascii="Arial" w:cs="Arial" w:eastAsia="Arial" w:hAnsi="Arial"/>
          <w:sz w:val="19"/>
          <w:szCs w:val="19"/>
          <w:color w:val="auto"/>
        </w:rPr>
      </w:pPr>
    </w:p>
    <w:p>
      <w:pPr>
        <w:ind w:left="1740" w:hanging="436"/>
        <w:spacing w:after="0"/>
        <w:tabs>
          <w:tab w:leader="none" w:pos="1740" w:val="left"/>
        </w:tabs>
        <w:numPr>
          <w:ilvl w:val="0"/>
          <w:numId w:val="220"/>
        </w:numPr>
        <w:rPr>
          <w:rFonts w:ascii="Arial" w:cs="Arial" w:eastAsia="Arial" w:hAnsi="Arial"/>
          <w:sz w:val="20"/>
          <w:szCs w:val="20"/>
          <w:color w:val="auto"/>
        </w:rPr>
      </w:pPr>
      <w:r>
        <w:rPr>
          <w:rFonts w:ascii="Arial" w:cs="Arial" w:eastAsia="Arial" w:hAnsi="Arial"/>
          <w:sz w:val="20"/>
          <w:szCs w:val="20"/>
          <w:i w:val="1"/>
          <w:iCs w:val="1"/>
          <w:color w:val="auto"/>
        </w:rPr>
        <w:t>Seventh</w:t>
      </w:r>
      <w:r>
        <w:rPr>
          <w:rFonts w:ascii="Arial" w:cs="Arial" w:eastAsia="Arial" w:hAnsi="Arial"/>
          <w:sz w:val="20"/>
          <w:szCs w:val="20"/>
          <w:color w:val="auto"/>
        </w:rPr>
        <w:t>, to the payment of any other Obligation due to the Administrative Agent or any Lender.</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ARTICLE VIII</w:t>
      </w:r>
    </w:p>
    <w:p>
      <w:pPr>
        <w:spacing w:after="0" w:line="16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ADMINISTRATIVE AGENT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u w:val="single" w:color="auto"/>
          <w:color w:val="auto"/>
        </w:rPr>
        <w:t>The Administrative Agent</w:t>
      </w:r>
      <w:r>
        <w:rPr>
          <w:rFonts w:ascii="Arial" w:cs="Arial" w:eastAsia="Arial" w:hAnsi="Arial"/>
          <w:sz w:val="18"/>
          <w:szCs w:val="18"/>
          <w:color w:val="auto"/>
        </w:rPr>
        <w:t>.</w:t>
      </w:r>
    </w:p>
    <w:p>
      <w:pPr>
        <w:spacing w:after="0" w:line="189" w:lineRule="exact"/>
        <w:rPr>
          <w:sz w:val="20"/>
          <w:szCs w:val="20"/>
          <w:color w:val="auto"/>
        </w:rPr>
      </w:pPr>
    </w:p>
    <w:p>
      <w:pPr>
        <w:ind w:right="540" w:firstLine="1304"/>
        <w:spacing w:after="0" w:line="236" w:lineRule="auto"/>
        <w:tabs>
          <w:tab w:leader="none" w:pos="1713" w:val="left"/>
        </w:tabs>
        <w:numPr>
          <w:ilvl w:val="0"/>
          <w:numId w:val="221"/>
        </w:numPr>
        <w:rPr>
          <w:rFonts w:ascii="Arial" w:cs="Arial" w:eastAsia="Arial" w:hAnsi="Arial"/>
          <w:sz w:val="20"/>
          <w:szCs w:val="20"/>
          <w:color w:val="auto"/>
        </w:rPr>
      </w:pPr>
      <w:r>
        <w:rPr>
          <w:rFonts w:ascii="Arial" w:cs="Arial" w:eastAsia="Arial" w:hAnsi="Arial"/>
          <w:sz w:val="20"/>
          <w:szCs w:val="20"/>
          <w:color w:val="auto"/>
        </w:rPr>
        <w:t>Each of the Lenders and the Issuing Bank hereby irrevocably appoints the Administrative Agent as its agent and authorizes the Administrative Agent to take such actions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80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140"/>
          </w:cols>
          <w:pgMar w:left="320" w:top="1405" w:right="439" w:bottom="1440" w:gutter="0" w:footer="0" w:header="0"/>
        </w:sectPr>
      </w:pPr>
    </w:p>
    <w:bookmarkStart w:id="209" w:name="page210"/>
    <w:bookmarkEnd w:id="209"/>
    <w:p>
      <w:pPr>
        <w:ind w:right="180"/>
        <w:spacing w:after="0" w:line="236" w:lineRule="auto"/>
        <w:rPr>
          <w:sz w:val="20"/>
          <w:szCs w:val="20"/>
          <w:color w:val="auto"/>
        </w:rPr>
      </w:pPr>
      <w:r>
        <w:rPr>
          <w:rFonts w:ascii="Arial" w:cs="Arial" w:eastAsia="Arial" w:hAnsi="Arial"/>
          <w:sz w:val="20"/>
          <w:szCs w:val="20"/>
          <w:color w:val="auto"/>
        </w:rPr>
        <w:t>behalf and to exercise such powers as are delegated to the Administrative Agent by the terms hereof, together with such actions and powers as are reasonably incidental thereto.</w:t>
      </w:r>
    </w:p>
    <w:p>
      <w:pPr>
        <w:spacing w:after="0" w:line="155" w:lineRule="exact"/>
        <w:rPr>
          <w:sz w:val="20"/>
          <w:szCs w:val="20"/>
          <w:color w:val="auto"/>
        </w:rPr>
      </w:pPr>
    </w:p>
    <w:p>
      <w:pPr>
        <w:ind w:right="140" w:firstLine="1304"/>
        <w:spacing w:after="0" w:line="220" w:lineRule="auto"/>
        <w:tabs>
          <w:tab w:leader="none" w:pos="1721"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Borrowers or any Subsidiary or other Affiliate thereof as if it were not the Administrative Agent hereunder.</w:t>
      </w:r>
    </w:p>
    <w:p>
      <w:pPr>
        <w:spacing w:after="0" w:line="169" w:lineRule="exact"/>
        <w:rPr>
          <w:rFonts w:ascii="Arial" w:cs="Arial" w:eastAsia="Arial" w:hAnsi="Arial"/>
          <w:sz w:val="20"/>
          <w:szCs w:val="20"/>
          <w:color w:val="auto"/>
        </w:rPr>
      </w:pPr>
    </w:p>
    <w:p>
      <w:pPr>
        <w:ind w:right="40" w:firstLine="1304"/>
        <w:spacing w:after="0" w:line="262" w:lineRule="auto"/>
        <w:tabs>
          <w:tab w:leader="none" w:pos="171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Administrative Agent shall not have any duties or obligations except those expressly set forth herein. Without limiting the generality of the foregoing, (i) the Administrative Agent shall not be subject to any fiduciary or other implied duties, regardless of whether a Default has occurred and is continuing, (ii)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10.02), and (iii) except as expressly set forth herein, the Administrative Agent shall not have any duty to disclose, and shall not be liable for the failure to disclose, any information relating to the Borrowers or any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10.02) or in the absence of its own gross negligence or willful misconduct. The Administrative Agent shall be deemed not to have knowledge of any Default unless and until written notice thereof is given to the Administrative Agent by the Company or a Lender, and the Administrative Agent shall not be responsible for or</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have any duty to ascertain or inquire into (A) any statement, warranty or representation made in or in connection with this Agreement,</w:t>
      </w:r>
    </w:p>
    <w:p>
      <w:pPr>
        <w:ind w:firstLine="8"/>
        <w:spacing w:after="0"/>
        <w:tabs>
          <w:tab w:leader="none" w:pos="31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the Administrative Agent.</w:t>
      </w:r>
    </w:p>
    <w:p>
      <w:pPr>
        <w:spacing w:after="0" w:line="168" w:lineRule="exact"/>
        <w:rPr>
          <w:rFonts w:ascii="Arial" w:cs="Arial" w:eastAsia="Arial" w:hAnsi="Arial"/>
          <w:sz w:val="18"/>
          <w:szCs w:val="18"/>
          <w:color w:val="auto"/>
        </w:rPr>
      </w:pPr>
    </w:p>
    <w:p>
      <w:pPr>
        <w:ind w:firstLine="1304"/>
        <w:spacing w:after="0" w:line="226" w:lineRule="auto"/>
        <w:tabs>
          <w:tab w:leader="none" w:pos="1721" w:val="left"/>
        </w:tabs>
        <w:numPr>
          <w:ilvl w:val="1"/>
          <w:numId w:val="223"/>
        </w:numPr>
        <w:rPr>
          <w:rFonts w:ascii="Arial" w:cs="Arial" w:eastAsia="Arial" w:hAnsi="Arial"/>
          <w:sz w:val="19"/>
          <w:szCs w:val="19"/>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69" w:lineRule="exact"/>
        <w:rPr>
          <w:rFonts w:ascii="Arial" w:cs="Arial" w:eastAsia="Arial" w:hAnsi="Arial"/>
          <w:sz w:val="19"/>
          <w:szCs w:val="19"/>
          <w:color w:val="auto"/>
        </w:rPr>
      </w:pPr>
    </w:p>
    <w:p>
      <w:pPr>
        <w:ind w:right="160" w:firstLine="1304"/>
        <w:spacing w:after="0" w:line="243" w:lineRule="auto"/>
        <w:tabs>
          <w:tab w:leader="none" w:pos="171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Affiliates. The exculpatory provisions of the preceding paragraphs shall apply to any such sub-agent and to the Affiliates of the Administrative Agent and any such sub-agent, and shall apply to their respective activities in connection with the syndication of the credit facilities provided for herein as well as activities as Administrative Agent.</w:t>
      </w:r>
    </w:p>
    <w:p>
      <w:pPr>
        <w:spacing w:after="0" w:line="153" w:lineRule="exact"/>
        <w:rPr>
          <w:rFonts w:ascii="Arial" w:cs="Arial" w:eastAsia="Arial" w:hAnsi="Arial"/>
          <w:sz w:val="18"/>
          <w:szCs w:val="18"/>
          <w:color w:val="auto"/>
        </w:rPr>
      </w:pPr>
    </w:p>
    <w:p>
      <w:pPr>
        <w:ind w:right="220" w:firstLine="1304"/>
        <w:spacing w:after="0" w:line="241" w:lineRule="auto"/>
        <w:tabs>
          <w:tab w:leader="none" w:pos="169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at any time by notifying the Lenders, the Issuing Bank and the Company. Upon any such resignation, the Required Lenders shall have the right, with the consent of the Company, so long as no Event of Default exists,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such bank. Upon the acceptance of its appointment as Administrative Agent hereunder by a successor, such successor shall succeed to and</w:t>
      </w:r>
    </w:p>
    <w:p>
      <w:pPr>
        <w:spacing w:after="0" w:line="12"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become vested with all the rights, powers, privileges and duties of the retiring Administrative Agent, and the retiring Administrative Agent shall be discharged from its duties and obligations hereunder. The fees payable by the Borrowers to a successor Administrative Agent shall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 the same as those payable to its predecessor unless otherwise agreed between the Company and such successor. After the Administrative</w:t>
      </w:r>
    </w:p>
    <w:p>
      <w:pPr>
        <w:spacing w:after="0" w:line="19"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Agent’s resignation hereunder, the provisions of this Article and Section 10.03 shall continue in effect for the benefit of such retiring Administrative Agent, its sub agents and their respective Affiliates in respect of any actions taken or omitted to be taken by any of them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while it was acting as Administrative Agent.</w:t>
      </w:r>
    </w:p>
    <w:p>
      <w:pPr>
        <w:spacing w:after="0" w:line="173" w:lineRule="exact"/>
        <w:rPr>
          <w:sz w:val="20"/>
          <w:szCs w:val="20"/>
          <w:color w:val="auto"/>
        </w:rPr>
      </w:pPr>
    </w:p>
    <w:p>
      <w:pPr>
        <w:ind w:right="20" w:firstLine="1304"/>
        <w:spacing w:after="0" w:line="235" w:lineRule="auto"/>
        <w:tabs>
          <w:tab w:leader="none" w:pos="172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6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6"/>
          <w:szCs w:val="16"/>
          <w:u w:val="single" w:color="auto"/>
          <w:color w:val="auto"/>
        </w:rPr>
        <w:t>Erroneous Payments.</w:t>
      </w:r>
    </w:p>
    <w:p>
      <w:pPr>
        <w:spacing w:after="0" w:line="189" w:lineRule="exact"/>
        <w:rPr>
          <w:sz w:val="20"/>
          <w:szCs w:val="20"/>
          <w:color w:val="auto"/>
        </w:rPr>
      </w:pPr>
    </w:p>
    <w:p>
      <w:pPr>
        <w:ind w:firstLine="1304"/>
        <w:spacing w:after="0" w:line="232" w:lineRule="auto"/>
        <w:tabs>
          <w:tab w:leader="none" w:pos="171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the Administrative Agent (x) notifies a Lender, Issuing Bank or any Person who has received funds on behalf of a Lender (any such Lender, Issuing Bank or other recipient, which, for the avoidance of doubt, shall not include any Loan Party (and each of their respective successors and assigns), a “</w:t>
      </w:r>
      <w:r>
        <w:rPr>
          <w:rFonts w:ascii="Arial" w:cs="Arial" w:eastAsia="Arial" w:hAnsi="Arial"/>
          <w:sz w:val="18"/>
          <w:szCs w:val="18"/>
          <w:b w:val="1"/>
          <w:bCs w:val="1"/>
          <w:i w:val="1"/>
          <w:iCs w:val="1"/>
          <w:color w:val="auto"/>
        </w:rPr>
        <w:t>Payment Recipient</w:t>
      </w:r>
      <w:r>
        <w:rPr>
          <w:rFonts w:ascii="Arial" w:cs="Arial" w:eastAsia="Arial" w:hAnsi="Arial"/>
          <w:sz w:val="18"/>
          <w:szCs w:val="18"/>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8"/>
          <w:szCs w:val="18"/>
          <w:b w:val="1"/>
          <w:bCs w:val="1"/>
          <w:i w:val="1"/>
          <w:iCs w:val="1"/>
          <w:color w:val="auto"/>
        </w:rPr>
        <w:t>Erroneous Payment</w:t>
      </w:r>
      <w:r>
        <w:rPr>
          <w:rFonts w:ascii="Arial" w:cs="Arial" w:eastAsia="Arial" w:hAnsi="Arial"/>
          <w:sz w:val="18"/>
          <w:szCs w:val="18"/>
          <w:color w:val="auto"/>
        </w:rPr>
        <w:t>”) and (y) demands in writing the return of such Erroneous Payment (or a portion thereof) (provided, that, without limiting any other rights or remedies (whether at law or in equity), the Administrative Agent may not make any such demand under this clause (a) with respect to an Erroneous Payment unless such demand is made within 5 Business Days of the date of receipt of such Erroneous Payment by the applicable Payment Recipient), such Erroneous Payment shall at all times remain the property of the Administrative Agent pending its return or repayment as contemplated below in this Section 8.02 and held in trust for the benefit of the Administrative Agent, and such Lender or Issuing Bank shall (or, with respect to any Payment Recipient who received such funds on its behalf, shall cause such Payment Recipient to) promptly, but in no event later than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05" w:right="379" w:bottom="1440" w:gutter="0" w:footer="0" w:header="0"/>
        </w:sectPr>
      </w:pPr>
    </w:p>
    <w:bookmarkStart w:id="211" w:name="page212"/>
    <w:bookmarkEnd w:id="211"/>
    <w:p>
      <w:pPr>
        <w:ind w:firstLine="1304"/>
        <w:spacing w:after="0" w:line="237" w:lineRule="auto"/>
        <w:tabs>
          <w:tab w:leader="none" w:pos="172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then in each such case:</w:t>
      </w:r>
    </w:p>
    <w:p>
      <w:pPr>
        <w:spacing w:after="0" w:line="160" w:lineRule="exact"/>
        <w:rPr>
          <w:rFonts w:ascii="Arial" w:cs="Arial" w:eastAsia="Arial" w:hAnsi="Arial"/>
          <w:sz w:val="18"/>
          <w:szCs w:val="18"/>
          <w:color w:val="auto"/>
        </w:rPr>
      </w:pPr>
    </w:p>
    <w:p>
      <w:pPr>
        <w:ind w:left="660" w:right="120" w:firstLine="1292"/>
        <w:spacing w:after="0" w:line="220" w:lineRule="auto"/>
        <w:tabs>
          <w:tab w:leader="none" w:pos="2341" w:val="left"/>
        </w:tabs>
        <w:numPr>
          <w:ilvl w:val="1"/>
          <w:numId w:val="226"/>
        </w:numPr>
        <w:rPr>
          <w:rFonts w:ascii="Arial" w:cs="Arial" w:eastAsia="Arial" w:hAnsi="Arial"/>
          <w:sz w:val="20"/>
          <w:szCs w:val="20"/>
          <w:color w:val="auto"/>
        </w:rPr>
      </w:pPr>
      <w:r>
        <w:rPr>
          <w:rFonts w:ascii="Arial" w:cs="Arial" w:eastAsia="Arial" w:hAnsi="Arial"/>
          <w:sz w:val="20"/>
          <w:szCs w:val="20"/>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69" w:lineRule="exact"/>
        <w:rPr>
          <w:rFonts w:ascii="Arial" w:cs="Arial" w:eastAsia="Arial" w:hAnsi="Arial"/>
          <w:sz w:val="20"/>
          <w:szCs w:val="20"/>
          <w:color w:val="auto"/>
        </w:rPr>
      </w:pPr>
    </w:p>
    <w:p>
      <w:pPr>
        <w:ind w:left="660" w:right="100" w:firstLine="1292"/>
        <w:spacing w:after="0" w:line="218" w:lineRule="auto"/>
        <w:tabs>
          <w:tab w:leader="none" w:pos="239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such Lender or Issuing Bank shall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8.02(b).</w:t>
      </w:r>
    </w:p>
    <w:p>
      <w:pPr>
        <w:spacing w:after="0" w:line="157"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color w:val="auto"/>
        </w:rPr>
        <w:t>For the avoidance of doubt, the failure to deliver a notice to the Administrative Agent pursuant to this Section 8.02(b) shall not have any effect on a Payment Recipient’s obligations pursuant to Section 8.02(a) or on whether or not an Erroneous Payment has been made.</w:t>
      </w:r>
    </w:p>
    <w:p>
      <w:pPr>
        <w:spacing w:after="0" w:line="116" w:lineRule="exact"/>
        <w:rPr>
          <w:sz w:val="20"/>
          <w:szCs w:val="20"/>
          <w:color w:val="auto"/>
        </w:rPr>
      </w:pPr>
    </w:p>
    <w:p>
      <w:pPr>
        <w:ind w:right="120" w:firstLine="1304"/>
        <w:spacing w:after="0" w:line="246" w:lineRule="auto"/>
        <w:tabs>
          <w:tab w:leader="none" w:pos="171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w:t>
      </w:r>
    </w:p>
    <w:p>
      <w:pPr>
        <w:spacing w:after="0" w:line="163" w:lineRule="exact"/>
        <w:rPr>
          <w:rFonts w:ascii="Arial" w:cs="Arial" w:eastAsia="Arial" w:hAnsi="Arial"/>
          <w:sz w:val="18"/>
          <w:szCs w:val="18"/>
          <w:color w:val="auto"/>
        </w:rPr>
      </w:pPr>
    </w:p>
    <w:p>
      <w:pPr>
        <w:ind w:left="660" w:right="60" w:firstLine="1292"/>
        <w:spacing w:after="0" w:line="233" w:lineRule="auto"/>
        <w:tabs>
          <w:tab w:leader="none" w:pos="234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8"/>
          <w:szCs w:val="18"/>
          <w:b w:val="1"/>
          <w:bCs w:val="1"/>
          <w:i w:val="1"/>
          <w:iCs w:val="1"/>
          <w:color w:val="auto"/>
        </w:rPr>
        <w:t>Erroneous Payment Return Deficiency</w:t>
      </w:r>
      <w:r>
        <w:rPr>
          <w:rFonts w:ascii="Arial" w:cs="Arial" w:eastAsia="Arial" w:hAnsi="Arial"/>
          <w:sz w:val="18"/>
          <w:szCs w:val="18"/>
          <w:color w:val="auto"/>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Arial" w:cs="Arial" w:eastAsia="Arial" w:hAnsi="Arial"/>
          <w:sz w:val="18"/>
          <w:szCs w:val="18"/>
          <w:b w:val="1"/>
          <w:bCs w:val="1"/>
          <w:i w:val="1"/>
          <w:iCs w:val="1"/>
          <w:color w:val="auto"/>
        </w:rPr>
        <w:t>Erroneous Payment Impacted Class</w:t>
      </w:r>
      <w:r>
        <w:rPr>
          <w:rFonts w:ascii="Arial" w:cs="Arial" w:eastAsia="Arial" w:hAnsi="Arial"/>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8"/>
          <w:szCs w:val="18"/>
          <w:b w:val="1"/>
          <w:bCs w:val="1"/>
          <w:i w:val="1"/>
          <w:iCs w:val="1"/>
          <w:color w:val="auto"/>
        </w:rPr>
        <w:t>Erroneous Payment Deficiency Assignment</w:t>
      </w:r>
      <w:r>
        <w:rPr>
          <w:rFonts w:ascii="Arial" w:cs="Arial" w:eastAsia="Arial" w:hAnsi="Arial"/>
          <w:sz w:val="18"/>
          <w:szCs w:val="18"/>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83</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212" w:name="page213"/>
    <w:bookmarkEnd w:id="212"/>
    <w:p>
      <w:pPr>
        <w:ind w:left="640"/>
        <w:spacing w:after="0"/>
        <w:rPr>
          <w:sz w:val="20"/>
          <w:szCs w:val="20"/>
          <w:color w:val="auto"/>
        </w:rPr>
      </w:pPr>
      <w:r>
        <w:rPr>
          <w:rFonts w:ascii="Arial" w:cs="Arial" w:eastAsia="Arial" w:hAnsi="Arial"/>
          <w:sz w:val="18"/>
          <w:szCs w:val="18"/>
          <w:color w:val="auto"/>
        </w:rPr>
        <w:t>the assignee Lender shall be deemed to have acquired the Erroneous Payment Deficiency Assignment, (C) upon such deemed</w:t>
      </w:r>
    </w:p>
    <w:p>
      <w:pPr>
        <w:spacing w:after="0" w:line="12" w:lineRule="exact"/>
        <w:rPr>
          <w:sz w:val="20"/>
          <w:szCs w:val="20"/>
          <w:color w:val="auto"/>
        </w:rPr>
      </w:pPr>
    </w:p>
    <w:p>
      <w:pPr>
        <w:ind w:left="640" w:right="280"/>
        <w:spacing w:after="0" w:line="255" w:lineRule="auto"/>
        <w:rPr>
          <w:sz w:val="20"/>
          <w:szCs w:val="20"/>
          <w:color w:val="auto"/>
        </w:rPr>
      </w:pPr>
      <w:r>
        <w:rPr>
          <w:rFonts w:ascii="Arial" w:cs="Arial" w:eastAsia="Arial" w:hAnsi="Arial"/>
          <w:sz w:val="16"/>
          <w:szCs w:val="16"/>
          <w:color w:val="auto"/>
        </w:rPr>
        <w:t>acquisition, the Administrative Agent as the assignee Lender shall become a Lender, as applicable, hereunder with respect to such Erroneous Payment Deficiency Assignment and the assigning Lender shall cease to be a Lender, as applicable, hereunder with</w:t>
      </w:r>
    </w:p>
    <w:p>
      <w:pPr>
        <w:ind w:left="640"/>
        <w:spacing w:after="0" w:line="223" w:lineRule="auto"/>
        <w:rPr>
          <w:sz w:val="20"/>
          <w:szCs w:val="20"/>
          <w:color w:val="auto"/>
        </w:rPr>
      </w:pPr>
      <w:r>
        <w:rPr>
          <w:rFonts w:ascii="Arial" w:cs="Arial" w:eastAsia="Arial" w:hAnsi="Arial"/>
          <w:sz w:val="19"/>
          <w:szCs w:val="19"/>
          <w:color w:val="auto"/>
        </w:rPr>
        <w:t>respect to such Erroneous Payment Deficiency Assignment, excluding, for the avoidance of doubt, its obligations under the</w:t>
      </w:r>
    </w:p>
    <w:p>
      <w:pPr>
        <w:ind w:left="640" w:right="60"/>
        <w:spacing w:after="0" w:line="255" w:lineRule="auto"/>
        <w:rPr>
          <w:sz w:val="20"/>
          <w:szCs w:val="20"/>
          <w:color w:val="auto"/>
        </w:rPr>
      </w:pPr>
      <w:r>
        <w:rPr>
          <w:rFonts w:ascii="Arial" w:cs="Arial" w:eastAsia="Arial" w:hAnsi="Arial"/>
          <w:sz w:val="16"/>
          <w:szCs w:val="16"/>
          <w:color w:val="auto"/>
        </w:rPr>
        <w:t>indemnification provisions of this Agreement and its applicable Commitments which shall survive as to such assigning Lender, (D) the Administrative Agent and the Borrower shall each be deemed to have waived any consents required under this Agreement to any</w:t>
      </w:r>
    </w:p>
    <w:p>
      <w:pPr>
        <w:ind w:left="640"/>
        <w:spacing w:after="0" w:line="235" w:lineRule="auto"/>
        <w:rPr>
          <w:sz w:val="20"/>
          <w:szCs w:val="20"/>
          <w:color w:val="auto"/>
        </w:rPr>
      </w:pPr>
      <w:r>
        <w:rPr>
          <w:rFonts w:ascii="Arial" w:cs="Arial" w:eastAsia="Arial" w:hAnsi="Arial"/>
          <w:sz w:val="18"/>
          <w:szCs w:val="18"/>
          <w:color w:val="auto"/>
        </w:rPr>
        <w:t>such Erroneous Payment Deficiency Assignment, and (E) the Administrative Agent will reflect in the Register its ownership interest</w:t>
      </w:r>
    </w:p>
    <w:p>
      <w:pPr>
        <w:ind w:left="640" w:right="300"/>
        <w:spacing w:after="0" w:line="226" w:lineRule="auto"/>
        <w:rPr>
          <w:sz w:val="20"/>
          <w:szCs w:val="20"/>
          <w:color w:val="auto"/>
        </w:rPr>
      </w:pPr>
      <w:r>
        <w:rPr>
          <w:rFonts w:ascii="Arial" w:cs="Arial" w:eastAsia="Arial" w:hAnsi="Arial"/>
          <w:sz w:val="18"/>
          <w:szCs w:val="18"/>
          <w:color w:val="auto"/>
        </w:rPr>
        <w:t>in the Loans subject to the Erroneous Payment Deficiency Assignment. For the avoidance of doubt, no Erroneous Payment Deficiency Assignment will reduce the Commitments of any Lender and such Commitments shall remain available in accordance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with the terms of this Agreement.</w:t>
      </w:r>
    </w:p>
    <w:p>
      <w:pPr>
        <w:spacing w:after="0" w:line="173" w:lineRule="exact"/>
        <w:rPr>
          <w:sz w:val="20"/>
          <w:szCs w:val="20"/>
          <w:color w:val="auto"/>
        </w:rPr>
      </w:pPr>
    </w:p>
    <w:p>
      <w:pPr>
        <w:ind w:left="640" w:right="20" w:firstLine="1292"/>
        <w:spacing w:after="0" w:line="221" w:lineRule="auto"/>
        <w:tabs>
          <w:tab w:leader="none" w:pos="2376" w:val="left"/>
        </w:tabs>
        <w:numPr>
          <w:ilvl w:val="1"/>
          <w:numId w:val="228"/>
        </w:numPr>
        <w:rPr>
          <w:rFonts w:ascii="Arial" w:cs="Arial" w:eastAsia="Arial" w:hAnsi="Arial"/>
          <w:sz w:val="19"/>
          <w:szCs w:val="19"/>
          <w:color w:val="auto"/>
        </w:rPr>
      </w:pPr>
      <w:r>
        <w:rPr>
          <w:rFonts w:ascii="Arial" w:cs="Arial" w:eastAsia="Arial" w:hAnsi="Arial"/>
          <w:sz w:val="19"/>
          <w:szCs w:val="19"/>
          <w:color w:val="auto"/>
        </w:rPr>
        <w:t>Subject to Section 10.04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76" w:lineRule="exact"/>
        <w:rPr>
          <w:rFonts w:ascii="Arial" w:cs="Arial" w:eastAsia="Arial" w:hAnsi="Arial"/>
          <w:sz w:val="19"/>
          <w:szCs w:val="19"/>
          <w:color w:val="auto"/>
        </w:rPr>
      </w:pPr>
    </w:p>
    <w:p>
      <w:pPr>
        <w:ind w:left="-20" w:firstLine="1304"/>
        <w:spacing w:after="0" w:line="233" w:lineRule="auto"/>
        <w:tabs>
          <w:tab w:leader="none" w:pos="17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Issuing Bank, to the rights and interests of such Lender or Issuing Bank, as the case may be) under the Loan Documents with respect to such amount (the “</w:t>
      </w:r>
      <w:r>
        <w:rPr>
          <w:rFonts w:ascii="Arial" w:cs="Arial" w:eastAsia="Arial" w:hAnsi="Arial"/>
          <w:sz w:val="18"/>
          <w:szCs w:val="18"/>
          <w:b w:val="1"/>
          <w:bCs w:val="1"/>
          <w:i w:val="1"/>
          <w:iCs w:val="1"/>
          <w:color w:val="auto"/>
        </w:rPr>
        <w:t>Erroneous Payment Subrogation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(provided that the Loan Parties’ Obligations under the Loan Documents in respect of the Erroneous Payment Subrogation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be duplicative of such Obligations in respect of Loans that have been assigned to the Administrative Agent under an Erroneous Payment Deficiency Assignment) and (y) an Erroneous Payment shall not pay, prepay, repay, discharge or otherwise satisfy any Obligations by the Borrower or any other Loan Party; provided that this Section 8.02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70" w:lineRule="exact"/>
        <w:rPr>
          <w:rFonts w:ascii="Arial" w:cs="Arial" w:eastAsia="Arial" w:hAnsi="Arial"/>
          <w:sz w:val="18"/>
          <w:szCs w:val="18"/>
          <w:color w:val="auto"/>
        </w:rPr>
      </w:pPr>
    </w:p>
    <w:p>
      <w:pPr>
        <w:ind w:left="-20" w:right="60" w:firstLine="1304"/>
        <w:spacing w:after="0" w:line="220" w:lineRule="auto"/>
        <w:tabs>
          <w:tab w:leader="none" w:pos="169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69" w:lineRule="exact"/>
        <w:rPr>
          <w:rFonts w:ascii="Arial" w:cs="Arial" w:eastAsia="Arial" w:hAnsi="Arial"/>
          <w:sz w:val="20"/>
          <w:szCs w:val="20"/>
          <w:color w:val="auto"/>
        </w:rPr>
      </w:pPr>
    </w:p>
    <w:p>
      <w:pPr>
        <w:ind w:left="-20" w:right="20" w:firstLine="1304"/>
        <w:spacing w:after="0" w:line="229" w:lineRule="auto"/>
        <w:tabs>
          <w:tab w:leader="none" w:pos="1672"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Each party’s obligations, agreements and waivers under this Section 8.02 shall survive the resignation or replacement of the Administrative Agent, any transfer of rights or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40" w:top="1405" w:right="359" w:bottom="1440" w:gutter="0" w:footer="0" w:header="0"/>
        </w:sectPr>
      </w:pPr>
    </w:p>
    <w:bookmarkStart w:id="213" w:name="page214"/>
    <w:bookmarkEnd w:id="213"/>
    <w:p>
      <w:pPr>
        <w:ind w:right="220"/>
        <w:spacing w:after="0" w:line="236" w:lineRule="auto"/>
        <w:rPr>
          <w:sz w:val="20"/>
          <w:szCs w:val="20"/>
          <w:color w:val="auto"/>
        </w:rPr>
      </w:pPr>
      <w:r>
        <w:rPr>
          <w:rFonts w:ascii="Arial" w:cs="Arial" w:eastAsia="Arial" w:hAnsi="Arial"/>
          <w:sz w:val="20"/>
          <w:szCs w:val="20"/>
          <w:color w:val="auto"/>
        </w:rPr>
        <w:t>by, or the replacement of, a Lender or Issuing Bank, the termination of the Commitments and/or the repayment, satisfaction or discharge of all Obligations (or any portion thereof) under any Loan Document.</w:t>
      </w:r>
    </w:p>
    <w:p>
      <w:pPr>
        <w:spacing w:after="0" w:line="155" w:lineRule="exact"/>
        <w:rPr>
          <w:sz w:val="20"/>
          <w:szCs w:val="20"/>
          <w:color w:val="auto"/>
        </w:rPr>
      </w:pPr>
    </w:p>
    <w:p>
      <w:pPr>
        <w:ind w:right="360" w:firstLine="1304"/>
        <w:spacing w:after="0" w:line="227" w:lineRule="auto"/>
        <w:tabs>
          <w:tab w:leader="none" w:pos="1725" w:val="left"/>
        </w:tabs>
        <w:numPr>
          <w:ilvl w:val="0"/>
          <w:numId w:val="230"/>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in any other loan document, no Loan Party nor any of their respective Affiliates shall have any obligations or liabilities directly or indirectly arising out of this Section 8.02 in respect of any Erroneous Payment.</w:t>
      </w:r>
    </w:p>
    <w:p>
      <w:pPr>
        <w:spacing w:after="0" w:line="15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IX</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GUARANTY</w:t>
      </w:r>
    </w:p>
    <w:p>
      <w:pPr>
        <w:spacing w:after="0" w:line="189"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Guaranty by the Company</w:t>
      </w:r>
      <w:r>
        <w:rPr>
          <w:rFonts w:ascii="Arial" w:cs="Arial" w:eastAsia="Arial" w:hAnsi="Arial"/>
          <w:sz w:val="18"/>
          <w:szCs w:val="18"/>
          <w:color w:val="auto"/>
        </w:rPr>
        <w:t>. The Company hereby unconditionally guarantees, for the benefit of the Credit Parties, all of the following (collectively, the “</w:t>
      </w:r>
      <w:r>
        <w:rPr>
          <w:rFonts w:ascii="Arial" w:cs="Arial" w:eastAsia="Arial" w:hAnsi="Arial"/>
          <w:sz w:val="18"/>
          <w:szCs w:val="18"/>
          <w:b w:val="1"/>
          <w:bCs w:val="1"/>
          <w:i w:val="1"/>
          <w:iCs w:val="1"/>
          <w:color w:val="auto"/>
        </w:rPr>
        <w:t>Company Guaranteed Obligations</w:t>
      </w:r>
      <w:r>
        <w:rPr>
          <w:rFonts w:ascii="Arial" w:cs="Arial" w:eastAsia="Arial" w:hAnsi="Arial"/>
          <w:sz w:val="18"/>
          <w:szCs w:val="18"/>
          <w:color w:val="auto"/>
        </w:rPr>
        <w:t>”): (a) all Loans and all other Obligations owing at any time by any</w:t>
      </w:r>
    </w:p>
    <w:p>
      <w:pPr>
        <w:spacing w:after="0" w:line="235" w:lineRule="auto"/>
        <w:rPr>
          <w:sz w:val="20"/>
          <w:szCs w:val="20"/>
          <w:color w:val="auto"/>
        </w:rPr>
      </w:pPr>
      <w:r>
        <w:rPr>
          <w:rFonts w:ascii="Arial" w:cs="Arial" w:eastAsia="Arial" w:hAnsi="Arial"/>
          <w:sz w:val="18"/>
          <w:szCs w:val="18"/>
          <w:color w:val="auto"/>
        </w:rPr>
        <w:t>Borrower (other than the Company), (b) all reimbursement obligations with respect to Letters of Credit issued for the benefit of any Loan</w:t>
      </w:r>
    </w:p>
    <w:p>
      <w:pPr>
        <w:ind w:right="320"/>
        <w:spacing w:after="0" w:line="255" w:lineRule="auto"/>
        <w:rPr>
          <w:sz w:val="20"/>
          <w:szCs w:val="20"/>
          <w:color w:val="auto"/>
        </w:rPr>
      </w:pPr>
      <w:r>
        <w:rPr>
          <w:rFonts w:ascii="Arial" w:cs="Arial" w:eastAsia="Arial" w:hAnsi="Arial"/>
          <w:sz w:val="16"/>
          <w:szCs w:val="16"/>
          <w:color w:val="auto"/>
        </w:rPr>
        <w:t>Party or any Subsidiary (other than the Company) under this Agreement, and (c) all amounts, indemnities and reimbursement obligations, direct or indirect, contingent or absolute, of every type or description, and at any time existing owing by any Borrower (other than the</w:t>
      </w:r>
    </w:p>
    <w:p>
      <w:pPr>
        <w:spacing w:after="0" w:line="235" w:lineRule="auto"/>
        <w:rPr>
          <w:sz w:val="20"/>
          <w:szCs w:val="20"/>
          <w:color w:val="auto"/>
        </w:rPr>
      </w:pPr>
      <w:r>
        <w:rPr>
          <w:rFonts w:ascii="Arial" w:cs="Arial" w:eastAsia="Arial" w:hAnsi="Arial"/>
          <w:sz w:val="18"/>
          <w:szCs w:val="18"/>
          <w:color w:val="auto"/>
        </w:rPr>
        <w:t>Company) or any Subsidiary of the Company under any Designated Hedge Agreement or any other document or agreement executed and</w:t>
      </w:r>
    </w:p>
    <w:p>
      <w:pPr>
        <w:ind w:right="60"/>
        <w:spacing w:after="0" w:line="255" w:lineRule="auto"/>
        <w:rPr>
          <w:sz w:val="20"/>
          <w:szCs w:val="20"/>
          <w:color w:val="auto"/>
        </w:rPr>
      </w:pPr>
      <w:r>
        <w:rPr>
          <w:rFonts w:ascii="Arial" w:cs="Arial" w:eastAsia="Arial" w:hAnsi="Arial"/>
          <w:sz w:val="16"/>
          <w:szCs w:val="16"/>
          <w:color w:val="auto"/>
        </w:rPr>
        <w:t>delivered in connection therewith to any Designated Hedge Creditor, in each case, other than any Excluded Swap Obligations, and in all cases under subparts (a), (b) or (c) above, whether now existing, or hereafter incurred or arising, including any such interest or other amounts</w:t>
      </w:r>
    </w:p>
    <w:p>
      <w:pPr>
        <w:spacing w:after="0" w:line="235" w:lineRule="auto"/>
        <w:rPr>
          <w:sz w:val="20"/>
          <w:szCs w:val="20"/>
          <w:color w:val="auto"/>
        </w:rPr>
      </w:pPr>
      <w:r>
        <w:rPr>
          <w:rFonts w:ascii="Arial" w:cs="Arial" w:eastAsia="Arial" w:hAnsi="Arial"/>
          <w:sz w:val="18"/>
          <w:szCs w:val="18"/>
          <w:color w:val="auto"/>
        </w:rPr>
        <w:t>incurred or arising during the pendency of any bankruptcy, insolvency, reorganization, receivership or similar proceeding, regardless of</w:t>
      </w:r>
    </w:p>
    <w:p>
      <w:pPr>
        <w:ind w:right="60"/>
        <w:spacing w:after="0" w:line="226" w:lineRule="auto"/>
        <w:rPr>
          <w:sz w:val="20"/>
          <w:szCs w:val="20"/>
          <w:color w:val="auto"/>
        </w:rPr>
      </w:pPr>
      <w:r>
        <w:rPr>
          <w:rFonts w:ascii="Arial" w:cs="Arial" w:eastAsia="Arial" w:hAnsi="Arial"/>
          <w:sz w:val="18"/>
          <w:szCs w:val="18"/>
          <w:color w:val="auto"/>
        </w:rPr>
        <w:t>whether allowed or allowable in such proceeding or subject to an automatic stay under Section 362(a) of the Bankruptcy Code). Upon failure by any Loan Party to pay punctually any of the Company Guaranteed Obligations, the Company shall forthwith on demand by the</w:t>
      </w:r>
    </w:p>
    <w:p>
      <w:pPr>
        <w:spacing w:after="0" w:line="2"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Administrative Agent pay the amount not so paid at the place and in the currency and otherwise in the manner specified in this Agreement or any other applicable agreement or instrument.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9.02</w:t>
      </w:r>
      <w:r>
        <w:rPr>
          <w:sz w:val="20"/>
          <w:szCs w:val="20"/>
          <w:color w:val="auto"/>
        </w:rPr>
        <w:tab/>
      </w:r>
      <w:r>
        <w:rPr>
          <w:rFonts w:ascii="Arial" w:cs="Arial" w:eastAsia="Arial" w:hAnsi="Arial"/>
          <w:sz w:val="18"/>
          <w:szCs w:val="18"/>
          <w:u w:val="single" w:color="auto"/>
          <w:color w:val="auto"/>
        </w:rPr>
        <w:t>Guaranty Unconditional</w:t>
      </w:r>
      <w:r>
        <w:rPr>
          <w:rFonts w:ascii="Arial" w:cs="Arial" w:eastAsia="Arial" w:hAnsi="Arial"/>
          <w:sz w:val="18"/>
          <w:szCs w:val="18"/>
          <w:color w:val="auto"/>
        </w:rPr>
        <w:t>. The obligations of the Company under this Article IX shall be irrevocable, unconditional and</w:t>
      </w:r>
    </w:p>
    <w:p>
      <w:pPr>
        <w:ind w:right="20"/>
        <w:spacing w:after="0" w:line="220" w:lineRule="auto"/>
        <w:rPr>
          <w:sz w:val="20"/>
          <w:szCs w:val="20"/>
          <w:color w:val="auto"/>
        </w:rPr>
      </w:pPr>
      <w:r>
        <w:rPr>
          <w:rFonts w:ascii="Arial" w:cs="Arial" w:eastAsia="Arial" w:hAnsi="Arial"/>
          <w:sz w:val="20"/>
          <w:szCs w:val="20"/>
          <w:color w:val="auto"/>
        </w:rPr>
        <w:t>absolute and, without limiting the generality of the foregoing shall not be released, discharged or otherwise affected by the occurrence, one or more times, of any of the following:</w:t>
      </w:r>
    </w:p>
    <w:p>
      <w:pPr>
        <w:spacing w:after="0" w:line="170" w:lineRule="exact"/>
        <w:rPr>
          <w:sz w:val="20"/>
          <w:szCs w:val="20"/>
          <w:color w:val="auto"/>
        </w:rPr>
      </w:pPr>
    </w:p>
    <w:p>
      <w:pPr>
        <w:ind w:right="200" w:firstLine="1304"/>
        <w:spacing w:after="0" w:line="236" w:lineRule="auto"/>
        <w:tabs>
          <w:tab w:leader="none" w:pos="171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any extension, renewal, settlement, compromise, waiver or release in respect to the Company Guaranteed Obligations under any agreement or instrument, by operation of law or otherwise;</w:t>
      </w:r>
    </w:p>
    <w:p>
      <w:pPr>
        <w:spacing w:after="0" w:line="155" w:lineRule="exact"/>
        <w:rPr>
          <w:rFonts w:ascii="Arial" w:cs="Arial" w:eastAsia="Arial" w:hAnsi="Arial"/>
          <w:sz w:val="20"/>
          <w:szCs w:val="20"/>
          <w:color w:val="auto"/>
        </w:rPr>
      </w:pPr>
    </w:p>
    <w:p>
      <w:pPr>
        <w:ind w:right="520" w:firstLine="1304"/>
        <w:spacing w:after="0" w:line="236" w:lineRule="auto"/>
        <w:tabs>
          <w:tab w:leader="none" w:pos="1725"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any modification or amendment of or supplement to this Agreement, any Note, any other Loan Document, or any agreement or instrument evidencing or relating to the Company Guaranteed Obligations;</w:t>
      </w:r>
    </w:p>
    <w:p>
      <w:pPr>
        <w:spacing w:after="0" w:line="168" w:lineRule="exact"/>
        <w:rPr>
          <w:rFonts w:ascii="Arial" w:cs="Arial" w:eastAsia="Arial" w:hAnsi="Arial"/>
          <w:sz w:val="20"/>
          <w:szCs w:val="20"/>
          <w:color w:val="auto"/>
        </w:rPr>
      </w:pPr>
    </w:p>
    <w:p>
      <w:pPr>
        <w:ind w:right="440" w:firstLine="1304"/>
        <w:spacing w:after="0" w:line="229" w:lineRule="auto"/>
        <w:tabs>
          <w:tab w:leader="none" w:pos="171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any release, non-perfection or invalidity of any direct or indirect security for the Company Guaranteed Obligations under any agreement or instrument evidencing or relating to any of the Company Guaranteed Obligations;</w:t>
      </w:r>
    </w:p>
    <w:p>
      <w:pPr>
        <w:spacing w:after="0" w:line="168" w:lineRule="exact"/>
        <w:rPr>
          <w:rFonts w:ascii="Arial" w:cs="Arial" w:eastAsia="Arial" w:hAnsi="Arial"/>
          <w:sz w:val="20"/>
          <w:szCs w:val="20"/>
          <w:color w:val="auto"/>
        </w:rPr>
      </w:pPr>
    </w:p>
    <w:p>
      <w:pPr>
        <w:ind w:right="120" w:firstLine="1304"/>
        <w:spacing w:after="0" w:line="220" w:lineRule="auto"/>
        <w:tabs>
          <w:tab w:leader="none" w:pos="1725"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any change in the corporate existence, structure or ownership of any Loan Party or other Subsidiary or any insolvency, bankruptcy, reorganization or other similar proceeding affecting any Loan Party or other Subsidiary or its assets or any resulting release or discharge of any obligation of any Loan Party or other Subsidiary contained in any agreement or instrument evidencing or relating to any of the Company Guaranteed Obligations;</w:t>
      </w:r>
    </w:p>
    <w:p>
      <w:pPr>
        <w:spacing w:after="0" w:line="169" w:lineRule="exact"/>
        <w:rPr>
          <w:rFonts w:ascii="Arial" w:cs="Arial" w:eastAsia="Arial" w:hAnsi="Arial"/>
          <w:sz w:val="20"/>
          <w:szCs w:val="20"/>
          <w:color w:val="auto"/>
        </w:rPr>
      </w:pPr>
    </w:p>
    <w:p>
      <w:pPr>
        <w:ind w:right="420" w:firstLine="1304"/>
        <w:spacing w:after="0" w:line="223" w:lineRule="auto"/>
        <w:tabs>
          <w:tab w:leader="none" w:pos="171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existence of any claim, set-off or other rights which the Company may have at any time against any other Loan Party, the Administrative Agent, any Lender, any Affiliate of any Lender or any other Person, whether in connection herewith or any unrelated transactions;</w:t>
      </w:r>
    </w:p>
    <w:p>
      <w:pPr>
        <w:spacing w:after="0" w:line="168" w:lineRule="exact"/>
        <w:rPr>
          <w:rFonts w:ascii="Arial" w:cs="Arial" w:eastAsia="Arial" w:hAnsi="Arial"/>
          <w:sz w:val="20"/>
          <w:szCs w:val="20"/>
          <w:color w:val="auto"/>
        </w:rPr>
      </w:pPr>
    </w:p>
    <w:p>
      <w:pPr>
        <w:ind w:right="680" w:firstLine="1304"/>
        <w:spacing w:after="0" w:line="229" w:lineRule="auto"/>
        <w:tabs>
          <w:tab w:leader="none" w:pos="1692"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any invalidity or unenforceability relating to or against any other Loan Party for any reason of any agreement or instrument evidencing or relating to any of the Company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Obligations, or any provision of applicable law or regulation purporting to prohibit the payment by any Loan Party of any of the Company</w:t>
      </w:r>
    </w:p>
    <w:p>
      <w:pPr>
        <w:spacing w:after="0" w:line="12" w:lineRule="exact"/>
        <w:rPr>
          <w:sz w:val="20"/>
          <w:szCs w:val="20"/>
          <w:color w:val="auto"/>
        </w:rPr>
      </w:pPr>
    </w:p>
    <w:p>
      <w:pPr>
        <w:ind w:right="340"/>
        <w:spacing w:after="0" w:line="220" w:lineRule="auto"/>
        <w:rPr>
          <w:sz w:val="20"/>
          <w:szCs w:val="20"/>
          <w:color w:val="auto"/>
        </w:rPr>
      </w:pPr>
      <w:r>
        <w:rPr>
          <w:rFonts w:ascii="Arial" w:cs="Arial" w:eastAsia="Arial" w:hAnsi="Arial"/>
          <w:sz w:val="20"/>
          <w:szCs w:val="20"/>
          <w:color w:val="auto"/>
        </w:rPr>
        <w:t>Guaranteed Obligations, or any decree or order prohibiting any Loan Party from paying, or releasing or discharging the obligation of any Loan Party to pay, any of the Company Guaranteed Obligations; or</w:t>
      </w:r>
    </w:p>
    <w:p>
      <w:pPr>
        <w:spacing w:after="0" w:line="170" w:lineRule="exact"/>
        <w:rPr>
          <w:sz w:val="20"/>
          <w:szCs w:val="20"/>
          <w:color w:val="auto"/>
        </w:rPr>
      </w:pPr>
    </w:p>
    <w:p>
      <w:pPr>
        <w:ind w:right="160" w:firstLine="1304"/>
        <w:spacing w:after="0" w:line="243" w:lineRule="auto"/>
        <w:tabs>
          <w:tab w:leader="none" w:pos="172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other act or omission of any kind by any other Loan Party, the Administrative Agent, any Lender or any other Person or any other circumstance whatsoever which might, but for the provisions of this Article, constitute a legal or equitable discharge of any Borrowers’ obligations under this Section, all of which the Company hereby unconditionally waives to the fullest extent permitted by law, other than the payment in full of all Company Guaranteed Obligations (other than amounts in respect of indemnification, expense reimbursement, tax gross-up or contingent obligations in each case that are owing and with respect to which no claim has been made).</w:t>
      </w:r>
    </w:p>
    <w:p>
      <w:pPr>
        <w:spacing w:after="0" w:line="154"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Waivers</w:t>
      </w:r>
      <w:r>
        <w:rPr>
          <w:rFonts w:ascii="Arial" w:cs="Arial" w:eastAsia="Arial" w:hAnsi="Arial"/>
          <w:sz w:val="18"/>
          <w:szCs w:val="18"/>
          <w:color w:val="auto"/>
        </w:rPr>
        <w:t>. The Company unconditionally waives, to the extent permitted under any applicable law now or hereafter in effect, insofar as its obligations under this Article IX are concerned, (a) notice of any of the matters referred to in Section 9.02, (b) all notices</w:t>
      </w:r>
    </w:p>
    <w:p>
      <w:pPr>
        <w:ind w:right="220"/>
        <w:spacing w:after="0" w:line="255" w:lineRule="auto"/>
        <w:rPr>
          <w:sz w:val="20"/>
          <w:szCs w:val="20"/>
          <w:color w:val="auto"/>
        </w:rPr>
      </w:pPr>
      <w:r>
        <w:rPr>
          <w:rFonts w:ascii="Arial" w:cs="Arial" w:eastAsia="Arial" w:hAnsi="Arial"/>
          <w:sz w:val="16"/>
          <w:szCs w:val="16"/>
          <w:color w:val="auto"/>
        </w:rPr>
        <w:t>required by statute, rule of law or otherwise to preserve any rights against the Company hereunder, including, without limitation, any demand, presentment, proof or notice of dishonor or non-payment of any of the Company Guaranteed Obligations, notice of acceptance of</w:t>
      </w:r>
    </w:p>
    <w:p>
      <w:pPr>
        <w:spacing w:after="0" w:line="235" w:lineRule="auto"/>
        <w:rPr>
          <w:sz w:val="20"/>
          <w:szCs w:val="20"/>
          <w:color w:val="auto"/>
        </w:rPr>
      </w:pPr>
      <w:r>
        <w:rPr>
          <w:rFonts w:ascii="Arial" w:cs="Arial" w:eastAsia="Arial" w:hAnsi="Arial"/>
          <w:sz w:val="18"/>
          <w:szCs w:val="18"/>
          <w:color w:val="auto"/>
        </w:rPr>
        <w:t>the provisions of this Article IX, notice of the incurrence of any of the Company Guaranteed Obligations, notice of any failure on the part of</w:t>
      </w:r>
    </w:p>
    <w:p>
      <w:pPr>
        <w:ind w:right="180"/>
        <w:spacing w:after="0" w:line="255" w:lineRule="auto"/>
        <w:rPr>
          <w:sz w:val="20"/>
          <w:szCs w:val="20"/>
          <w:color w:val="auto"/>
        </w:rPr>
      </w:pPr>
      <w:r>
        <w:rPr>
          <w:rFonts w:ascii="Arial" w:cs="Arial" w:eastAsia="Arial" w:hAnsi="Arial"/>
          <w:sz w:val="16"/>
          <w:szCs w:val="16"/>
          <w:color w:val="auto"/>
        </w:rPr>
        <w:t>any Loan Party, any of their Subsidiaries or Affiliates, or any other Person, to perform or comply with any term or provision of this Agreement, any other Loan Document or any other agreement or instrument to which the such Loan Party or any other Person is a party, or</w:t>
      </w:r>
    </w:p>
    <w:p>
      <w:pPr>
        <w:spacing w:after="0" w:line="235" w:lineRule="auto"/>
        <w:rPr>
          <w:sz w:val="20"/>
          <w:szCs w:val="20"/>
          <w:color w:val="auto"/>
        </w:rPr>
      </w:pPr>
      <w:r>
        <w:rPr>
          <w:rFonts w:ascii="Arial" w:cs="Arial" w:eastAsia="Arial" w:hAnsi="Arial"/>
          <w:sz w:val="18"/>
          <w:szCs w:val="18"/>
          <w:color w:val="auto"/>
        </w:rPr>
        <w:t>notice of the commencement of any proceeding against any other Person or its any of its property or assets, (c) any right to the enforcement,</w:t>
      </w:r>
    </w:p>
    <w:p>
      <w:pPr>
        <w:spacing w:after="0" w:line="255" w:lineRule="auto"/>
        <w:rPr>
          <w:sz w:val="20"/>
          <w:szCs w:val="20"/>
          <w:color w:val="auto"/>
        </w:rPr>
      </w:pPr>
      <w:r>
        <w:rPr>
          <w:rFonts w:ascii="Arial" w:cs="Arial" w:eastAsia="Arial" w:hAnsi="Arial"/>
          <w:sz w:val="16"/>
          <w:szCs w:val="16"/>
          <w:color w:val="auto"/>
        </w:rPr>
        <w:t>assertion or exercise against any Loan Party or against any other Person or any collateral of any right, power or remedy under or in respect of this Agreement, any other Loan Document or any other agreement or instrument, and (d) any requirement that any such Loan Party be joined</w:t>
      </w:r>
    </w:p>
    <w:p>
      <w:pPr>
        <w:spacing w:after="0" w:line="1"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color w:val="auto"/>
        </w:rPr>
        <w:t>as a party to any proceedings against the Company or any other Person for the enforcement of any term or provision of this Agreement, the other Loan Documents, the provisions of this Article IX or any other agreement or instrument.</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8"/>
          <w:szCs w:val="18"/>
          <w:u w:val="single" w:color="auto"/>
          <w:color w:val="auto"/>
        </w:rPr>
        <w:t>Company Obligations to Remain in Effect; Restoration</w:t>
      </w:r>
      <w:r>
        <w:rPr>
          <w:rFonts w:ascii="Arial" w:cs="Arial" w:eastAsia="Arial" w:hAnsi="Arial"/>
          <w:sz w:val="18"/>
          <w:szCs w:val="18"/>
          <w:color w:val="auto"/>
        </w:rPr>
        <w:t>. The Company’s obligations under this Article shall remain in</w:t>
      </w:r>
    </w:p>
    <w:p>
      <w:pPr>
        <w:ind w:right="740"/>
        <w:spacing w:after="0" w:line="255" w:lineRule="auto"/>
        <w:rPr>
          <w:sz w:val="20"/>
          <w:szCs w:val="20"/>
          <w:color w:val="auto"/>
        </w:rPr>
      </w:pPr>
      <w:r>
        <w:rPr>
          <w:rFonts w:ascii="Arial" w:cs="Arial" w:eastAsia="Arial" w:hAnsi="Arial"/>
          <w:sz w:val="16"/>
          <w:szCs w:val="16"/>
          <w:color w:val="auto"/>
        </w:rPr>
        <w:t>full force and effect until the Commitments shall have terminated, and the principal of and interest on the Notes and other Company Guaranteed Obligations, and all other amounts payable by the Borrowers, any other Loan Party or other Subsidiary, under the Loan</w:t>
      </w:r>
    </w:p>
    <w:p>
      <w:pPr>
        <w:spacing w:after="0" w:line="235" w:lineRule="auto"/>
        <w:rPr>
          <w:sz w:val="20"/>
          <w:szCs w:val="20"/>
          <w:color w:val="auto"/>
        </w:rPr>
      </w:pPr>
      <w:r>
        <w:rPr>
          <w:rFonts w:ascii="Arial" w:cs="Arial" w:eastAsia="Arial" w:hAnsi="Arial"/>
          <w:sz w:val="18"/>
          <w:szCs w:val="18"/>
          <w:color w:val="auto"/>
        </w:rPr>
        <w:t>Documents or any other agreement or instrument evidencing or relating to any of the Company Guaranteed Obligations (other than amounts</w:t>
      </w:r>
    </w:p>
    <w:p>
      <w:pPr>
        <w:ind w:right="60"/>
        <w:spacing w:after="0" w:line="255" w:lineRule="auto"/>
        <w:rPr>
          <w:sz w:val="20"/>
          <w:szCs w:val="20"/>
          <w:color w:val="auto"/>
        </w:rPr>
      </w:pPr>
      <w:r>
        <w:rPr>
          <w:rFonts w:ascii="Arial" w:cs="Arial" w:eastAsia="Arial" w:hAnsi="Arial"/>
          <w:sz w:val="16"/>
          <w:szCs w:val="16"/>
          <w:color w:val="auto"/>
        </w:rPr>
        <w:t>in respect of indemnification, expense reimbursement, tax gross-up or contingent obligations, in each case that are owing and with respect to which no claim has been made), shall have been paid in full. If at any time any payment of any of the Company Guaranteed Obligations is</w:t>
      </w:r>
    </w:p>
    <w:p>
      <w:pPr>
        <w:spacing w:after="0" w:line="235" w:lineRule="auto"/>
        <w:rPr>
          <w:sz w:val="20"/>
          <w:szCs w:val="20"/>
          <w:color w:val="auto"/>
        </w:rPr>
      </w:pPr>
      <w:r>
        <w:rPr>
          <w:rFonts w:ascii="Arial" w:cs="Arial" w:eastAsia="Arial" w:hAnsi="Arial"/>
          <w:sz w:val="18"/>
          <w:szCs w:val="18"/>
          <w:color w:val="auto"/>
        </w:rPr>
        <w:t>rescinded or must be otherwise restored or returned upon the insolvency, bankruptcy or reorganization of such Loan Party, the Company’s</w:t>
      </w:r>
    </w:p>
    <w:p>
      <w:pPr>
        <w:ind w:right="120"/>
        <w:spacing w:after="0" w:line="220" w:lineRule="auto"/>
        <w:rPr>
          <w:sz w:val="20"/>
          <w:szCs w:val="20"/>
          <w:color w:val="auto"/>
        </w:rPr>
      </w:pPr>
      <w:r>
        <w:rPr>
          <w:rFonts w:ascii="Arial" w:cs="Arial" w:eastAsia="Arial" w:hAnsi="Arial"/>
          <w:sz w:val="20"/>
          <w:szCs w:val="20"/>
          <w:color w:val="auto"/>
        </w:rPr>
        <w:t>obligations under this Article IX with respect to such payment shall be reinstated at such time as though such payment had been due but not made at such time.</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9.05</w:t>
      </w:r>
      <w:r>
        <w:rPr>
          <w:sz w:val="20"/>
          <w:szCs w:val="20"/>
          <w:color w:val="auto"/>
        </w:rPr>
        <w:tab/>
      </w:r>
      <w:r>
        <w:rPr>
          <w:rFonts w:ascii="Arial" w:cs="Arial" w:eastAsia="Arial" w:hAnsi="Arial"/>
          <w:sz w:val="16"/>
          <w:szCs w:val="16"/>
          <w:u w:val="single" w:color="auto"/>
          <w:color w:val="auto"/>
        </w:rPr>
        <w:t>Waiver of Acceptance, etc</w:t>
      </w:r>
      <w:r>
        <w:rPr>
          <w:rFonts w:ascii="Arial" w:cs="Arial" w:eastAsia="Arial" w:hAnsi="Arial"/>
          <w:sz w:val="16"/>
          <w:szCs w:val="16"/>
          <w:color w:val="auto"/>
        </w:rPr>
        <w:t>. The Company irrevocably waives acceptance hereof, presentment, demand, protest and</w:t>
      </w:r>
    </w:p>
    <w:p>
      <w:pPr>
        <w:ind w:right="400"/>
        <w:spacing w:after="0" w:line="220" w:lineRule="auto"/>
        <w:rPr>
          <w:sz w:val="20"/>
          <w:szCs w:val="20"/>
          <w:color w:val="auto"/>
        </w:rPr>
      </w:pPr>
      <w:r>
        <w:rPr>
          <w:rFonts w:ascii="Arial" w:cs="Arial" w:eastAsia="Arial" w:hAnsi="Arial"/>
          <w:sz w:val="20"/>
          <w:szCs w:val="20"/>
          <w:color w:val="auto"/>
        </w:rPr>
        <w:t>any notice not provided for herein, as well as any requirement that at any time any action be taken by any Person against any other Loan Party or any other Person, or against any collateral or guaranty of any other Person.</w:t>
      </w:r>
    </w:p>
    <w:p>
      <w:pPr>
        <w:spacing w:after="0" w:line="15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9.06</w:t>
      </w:r>
      <w:r>
        <w:rPr>
          <w:sz w:val="20"/>
          <w:szCs w:val="20"/>
          <w:color w:val="auto"/>
        </w:rPr>
        <w:tab/>
      </w:r>
      <w:r>
        <w:rPr>
          <w:rFonts w:ascii="Arial" w:cs="Arial" w:eastAsia="Arial" w:hAnsi="Arial"/>
          <w:sz w:val="18"/>
          <w:szCs w:val="18"/>
          <w:u w:val="single" w:color="auto"/>
          <w:color w:val="auto"/>
        </w:rPr>
        <w:t>Subrogation</w:t>
      </w:r>
      <w:r>
        <w:rPr>
          <w:rFonts w:ascii="Arial" w:cs="Arial" w:eastAsia="Arial" w:hAnsi="Arial"/>
          <w:sz w:val="18"/>
          <w:szCs w:val="18"/>
          <w:color w:val="auto"/>
        </w:rPr>
        <w:t>. Until the payment in full of all of the Obligations (other than amounts in respect of indemnification,</w:t>
      </w:r>
    </w:p>
    <w:p>
      <w:pPr>
        <w:ind w:right="40"/>
        <w:spacing w:after="0" w:line="255" w:lineRule="auto"/>
        <w:rPr>
          <w:sz w:val="20"/>
          <w:szCs w:val="20"/>
          <w:color w:val="auto"/>
        </w:rPr>
      </w:pPr>
      <w:r>
        <w:rPr>
          <w:rFonts w:ascii="Arial" w:cs="Arial" w:eastAsia="Arial" w:hAnsi="Arial"/>
          <w:sz w:val="16"/>
          <w:szCs w:val="16"/>
          <w:color w:val="auto"/>
        </w:rPr>
        <w:t>expense reimbursement, tax gross-up or contingent obligations, in each case that are owing and with respect to which no claim has been made) and the termination of the Commitments hereunder, the Company shall have no rights, by operation of law or otherwise, upon making</w:t>
      </w:r>
    </w:p>
    <w:p>
      <w:pPr>
        <w:spacing w:after="0" w:line="1" w:lineRule="exact"/>
        <w:rPr>
          <w:sz w:val="20"/>
          <w:szCs w:val="20"/>
          <w:color w:val="auto"/>
        </w:rPr>
      </w:pPr>
    </w:p>
    <w:p>
      <w:pPr>
        <w:ind w:right="460"/>
        <w:spacing w:after="0" w:line="227" w:lineRule="auto"/>
        <w:rPr>
          <w:sz w:val="20"/>
          <w:szCs w:val="20"/>
          <w:color w:val="auto"/>
        </w:rPr>
      </w:pPr>
      <w:r>
        <w:rPr>
          <w:rFonts w:ascii="Arial" w:cs="Arial" w:eastAsia="Arial" w:hAnsi="Arial"/>
          <w:sz w:val="20"/>
          <w:szCs w:val="20"/>
          <w:color w:val="auto"/>
        </w:rPr>
        <w:t>any payment under this section to be subrogated to the rights of the payee against any other Loan Party with respect to such payment or otherwise to be reimbursed, indemnified or exonerated by any such Loan Party in respect thereof.</w:t>
      </w:r>
    </w:p>
    <w:p>
      <w:pPr>
        <w:spacing w:after="0" w:line="156" w:lineRule="exact"/>
        <w:rPr>
          <w:sz w:val="20"/>
          <w:szCs w:val="20"/>
          <w:color w:val="auto"/>
        </w:rPr>
      </w:pPr>
    </w:p>
    <w:p>
      <w:pPr>
        <w:ind w:right="100" w:firstLine="648"/>
        <w:spacing w:after="0" w:line="227"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Effect of Stay</w:t>
      </w:r>
      <w:r>
        <w:rPr>
          <w:rFonts w:ascii="Arial" w:cs="Arial" w:eastAsia="Arial" w:hAnsi="Arial"/>
          <w:sz w:val="20"/>
          <w:szCs w:val="20"/>
          <w:color w:val="auto"/>
        </w:rPr>
        <w:t>. In the event that acceleration of the time for payment of any amount payable by any Loan Party under any of the Company Guaranteed Obligations is stayed upon insolvency, bankruptcy or reorganization of such Loan Party, all such amounts otherwise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86</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05" w:right="379" w:bottom="1440" w:gutter="0" w:footer="0" w:header="0"/>
        </w:sectPr>
      </w:pPr>
    </w:p>
    <w:bookmarkStart w:id="215" w:name="page216"/>
    <w:bookmarkEnd w:id="215"/>
    <w:p>
      <w:pPr>
        <w:spacing w:after="0" w:line="257" w:lineRule="auto"/>
        <w:rPr>
          <w:sz w:val="20"/>
          <w:szCs w:val="20"/>
          <w:color w:val="auto"/>
        </w:rPr>
      </w:pPr>
      <w:r>
        <w:rPr>
          <w:rFonts w:ascii="Arial" w:cs="Arial" w:eastAsia="Arial" w:hAnsi="Arial"/>
          <w:sz w:val="19"/>
          <w:szCs w:val="19"/>
          <w:color w:val="auto"/>
        </w:rPr>
        <w:t>acceleration under the terms of any applicable agreement or instrument evidencing or relating to any of the Company Guaranteed Obligations shall nonetheless be payable by the Company under this Article IX forthwith on demand by the Administrative Agent.</w:t>
      </w:r>
    </w:p>
    <w:p>
      <w:pPr>
        <w:spacing w:after="0" w:line="140"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Keepwell</w:t>
      </w:r>
      <w:r>
        <w:rPr>
          <w:rFonts w:ascii="Arial" w:cs="Arial" w:eastAsia="Arial" w:hAnsi="Arial"/>
          <w:sz w:val="18"/>
          <w:szCs w:val="18"/>
          <w:color w:val="auto"/>
        </w:rPr>
        <w:t>. The Company, to the extent it is a Qualified ECP Guarantor, hereby absolutely, unconditionally and irrevocably undertakes to provide such funds or other support as may be needed from time to time by any other Loan Party to honor all of its</w:t>
      </w:r>
    </w:p>
    <w:p>
      <w:pPr>
        <w:ind w:right="360"/>
        <w:spacing w:after="0" w:line="226" w:lineRule="auto"/>
        <w:rPr>
          <w:sz w:val="20"/>
          <w:szCs w:val="20"/>
          <w:color w:val="auto"/>
        </w:rPr>
      </w:pPr>
      <w:r>
        <w:rPr>
          <w:rFonts w:ascii="Arial" w:cs="Arial" w:eastAsia="Arial" w:hAnsi="Arial"/>
          <w:sz w:val="18"/>
          <w:szCs w:val="18"/>
          <w:color w:val="auto"/>
        </w:rPr>
        <w:t>obligations under this Article IX in respect of Designated Hedge Agreements (provided, however, that the Company shall only be liable under this Section 9.08 for the maximum amount of such liability that can be hereby incurred without rendering its obligations under this</w:t>
      </w:r>
    </w:p>
    <w:p>
      <w:pPr>
        <w:spacing w:after="0" w:line="236" w:lineRule="auto"/>
        <w:rPr>
          <w:sz w:val="20"/>
          <w:szCs w:val="20"/>
          <w:color w:val="auto"/>
        </w:rPr>
      </w:pPr>
      <w:r>
        <w:rPr>
          <w:rFonts w:ascii="Arial" w:cs="Arial" w:eastAsia="Arial" w:hAnsi="Arial"/>
          <w:sz w:val="18"/>
          <w:szCs w:val="18"/>
          <w:color w:val="auto"/>
        </w:rPr>
        <w:t>Section 9.08, or otherwise under this Article IX, voidable under applicable law relating to fraudulent conveyance or fraudulent transfer,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 for any greater amount). The obligations of the Company under this Section 9.08 shall remain in full force and effect until payment in full of all of the Obligations and the termination of the Commitments hereunder. The Company intends that this Section 9.08 constitute, and this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Section 9.08 shall be deemed to constitute, a “keepwell, support, or other agreement” for the benefit of each other Loan Party for all purposes of Section 1a(18)(A)(v)(II) of the Commodity Exchange Act.</w:t>
      </w:r>
    </w:p>
    <w:p>
      <w:pPr>
        <w:spacing w:after="0" w:line="156"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X</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MISCELLANEOUS</w:t>
      </w:r>
    </w:p>
    <w:p>
      <w:pPr>
        <w:spacing w:after="0" w:line="189"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w:t>
      </w:r>
    </w:p>
    <w:p>
      <w:pPr>
        <w:spacing w:after="0"/>
        <w:rPr>
          <w:sz w:val="20"/>
          <w:szCs w:val="20"/>
          <w:color w:val="auto"/>
        </w:rPr>
      </w:pPr>
      <w:r>
        <w:rPr>
          <w:rFonts w:ascii="Arial" w:cs="Arial" w:eastAsia="Arial" w:hAnsi="Arial"/>
          <w:sz w:val="20"/>
          <w:szCs w:val="20"/>
          <w:color w:val="auto"/>
        </w:rPr>
        <w:t>hand or overnight courier service, mailed by certified or registered mail or sent by telecopy, as follows:</w:t>
      </w:r>
    </w:p>
    <w:p>
      <w:pPr>
        <w:spacing w:after="0" w:line="173" w:lineRule="exact"/>
        <w:rPr>
          <w:sz w:val="20"/>
          <w:szCs w:val="20"/>
          <w:color w:val="auto"/>
        </w:rPr>
      </w:pPr>
    </w:p>
    <w:p>
      <w:pPr>
        <w:ind w:left="660" w:firstLine="1292"/>
        <w:spacing w:after="0" w:line="269" w:lineRule="auto"/>
        <w:tabs>
          <w:tab w:leader="none" w:pos="234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to a Borrower, to it (in the case of any Borrower other than the Company, c/o the Company) at 6101 Bollinger Canyon Road, Suite 500, San Ramon, California 94583, Attention: Brian Andrews, Treasurer (Telecopier No. (925) 460-3648);</w:t>
      </w:r>
    </w:p>
    <w:p>
      <w:pPr>
        <w:spacing w:after="0" w:line="143" w:lineRule="exact"/>
        <w:rPr>
          <w:rFonts w:ascii="Arial" w:cs="Arial" w:eastAsia="Arial" w:hAnsi="Arial"/>
          <w:sz w:val="18"/>
          <w:szCs w:val="18"/>
          <w:color w:val="auto"/>
        </w:rPr>
      </w:pPr>
    </w:p>
    <w:p>
      <w:pPr>
        <w:ind w:left="660" w:right="620" w:firstLine="1292"/>
        <w:spacing w:after="0" w:line="229" w:lineRule="auto"/>
        <w:tabs>
          <w:tab w:leader="none" w:pos="2396" w:val="left"/>
        </w:tabs>
        <w:numPr>
          <w:ilvl w:val="0"/>
          <w:numId w:val="233"/>
        </w:numPr>
        <w:rPr>
          <w:rFonts w:ascii="Arial" w:cs="Arial" w:eastAsia="Arial" w:hAnsi="Arial"/>
          <w:sz w:val="20"/>
          <w:szCs w:val="20"/>
          <w:color w:val="auto"/>
        </w:rPr>
      </w:pPr>
      <w:r>
        <w:rPr>
          <w:rFonts w:ascii="Arial" w:cs="Arial" w:eastAsia="Arial" w:hAnsi="Arial"/>
          <w:sz w:val="20"/>
          <w:szCs w:val="20"/>
          <w:color w:val="auto"/>
        </w:rPr>
        <w:t>if to any other Loan Party, to it, c/o the Company, 6101 Bollinger Canyon Road, Suite 500, San Ramon, California 94583, Attention: Brian Andrews, Treasurer (Telecopier No. (925) 460-3648);</w:t>
      </w:r>
    </w:p>
    <w:p>
      <w:pPr>
        <w:spacing w:after="0" w:line="168" w:lineRule="exact"/>
        <w:rPr>
          <w:rFonts w:ascii="Arial" w:cs="Arial" w:eastAsia="Arial" w:hAnsi="Arial"/>
          <w:sz w:val="20"/>
          <w:szCs w:val="20"/>
          <w:color w:val="auto"/>
        </w:rPr>
      </w:pPr>
    </w:p>
    <w:p>
      <w:pPr>
        <w:ind w:left="660" w:right="20" w:firstLine="1292"/>
        <w:spacing w:after="0" w:line="236" w:lineRule="auto"/>
        <w:tabs>
          <w:tab w:leader="none" w:pos="2451" w:val="left"/>
        </w:tabs>
        <w:numPr>
          <w:ilvl w:val="0"/>
          <w:numId w:val="233"/>
        </w:numPr>
        <w:rPr>
          <w:rFonts w:ascii="Arial" w:cs="Arial" w:eastAsia="Arial" w:hAnsi="Arial"/>
          <w:sz w:val="20"/>
          <w:szCs w:val="20"/>
          <w:color w:val="auto"/>
        </w:rPr>
      </w:pPr>
      <w:r>
        <w:rPr>
          <w:rFonts w:ascii="Arial" w:cs="Arial" w:eastAsia="Arial" w:hAnsi="Arial"/>
          <w:sz w:val="20"/>
          <w:szCs w:val="20"/>
          <w:color w:val="auto"/>
        </w:rPr>
        <w:t>if to the Administrative Agent, to KeyBank National Association at 4900 Tiedeman Road; Mail Code: OH-01-49-0362, Brooklyn, Ohio 44144, Attention: Donna Boening (Facsimile No. (216) 370-5997);</w:t>
      </w:r>
    </w:p>
    <w:p>
      <w:pPr>
        <w:spacing w:after="0" w:line="155" w:lineRule="exact"/>
        <w:rPr>
          <w:rFonts w:ascii="Arial" w:cs="Arial" w:eastAsia="Arial" w:hAnsi="Arial"/>
          <w:sz w:val="20"/>
          <w:szCs w:val="20"/>
          <w:color w:val="auto"/>
        </w:rPr>
      </w:pPr>
    </w:p>
    <w:p>
      <w:pPr>
        <w:ind w:left="660" w:right="20" w:firstLine="1292"/>
        <w:spacing w:after="0" w:line="236" w:lineRule="auto"/>
        <w:tabs>
          <w:tab w:leader="none" w:pos="244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if to the Issuing Bank, to KeyBank National Association at 4900 Tiedeman Road; Mail Code: OH-01-49-0114, Brooklyn, Ohio 44144, Attention: Kathy Koenig (Facsimile No. (216) 370-6113);</w:t>
      </w:r>
    </w:p>
    <w:p>
      <w:pPr>
        <w:spacing w:after="0" w:line="168" w:lineRule="exact"/>
        <w:rPr>
          <w:rFonts w:ascii="Arial" w:cs="Arial" w:eastAsia="Arial" w:hAnsi="Arial"/>
          <w:sz w:val="20"/>
          <w:szCs w:val="20"/>
          <w:color w:val="auto"/>
        </w:rPr>
      </w:pPr>
    </w:p>
    <w:p>
      <w:pPr>
        <w:ind w:left="660" w:right="140" w:firstLine="1292"/>
        <w:spacing w:after="0" w:line="229" w:lineRule="auto"/>
        <w:tabs>
          <w:tab w:leader="none" w:pos="2385" w:val="left"/>
        </w:tabs>
        <w:numPr>
          <w:ilvl w:val="0"/>
          <w:numId w:val="233"/>
        </w:numPr>
        <w:rPr>
          <w:rFonts w:ascii="Arial" w:cs="Arial" w:eastAsia="Arial" w:hAnsi="Arial"/>
          <w:sz w:val="20"/>
          <w:szCs w:val="20"/>
          <w:color w:val="auto"/>
        </w:rPr>
      </w:pPr>
      <w:r>
        <w:rPr>
          <w:rFonts w:ascii="Arial" w:cs="Arial" w:eastAsia="Arial" w:hAnsi="Arial"/>
          <w:sz w:val="20"/>
          <w:szCs w:val="20"/>
          <w:color w:val="auto"/>
        </w:rPr>
        <w:t>if to the Swingline Lender, to KeyBank National Association at 4900 Tiedeman Road; Mail Code: OH-01-49-0114, Brooklyn, Ohio 44144, Attention: Kathy Koenig (Facsimile No. (216) 370-6113); and</w:t>
      </w:r>
    </w:p>
    <w:p>
      <w:pPr>
        <w:spacing w:after="0" w:line="168" w:lineRule="exact"/>
        <w:rPr>
          <w:rFonts w:ascii="Arial" w:cs="Arial" w:eastAsia="Arial" w:hAnsi="Arial"/>
          <w:sz w:val="20"/>
          <w:szCs w:val="20"/>
          <w:color w:val="auto"/>
        </w:rPr>
      </w:pPr>
    </w:p>
    <w:p>
      <w:pPr>
        <w:ind w:left="2440" w:hanging="488"/>
        <w:spacing w:after="0"/>
        <w:tabs>
          <w:tab w:leader="none" w:pos="24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12" w:lineRule="exact"/>
        <w:rPr>
          <w:sz w:val="20"/>
          <w:szCs w:val="20"/>
          <w:color w:val="auto"/>
        </w:rPr>
      </w:pPr>
    </w:p>
    <w:p>
      <w:pPr>
        <w:ind w:right="20" w:firstLine="648"/>
        <w:spacing w:after="0" w:line="265"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w:t>
      </w:r>
    </w:p>
    <w:p>
      <w:pPr>
        <w:spacing w:after="0" w:line="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33" w:lineRule="exact"/>
        <w:rPr>
          <w:sz w:val="20"/>
          <w:szCs w:val="20"/>
          <w:color w:val="auto"/>
        </w:rPr>
      </w:pPr>
    </w:p>
    <w:p>
      <w:pPr>
        <w:ind w:right="320" w:firstLine="1304"/>
        <w:spacing w:after="0" w:line="236" w:lineRule="auto"/>
        <w:tabs>
          <w:tab w:leader="none" w:pos="1725" w:val="left"/>
        </w:tabs>
        <w:numPr>
          <w:ilvl w:val="0"/>
          <w:numId w:val="234"/>
        </w:numPr>
        <w:rPr>
          <w:rFonts w:ascii="Arial" w:cs="Arial" w:eastAsia="Arial" w:hAnsi="Arial"/>
          <w:sz w:val="20"/>
          <w:szCs w:val="20"/>
          <w:color w:val="auto"/>
        </w:rPr>
      </w:pPr>
      <w:r>
        <w:rPr>
          <w:rFonts w:ascii="Arial" w:cs="Arial" w:eastAsia="Arial" w:hAnsi="Arial"/>
          <w:sz w:val="20"/>
          <w:szCs w:val="20"/>
          <w:color w:val="auto"/>
        </w:rPr>
        <w:t>Notices and other communications to the Lenders and the Issuing Bank hereunder may be delivered or furnished by using Electronic Systems pursuant to procedures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216" w:name="page217"/>
    <w:bookmarkEnd w:id="216"/>
    <w:p>
      <w:pPr>
        <w:spacing w:after="0"/>
        <w:rPr>
          <w:sz w:val="20"/>
          <w:szCs w:val="20"/>
          <w:color w:val="auto"/>
        </w:rPr>
      </w:pPr>
      <w:r>
        <w:rPr>
          <w:rFonts w:ascii="Arial" w:cs="Arial" w:eastAsia="Arial" w:hAnsi="Arial"/>
          <w:sz w:val="19"/>
          <w:szCs w:val="19"/>
          <w:color w:val="auto"/>
        </w:rPr>
        <w:t xml:space="preserve">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pursuant to Article II unless otherwise agreed by the</w:t>
      </w:r>
    </w:p>
    <w:p>
      <w:pPr>
        <w:ind w:right="140"/>
        <w:spacing w:after="0" w:line="255" w:lineRule="auto"/>
        <w:rPr>
          <w:sz w:val="20"/>
          <w:szCs w:val="20"/>
          <w:color w:val="auto"/>
        </w:rPr>
      </w:pPr>
      <w:r>
        <w:rPr>
          <w:rFonts w:ascii="Arial" w:cs="Arial" w:eastAsia="Arial" w:hAnsi="Arial"/>
          <w:sz w:val="16"/>
          <w:szCs w:val="16"/>
          <w:color w:val="auto"/>
        </w:rPr>
        <w:t xml:space="preserve">Administrative Agent and the applicable Lender. The Administrative Agent or the Borrowers may, in their respective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approval of such procedures may be limited to particular notices or communications.</w:t>
      </w:r>
    </w:p>
    <w:p>
      <w:pPr>
        <w:spacing w:after="0" w:line="173" w:lineRule="exact"/>
        <w:rPr>
          <w:sz w:val="20"/>
          <w:szCs w:val="20"/>
          <w:color w:val="auto"/>
        </w:rPr>
      </w:pPr>
    </w:p>
    <w:p>
      <w:pPr>
        <w:ind w:right="400" w:firstLine="648"/>
        <w:spacing w:after="0" w:line="265" w:lineRule="auto"/>
        <w:rPr>
          <w:sz w:val="20"/>
          <w:szCs w:val="20"/>
          <w:color w:val="auto"/>
        </w:rPr>
      </w:pPr>
      <w:r>
        <w:rPr>
          <w:rFonts w:ascii="Arial" w:cs="Arial" w:eastAsia="Arial" w:hAnsi="Arial"/>
          <w:sz w:val="16"/>
          <w:szCs w:val="16"/>
          <w:color w:val="auto"/>
        </w:rPr>
        <w:t>Unless the Administrative Agent otherwise prescribes, (i) notices and other communications sent to an e-mail address shall be deemed received upon the sender’s receipt of an acknowledgement from the intended recipient (such as by the “return receipt requested”</w:t>
      </w:r>
    </w:p>
    <w:p>
      <w:pPr>
        <w:spacing w:after="0" w:line="236" w:lineRule="auto"/>
        <w:rPr>
          <w:sz w:val="20"/>
          <w:szCs w:val="20"/>
          <w:color w:val="auto"/>
        </w:rPr>
      </w:pPr>
      <w:r>
        <w:rPr>
          <w:rFonts w:ascii="Arial" w:cs="Arial" w:eastAsia="Arial" w:hAnsi="Arial"/>
          <w:sz w:val="18"/>
          <w:szCs w:val="18"/>
          <w:color w:val="auto"/>
        </w:rPr>
        <w:t>function, as available, return e-mail or other written acknowledgement), and (ii) notices or communications posted to an Internet or intranet</w:t>
      </w:r>
    </w:p>
    <w:p>
      <w:pPr>
        <w:ind w:right="160"/>
        <w:spacing w:after="0" w:line="226" w:lineRule="auto"/>
        <w:rPr>
          <w:sz w:val="20"/>
          <w:szCs w:val="20"/>
          <w:color w:val="auto"/>
        </w:rPr>
      </w:pPr>
      <w:r>
        <w:rPr>
          <w:rFonts w:ascii="Arial" w:cs="Arial" w:eastAsia="Arial" w:hAnsi="Arial"/>
          <w:sz w:val="18"/>
          <w:szCs w:val="18"/>
          <w:color w:val="auto"/>
        </w:rPr>
        <w:t xml:space="preserve">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both</w:t>
      </w:r>
    </w:p>
    <w:p>
      <w:pPr>
        <w:spacing w:after="0" w:line="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33" w:lineRule="exact"/>
        <w:rPr>
          <w:sz w:val="20"/>
          <w:szCs w:val="20"/>
          <w:color w:val="auto"/>
        </w:rPr>
      </w:pPr>
    </w:p>
    <w:p>
      <w:pPr>
        <w:ind w:right="60" w:firstLine="1304"/>
        <w:spacing w:after="0" w:line="227" w:lineRule="auto"/>
        <w:tabs>
          <w:tab w:leader="none" w:pos="1703"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57" w:lineRule="exact"/>
        <w:rPr>
          <w:rFonts w:ascii="Arial" w:cs="Arial" w:eastAsia="Arial" w:hAnsi="Arial"/>
          <w:sz w:val="20"/>
          <w:szCs w:val="20"/>
          <w:color w:val="auto"/>
        </w:rPr>
      </w:pPr>
    </w:p>
    <w:p>
      <w:pPr>
        <w:ind w:left="1740" w:hanging="436"/>
        <w:spacing w:after="0"/>
        <w:tabs>
          <w:tab w:leader="none" w:pos="174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Electronic Systems.</w:t>
      </w:r>
    </w:p>
    <w:p>
      <w:pPr>
        <w:spacing w:after="0" w:line="188" w:lineRule="exact"/>
        <w:rPr>
          <w:rFonts w:ascii="Arial" w:cs="Arial" w:eastAsia="Arial" w:hAnsi="Arial"/>
          <w:sz w:val="20"/>
          <w:szCs w:val="20"/>
          <w:color w:val="auto"/>
        </w:rPr>
      </w:pPr>
    </w:p>
    <w:p>
      <w:pPr>
        <w:jc w:val="both"/>
        <w:ind w:left="660" w:right="20" w:firstLine="1292"/>
        <w:spacing w:after="0" w:line="223" w:lineRule="auto"/>
        <w:tabs>
          <w:tab w:leader="none" w:pos="2341" w:val="left"/>
        </w:tabs>
        <w:numPr>
          <w:ilvl w:val="1"/>
          <w:numId w:val="235"/>
        </w:numPr>
        <w:rPr>
          <w:rFonts w:ascii="Arial" w:cs="Arial" w:eastAsia="Arial" w:hAnsi="Arial"/>
          <w:sz w:val="20"/>
          <w:szCs w:val="20"/>
          <w:color w:val="auto"/>
        </w:rPr>
      </w:pPr>
      <w:r>
        <w:rPr>
          <w:rFonts w:ascii="Arial" w:cs="Arial" w:eastAsia="Arial" w:hAnsi="Arial"/>
          <w:sz w:val="20"/>
          <w:szCs w:val="20"/>
          <w:color w:val="auto"/>
        </w:rPr>
        <w:t>Each Loan Party agrees that the Administrative Agent may, but shall not be obligated to, make Communications (as defined below) available to the Issuing Banks and the other Lenders by posting the Communications on Debt Domain, Intralinks, Syndtrak, ClearPar or a substantially similar Electronic System.</w:t>
      </w:r>
    </w:p>
    <w:p>
      <w:pPr>
        <w:spacing w:after="0" w:line="168" w:lineRule="exact"/>
        <w:rPr>
          <w:rFonts w:ascii="Arial" w:cs="Arial" w:eastAsia="Arial" w:hAnsi="Arial"/>
          <w:sz w:val="20"/>
          <w:szCs w:val="20"/>
          <w:color w:val="auto"/>
        </w:rPr>
      </w:pPr>
    </w:p>
    <w:p>
      <w:pPr>
        <w:ind w:left="660" w:firstLine="1292"/>
        <w:spacing w:after="0" w:line="221" w:lineRule="auto"/>
        <w:tabs>
          <w:tab w:leader="none" w:pos="2385" w:val="left"/>
        </w:tabs>
        <w:numPr>
          <w:ilvl w:val="1"/>
          <w:numId w:val="235"/>
        </w:numPr>
        <w:rPr>
          <w:rFonts w:ascii="Arial" w:cs="Arial" w:eastAsia="Arial" w:hAnsi="Arial"/>
          <w:sz w:val="19"/>
          <w:szCs w:val="19"/>
          <w:color w:val="auto"/>
        </w:rPr>
      </w:pPr>
      <w:r>
        <w:rPr>
          <w:rFonts w:ascii="Arial" w:cs="Arial" w:eastAsia="Arial" w:hAnsi="Arial"/>
          <w:sz w:val="19"/>
          <w:szCs w:val="19"/>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9"/>
          <w:szCs w:val="19"/>
          <w:b w:val="1"/>
          <w:bCs w:val="1"/>
          <w:i w:val="1"/>
          <w:iCs w:val="1"/>
          <w:color w:val="auto"/>
        </w:rPr>
        <w:t>Agent Parties</w:t>
      </w:r>
      <w:r>
        <w:rPr>
          <w:rFonts w:ascii="Arial" w:cs="Arial" w:eastAsia="Arial" w:hAnsi="Arial"/>
          <w:sz w:val="19"/>
          <w:szCs w:val="19"/>
          <w:color w:val="auto"/>
        </w:rPr>
        <w:t>”) have any liability to any Borrower or the other Loan Parties, any Lender, the Issuing Bank or any other Person or entity for damages of any kind, including, without limitation, direct or indirect, special, incidental or consequential damages, losses or expenses (whether in tort, contract or otherwise) arising out of any Borrower’s, any Loan Party’s or the Administrative Agent’s transmission of communications through an Electronic System. “</w:t>
      </w:r>
      <w:r>
        <w:rPr>
          <w:rFonts w:ascii="Arial" w:cs="Arial" w:eastAsia="Arial" w:hAnsi="Arial"/>
          <w:sz w:val="19"/>
          <w:szCs w:val="19"/>
          <w:b w:val="1"/>
          <w:bCs w:val="1"/>
          <w:i w:val="1"/>
          <w:iCs w:val="1"/>
          <w:color w:val="auto"/>
        </w:rPr>
        <w:t>Communications</w:t>
      </w:r>
      <w:r>
        <w:rPr>
          <w:rFonts w:ascii="Arial" w:cs="Arial" w:eastAsia="Arial" w:hAnsi="Arial"/>
          <w:sz w:val="19"/>
          <w:szCs w:val="19"/>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Electronic System.</w:t>
      </w:r>
    </w:p>
    <w:p>
      <w:pPr>
        <w:spacing w:after="0" w:line="166" w:lineRule="exact"/>
        <w:rPr>
          <w:sz w:val="20"/>
          <w:szCs w:val="20"/>
          <w:color w:val="auto"/>
        </w:rPr>
      </w:pPr>
    </w:p>
    <w:p>
      <w:pPr>
        <w:ind w:right="160" w:firstLine="648"/>
        <w:spacing w:after="0" w:line="27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the Issuing Bank or any Lender in exercising any right or power hereunder shall operate as a waiver thereof, nor shall any single or partial exercise of any such right or power,</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or any abandonment or discontinuance of steps to enforce such a right or power, preclude any other or further exercise thereof or the exercise of any other right or power. The rights and remedies of the Administrative Agent, the Issuing Bank and the Lenders hereunder are cumulative</w:t>
      </w:r>
    </w:p>
    <w:p>
      <w:pPr>
        <w:spacing w:after="0" w:line="235" w:lineRule="auto"/>
        <w:rPr>
          <w:sz w:val="20"/>
          <w:szCs w:val="20"/>
          <w:color w:val="auto"/>
        </w:rPr>
      </w:pPr>
      <w:r>
        <w:rPr>
          <w:rFonts w:ascii="Arial" w:cs="Arial" w:eastAsia="Arial" w:hAnsi="Arial"/>
          <w:sz w:val="18"/>
          <w:szCs w:val="18"/>
          <w:color w:val="auto"/>
        </w:rPr>
        <w:t>and are not exclusive of any rights or remedies that they would otherwise have. No waiver of any provision of this Agreement or consent to</w:t>
      </w:r>
    </w:p>
    <w:p>
      <w:pPr>
        <w:ind w:right="120"/>
        <w:spacing w:after="0" w:line="255" w:lineRule="auto"/>
        <w:rPr>
          <w:sz w:val="20"/>
          <w:szCs w:val="20"/>
          <w:color w:val="auto"/>
        </w:rPr>
      </w:pPr>
      <w:r>
        <w:rPr>
          <w:rFonts w:ascii="Arial" w:cs="Arial" w:eastAsia="Arial" w:hAnsi="Arial"/>
          <w:sz w:val="16"/>
          <w:szCs w:val="16"/>
          <w:color w:val="auto"/>
        </w:rPr>
        <w:t>any departure by the Borrowers therefrom shall in any event be effective unless the same shall be permitted by paragraph (b) of this Section, and then such waiver or consent shall be effective only in the specific instance and for the purpose for which given. Without limiting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generality of the foregoing, the making of a Loan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88</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17" w:name="page218"/>
    <w:bookmarkEnd w:id="217"/>
    <w:p>
      <w:pPr>
        <w:ind w:right="140"/>
        <w:spacing w:after="0" w:line="236" w:lineRule="auto"/>
        <w:rPr>
          <w:sz w:val="20"/>
          <w:szCs w:val="20"/>
          <w:color w:val="auto"/>
        </w:rPr>
      </w:pPr>
      <w:r>
        <w:rPr>
          <w:rFonts w:ascii="Arial" w:cs="Arial" w:eastAsia="Arial" w:hAnsi="Arial"/>
          <w:sz w:val="20"/>
          <w:szCs w:val="20"/>
          <w:color w:val="auto"/>
        </w:rPr>
        <w:t>issuance of a Letter of Credit shall not be construed as a waiver of any Default, regardless of whether the Administrative Agent, any Lender or the Issuing Bank may have had notice or knowledge of such Default at the time.</w:t>
      </w:r>
    </w:p>
    <w:p>
      <w:pPr>
        <w:spacing w:after="0" w:line="155" w:lineRule="exact"/>
        <w:rPr>
          <w:sz w:val="20"/>
          <w:szCs w:val="20"/>
          <w:color w:val="auto"/>
        </w:rPr>
      </w:pPr>
    </w:p>
    <w:p>
      <w:pPr>
        <w:ind w:firstLine="1304"/>
        <w:spacing w:after="0" w:line="232" w:lineRule="auto"/>
        <w:tabs>
          <w:tab w:leader="none" w:pos="172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Subject to Section 2.20(b), neither this Agreement nor any provision hereof may be waived, amended or modified except pursuant to an agreement or agreements in writing entered into by the Company and the Required Lenders or by the Company and the Administrative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 (iv) change Section 2.18(a) or (c) or Section 7.02 in a manner that would alter the pro rata sharing of payments required thereby,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(vi) reduce the percentage specified in the definition of “Required Facility Lenders” with respect to any Facility without the written consent of all Lenders under such Facility, (vii) release any Subsidiary Guarantor from its obligations under the Subsidiary Guaranty (except for (x) any release of a Subsidiary Guarantor that becomes an Excluded Subsidiary or (y) any release permitted by the terms of Section 22 of the Subsidiary Guaranty, which release, in each case, shall be permitted without the need for any consent or approval of any Lender), in each case, without the written consent of each Lender, or (viii) (A) amend the provisions of Sections 2.06(c) or 2.06(j) requiring the Revolving Borrowers to provide cash collateral for Letters of Credit outstanding after the Revolving Maturity Date or (B) release such cash collateral, in each case, without the consent of each Revolving Lender;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(y) the consent of the Required Facility Lenders of a Facility shall be required for any amendment, waiver or modification that adversely affects the rights of such Facility in a manner different than such amendment, waiver or modification affects the other Facility, and (z) no such agreement shall amend or modify Section 2.20 without the prior written consent of the Administrative Agent, the Swingline Lender and the Issuing Bank.</w:t>
      </w:r>
    </w:p>
    <w:p>
      <w:pPr>
        <w:spacing w:after="0" w:line="164"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 (a) The Company shall pay (i) all reasonable out of pocket expenses incurred by the Administrative Agent and the Joint Lead Arrangers and their Affiliates, including the reasonable fees, charges and disbursements of</w:t>
      </w:r>
    </w:p>
    <w:p>
      <w:pPr>
        <w:ind w:right="140"/>
        <w:spacing w:after="0" w:line="226" w:lineRule="auto"/>
        <w:rPr>
          <w:sz w:val="20"/>
          <w:szCs w:val="20"/>
          <w:color w:val="auto"/>
        </w:rPr>
      </w:pPr>
      <w:r>
        <w:rPr>
          <w:rFonts w:ascii="Arial" w:cs="Arial" w:eastAsia="Arial" w:hAnsi="Arial"/>
          <w:sz w:val="18"/>
          <w:szCs w:val="18"/>
          <w:color w:val="auto"/>
        </w:rPr>
        <w:t>one outside counsel for the Administrative Agent, in connection with the syndication of the credit facilities provided for herein, the preparation and administration of this Agreement or any amendments, modifications or waivers of the provisions hereof (whether or not the</w:t>
      </w:r>
    </w:p>
    <w:p>
      <w:pPr>
        <w:spacing w:after="0" w:line="236" w:lineRule="auto"/>
        <w:rPr>
          <w:sz w:val="20"/>
          <w:szCs w:val="20"/>
          <w:color w:val="auto"/>
        </w:rPr>
      </w:pPr>
      <w:r>
        <w:rPr>
          <w:rFonts w:ascii="Arial" w:cs="Arial" w:eastAsia="Arial" w:hAnsi="Arial"/>
          <w:sz w:val="18"/>
          <w:szCs w:val="18"/>
          <w:color w:val="auto"/>
        </w:rPr>
        <w:t>transactions contemplated hereby or thereby shall be consummated), (ii) all reasonable out-of-pocket expenses incurred by the Issuing Bank</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in connection with the issuance, amendment, renewal or extension of any Letter of Credit or any demand for payment thereunder and (iii) all reasonable out-of-pocket expenses incurred by the Administrative Agent, the Issuing Bank or any Lender, including the reasonable fees,</w:t>
      </w:r>
    </w:p>
    <w:p>
      <w:pPr>
        <w:spacing w:after="0" w:line="236" w:lineRule="auto"/>
        <w:rPr>
          <w:sz w:val="20"/>
          <w:szCs w:val="20"/>
          <w:color w:val="auto"/>
        </w:rPr>
      </w:pPr>
      <w:r>
        <w:rPr>
          <w:rFonts w:ascii="Arial" w:cs="Arial" w:eastAsia="Arial" w:hAnsi="Arial"/>
          <w:sz w:val="18"/>
          <w:szCs w:val="18"/>
          <w:color w:val="auto"/>
        </w:rPr>
        <w:t>charges and disbursements of counsel for the Administrative Agent, the Issuing Bank and the Lenders (which shall be limited to one outside</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counsel and, if necessary, one local counsel in each appropriate jurisdiction and, solely in the case of a conflict of interest, one special conflicts counsel to all affected Indemnitees, taken as a whole), in connection with the enforcement or protection of its rights in connection</w:t>
      </w:r>
    </w:p>
    <w:p>
      <w:pPr>
        <w:spacing w:after="0" w:line="236" w:lineRule="auto"/>
        <w:rPr>
          <w:sz w:val="20"/>
          <w:szCs w:val="20"/>
          <w:color w:val="auto"/>
        </w:rPr>
      </w:pPr>
      <w:r>
        <w:rPr>
          <w:rFonts w:ascii="Arial" w:cs="Arial" w:eastAsia="Arial" w:hAnsi="Arial"/>
          <w:sz w:val="18"/>
          <w:szCs w:val="18"/>
          <w:color w:val="auto"/>
        </w:rPr>
        <w:t>with this Agreement, including its rights under this Section, or in connection with the Loans made or Letters of Credit issued hereunder,</w:t>
      </w:r>
    </w:p>
    <w:p>
      <w:pPr>
        <w:spacing w:after="0" w:line="1"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including all such out-of pocket expenses incurred during any workout, restructuring or negotiations in respect of such Loans or Letters of Credit.</w:t>
      </w:r>
    </w:p>
    <w:p>
      <w:pPr>
        <w:spacing w:after="0" w:line="170" w:lineRule="exact"/>
        <w:rPr>
          <w:sz w:val="20"/>
          <w:szCs w:val="20"/>
          <w:color w:val="auto"/>
        </w:rPr>
      </w:pPr>
    </w:p>
    <w:p>
      <w:pPr>
        <w:jc w:val="both"/>
        <w:ind w:right="300" w:firstLine="1304"/>
        <w:spacing w:after="0" w:line="298" w:lineRule="auto"/>
        <w:tabs>
          <w:tab w:leader="none" w:pos="172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Each Borrower (severally and not jointly in the case of each Borrower other than the Company) shall indemnify the Administrative Agent, the Issuing Bank and each Lender, and each Related Party of any of the foregoing Persons (each such Person being called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against, and hold each Indemnitee harmless from, any and all losses, claims, damages, liabilities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89</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expenses, including the fees, charges and disbursements of any counsel for any Indemnitee, incurred by or asserted against any Indemnitee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arising out of, in connection with, or as a result of (i) the execution or delivery of this Agreement or any agreement or instrument contemplated hereby, the performance by the parties hereto of their respective obligations hereunder or the consummation of the Transactions</w:t>
      </w:r>
    </w:p>
    <w:p>
      <w:pPr>
        <w:spacing w:after="0" w:line="235" w:lineRule="auto"/>
        <w:rPr>
          <w:sz w:val="20"/>
          <w:szCs w:val="20"/>
          <w:color w:val="auto"/>
        </w:rPr>
      </w:pPr>
      <w:r>
        <w:rPr>
          <w:rFonts w:ascii="Arial" w:cs="Arial" w:eastAsia="Arial" w:hAnsi="Arial"/>
          <w:sz w:val="18"/>
          <w:szCs w:val="18"/>
          <w:color w:val="auto"/>
        </w:rPr>
        <w:t>or any other transactions contemplated hereby, (ii) any Loan or Letter of Credit or the use of the proceeds therefrom (including any refusal by</w:t>
      </w:r>
    </w:p>
    <w:p>
      <w:pPr>
        <w:ind w:right="80"/>
        <w:spacing w:after="0" w:line="255" w:lineRule="auto"/>
        <w:rPr>
          <w:sz w:val="20"/>
          <w:szCs w:val="20"/>
          <w:color w:val="auto"/>
        </w:rPr>
      </w:pPr>
      <w:r>
        <w:rPr>
          <w:rFonts w:ascii="Arial" w:cs="Arial" w:eastAsia="Arial" w:hAnsi="Arial"/>
          <w:sz w:val="16"/>
          <w:szCs w:val="16"/>
          <w:color w:val="auto"/>
        </w:rPr>
        <w:t>the Issuing Bank to honor a demand for payment under a Letter of Credit if the documents presented in connection with such demand do not strictly comply with the terms of such Letter of Credit), (iii) any actual or alleged presence or release of Hazardous Materials on or from any</w:t>
      </w:r>
    </w:p>
    <w:p>
      <w:pPr>
        <w:spacing w:after="0" w:line="235" w:lineRule="auto"/>
        <w:rPr>
          <w:sz w:val="20"/>
          <w:szCs w:val="20"/>
          <w:color w:val="auto"/>
        </w:rPr>
      </w:pPr>
      <w:r>
        <w:rPr>
          <w:rFonts w:ascii="Arial" w:cs="Arial" w:eastAsia="Arial" w:hAnsi="Arial"/>
          <w:sz w:val="18"/>
          <w:szCs w:val="18"/>
          <w:color w:val="auto"/>
        </w:rPr>
        <w:t>property owned or operated by any Borrower or any of its Subsidiaries, or any Environmental Liability related in any way to any Borrower or</w:t>
      </w:r>
    </w:p>
    <w:p>
      <w:pPr>
        <w:spacing w:after="0" w:line="226" w:lineRule="auto"/>
        <w:rPr>
          <w:sz w:val="20"/>
          <w:szCs w:val="20"/>
          <w:color w:val="auto"/>
        </w:rPr>
      </w:pPr>
      <w:r>
        <w:rPr>
          <w:rFonts w:ascii="Arial" w:cs="Arial" w:eastAsia="Arial" w:hAnsi="Arial"/>
          <w:sz w:val="18"/>
          <w:szCs w:val="18"/>
          <w:color w:val="auto"/>
        </w:rPr>
        <w:t xml:space="preserve">any of its Subsidiaries, or (iv)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indemnity shall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not, as to any Indemnitee, be available to the extent that such losses, claims, damages, liabilities or related expenses (x) are determined by a</w:t>
      </w:r>
    </w:p>
    <w:p>
      <w:pPr>
        <w:spacing w:after="0" w:line="19"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court of competent jurisdiction by final and nonappealable judgment to have resulted from the gross negligence, bad faith or willful misconduct of such Indemnitee (or any of its Related Parties) or from the material breach by such Indemnitee (or any of its Related Parties)</w:t>
      </w:r>
    </w:p>
    <w:p>
      <w:pPr>
        <w:spacing w:after="0" w:line="223" w:lineRule="auto"/>
        <w:rPr>
          <w:sz w:val="20"/>
          <w:szCs w:val="20"/>
          <w:color w:val="auto"/>
        </w:rPr>
      </w:pPr>
      <w:r>
        <w:rPr>
          <w:rFonts w:ascii="Arial" w:cs="Arial" w:eastAsia="Arial" w:hAnsi="Arial"/>
          <w:sz w:val="19"/>
          <w:szCs w:val="19"/>
          <w:color w:val="auto"/>
        </w:rPr>
        <w:t>of its obligations under the Loan Documents or (y) result from a dispute solely among Indemnitees (other than any claims against an</w:t>
      </w:r>
    </w:p>
    <w:p>
      <w:pPr>
        <w:spacing w:after="0" w:line="226" w:lineRule="auto"/>
        <w:rPr>
          <w:sz w:val="20"/>
          <w:szCs w:val="20"/>
          <w:color w:val="auto"/>
        </w:rPr>
      </w:pPr>
      <w:r>
        <w:rPr>
          <w:rFonts w:ascii="Arial" w:cs="Arial" w:eastAsia="Arial" w:hAnsi="Arial"/>
          <w:sz w:val="18"/>
          <w:szCs w:val="18"/>
          <w:color w:val="auto"/>
        </w:rPr>
        <w:t>Indemnitee in its capacity or in fulfilling its role as the Administrative Agent, Joint Lead Arranger or similar role under the Loan Documents) and not arising out of any act or omission by either Borrower or any of its Affiliates. This Section 10.03(b) shall not apply with respect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Taxes other than any Taxes that represent losses, claims or damages arising from any non-Tax claim.</w:t>
      </w:r>
    </w:p>
    <w:p>
      <w:pPr>
        <w:spacing w:after="0" w:line="173" w:lineRule="exact"/>
        <w:rPr>
          <w:sz w:val="20"/>
          <w:szCs w:val="20"/>
          <w:color w:val="auto"/>
        </w:rPr>
      </w:pPr>
    </w:p>
    <w:p>
      <w:pPr>
        <w:ind w:right="20" w:firstLine="1304"/>
        <w:spacing w:after="0" w:line="221" w:lineRule="auto"/>
        <w:tabs>
          <w:tab w:leader="none" w:pos="171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To the extent that any Borrower fails to pay any amount required to be paid by it to the Administrative Agent under paragraph (a) or (b) of this Section, each Lender severally agrees to pay to the Administrative Agent such Lender’s Pro-Rata Share (determined as of the time that the applicable unreimbursed expense or indemnity payment is sought) of such unpaid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in its capacity as such. To the extent that any Borrower fails to pay any amount required to be paid by it to the Issuing Bank or the Swingline Lender under paragraph (a) or (b) of this Section, each Revolving Lender severally agrees to pay to the Issuing Bank or the Swingline Lender, as the case may be, such Lender’s Revolving Percentage (determined as of the time that the applicable unreimbursed expense or indemnity payment is sought) of such unpaid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Issuing Bank or the Swingline Lender in its capacity as such.</w:t>
      </w:r>
    </w:p>
    <w:p>
      <w:pPr>
        <w:spacing w:after="0" w:line="175" w:lineRule="exact"/>
        <w:rPr>
          <w:rFonts w:ascii="Arial" w:cs="Arial" w:eastAsia="Arial" w:hAnsi="Arial"/>
          <w:sz w:val="19"/>
          <w:szCs w:val="19"/>
          <w:color w:val="auto"/>
        </w:rPr>
      </w:pPr>
    </w:p>
    <w:p>
      <w:pPr>
        <w:ind w:right="100" w:firstLine="1304"/>
        <w:spacing w:after="0" w:line="214" w:lineRule="auto"/>
        <w:tabs>
          <w:tab w:leader="none" w:pos="1721"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To the extent permitted by applicable law, no party hereto shall assert, and each such party hereby waives, any claim against any other party,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nothing in this clause (d) shall relieve the Borrowers of any obligation they may have to indemnify an Indemnitee against special, indirect, consequential or punitive damages asserted against such Indemnitee by a third party.</w:t>
      </w:r>
    </w:p>
    <w:p>
      <w:pPr>
        <w:spacing w:after="0" w:line="173" w:lineRule="exact"/>
        <w:rPr>
          <w:rFonts w:ascii="Arial" w:cs="Arial" w:eastAsia="Arial" w:hAnsi="Arial"/>
          <w:sz w:val="20"/>
          <w:szCs w:val="20"/>
          <w:color w:val="auto"/>
        </w:rPr>
      </w:pPr>
    </w:p>
    <w:p>
      <w:pPr>
        <w:ind w:left="1720" w:hanging="416"/>
        <w:spacing w:after="0"/>
        <w:tabs>
          <w:tab w:leader="none" w:pos="172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All amounts due under this Section shall be payable promptly after written demand therefor.</w:t>
      </w:r>
    </w:p>
    <w:p>
      <w:pPr>
        <w:spacing w:after="0" w:line="189" w:lineRule="exact"/>
        <w:rPr>
          <w:sz w:val="20"/>
          <w:szCs w:val="20"/>
          <w:color w:val="auto"/>
        </w:rPr>
      </w:pPr>
    </w:p>
    <w:p>
      <w:pPr>
        <w:ind w:right="80" w:firstLine="648"/>
        <w:spacing w:after="0" w:line="265"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the Issuing Bank that issues any Letter</w:t>
      </w:r>
    </w:p>
    <w:p>
      <w:pPr>
        <w:spacing w:after="0" w:line="236" w:lineRule="auto"/>
        <w:rPr>
          <w:sz w:val="20"/>
          <w:szCs w:val="20"/>
          <w:color w:val="auto"/>
        </w:rPr>
      </w:pPr>
      <w:r>
        <w:rPr>
          <w:rFonts w:ascii="Arial" w:cs="Arial" w:eastAsia="Arial" w:hAnsi="Arial"/>
          <w:sz w:val="18"/>
          <w:szCs w:val="18"/>
          <w:color w:val="auto"/>
        </w:rPr>
        <w:t>of Credit), except that (i) no Borrower may assign or otherwise transfer any of its rights or obligations hereunder without the prior written</w:t>
      </w:r>
    </w:p>
    <w:p>
      <w:pPr>
        <w:ind w:right="200"/>
        <w:spacing w:after="0" w:line="226" w:lineRule="auto"/>
        <w:rPr>
          <w:sz w:val="20"/>
          <w:szCs w:val="20"/>
          <w:color w:val="auto"/>
        </w:rPr>
      </w:pPr>
      <w:r>
        <w:rPr>
          <w:rFonts w:ascii="Arial" w:cs="Arial" w:eastAsia="Arial" w:hAnsi="Arial"/>
          <w:sz w:val="18"/>
          <w:szCs w:val="18"/>
          <w:color w:val="auto"/>
        </w:rPr>
        <w:t>consent of each Lender (and any attempted assignment or transfer by any Borrower without such consent shall be null and void) and (ii) no Lender may assign or otherwise transfer its rights or obligations hereunder except in accordance with this Section. Nothing in this</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Agreement, expressed or implied, shall be construed to confer upon any Person (other than the parties hereto, their respective successors and assigns permitted hereby (including any Affiliate of the Issuing Bank that issues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20"/>
          </w:cols>
          <w:pgMar w:left="320" w:top="1405" w:right="3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Participants (to the extent provided in paragraph (c) of this Section) and, to the extent expressly contemplated hereby, the Related Parties of</w:t>
      </w:r>
    </w:p>
    <w:p>
      <w:pPr>
        <w:spacing w:after="0" w:line="12"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each of the Administrative Agent, the Issuing Bank and the Lenders) any legal or equitable right, remedy or claim under or by reason of this Agreement.</w:t>
      </w:r>
    </w:p>
    <w:p>
      <w:pPr>
        <w:spacing w:after="0" w:line="170" w:lineRule="exact"/>
        <w:rPr>
          <w:sz w:val="20"/>
          <w:szCs w:val="20"/>
          <w:color w:val="auto"/>
        </w:rPr>
      </w:pPr>
    </w:p>
    <w:p>
      <w:pPr>
        <w:ind w:right="220" w:firstLine="1304"/>
        <w:spacing w:after="0" w:line="235" w:lineRule="auto"/>
        <w:tabs>
          <w:tab w:leader="none" w:pos="1725" w:val="left"/>
        </w:tabs>
        <w:numPr>
          <w:ilvl w:val="0"/>
          <w:numId w:val="239"/>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68" w:lineRule="exact"/>
        <w:rPr>
          <w:rFonts w:ascii="Arial" w:cs="Arial" w:eastAsia="Arial" w:hAnsi="Arial"/>
          <w:sz w:val="19"/>
          <w:szCs w:val="19"/>
          <w:color w:val="auto"/>
        </w:rPr>
      </w:pPr>
    </w:p>
    <w:p>
      <w:pPr>
        <w:ind w:left="1300" w:firstLine="1300"/>
        <w:spacing w:after="0" w:line="238" w:lineRule="auto"/>
        <w:tabs>
          <w:tab w:leader="none" w:pos="3069" w:val="left"/>
        </w:tabs>
        <w:numPr>
          <w:ilvl w:val="2"/>
          <w:numId w:val="239"/>
        </w:numPr>
        <w:rPr>
          <w:rFonts w:ascii="Arial" w:cs="Arial" w:eastAsia="Arial" w:hAnsi="Arial"/>
          <w:sz w:val="18"/>
          <w:szCs w:val="18"/>
          <w:color w:val="auto"/>
        </w:rPr>
      </w:pPr>
      <w:r>
        <w:rPr>
          <w:rFonts w:ascii="Arial" w:cs="Arial" w:eastAsia="Arial" w:hAnsi="Arial"/>
          <w:sz w:val="18"/>
          <w:szCs w:val="18"/>
          <w:color w:val="auto"/>
        </w:rPr>
        <w:t xml:space="preserve">the Revolving Borrowers or the Term Loan Borrower,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applicable Borrowers shall be deemed to have consented to an assignment unless the Company shall have objected thereto by written notice to the Administrative Agent within five (5) Business Days after having received notice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consent of any Borrower shall be required for an assignment to a Lender, an Affiliate of a Lender, an Approved Fund or, if an Event of Default under Section 7.01(a), (b), (h) or (i) has occurred and is continuing at the time of such assignment, any other assignee, but the Administrative Agent shall nonetheless send notice of such assignment to the Company;</w:t>
      </w:r>
    </w:p>
    <w:p>
      <w:pPr>
        <w:spacing w:after="0" w:line="172" w:lineRule="exact"/>
        <w:rPr>
          <w:rFonts w:ascii="Arial" w:cs="Arial" w:eastAsia="Arial" w:hAnsi="Arial"/>
          <w:sz w:val="18"/>
          <w:szCs w:val="18"/>
          <w:color w:val="auto"/>
        </w:rPr>
      </w:pPr>
    </w:p>
    <w:p>
      <w:pPr>
        <w:ind w:left="1300" w:firstLine="1300"/>
        <w:spacing w:after="0" w:line="220" w:lineRule="auto"/>
        <w:tabs>
          <w:tab w:leader="none" w:pos="3058" w:val="left"/>
        </w:tabs>
        <w:numPr>
          <w:ilvl w:val="2"/>
          <w:numId w:val="239"/>
        </w:numPr>
        <w:rPr>
          <w:rFonts w:ascii="Arial" w:cs="Arial" w:eastAsia="Arial" w:hAnsi="Arial"/>
          <w:sz w:val="20"/>
          <w:szCs w:val="20"/>
          <w:color w:val="auto"/>
        </w:rPr>
      </w:pPr>
      <w:r>
        <w:rPr>
          <w:rFonts w:ascii="Arial" w:cs="Arial" w:eastAsia="Arial" w:hAnsi="Arial"/>
          <w:sz w:val="20"/>
          <w:szCs w:val="20"/>
          <w:color w:val="auto"/>
        </w:rPr>
        <w:t xml:space="preserve">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consent of the Administrative Agent shall be required for an assignment of (x) any Revolving Commitment to an assignee that is a Lender with a Revolving Commitment immediately prior to giving effect to such assignment and (y) all or any portion of a Term Loan to a Lender, an Affiliate of a Lender or an Approved Fund;</w:t>
      </w:r>
    </w:p>
    <w:p>
      <w:pPr>
        <w:spacing w:after="0" w:line="169" w:lineRule="exact"/>
        <w:rPr>
          <w:rFonts w:ascii="Arial" w:cs="Arial" w:eastAsia="Arial" w:hAnsi="Arial"/>
          <w:sz w:val="20"/>
          <w:szCs w:val="20"/>
          <w:color w:val="auto"/>
        </w:rPr>
      </w:pPr>
    </w:p>
    <w:p>
      <w:pPr>
        <w:ind w:left="1300" w:right="140" w:firstLine="1300"/>
        <w:spacing w:after="0" w:line="229" w:lineRule="auto"/>
        <w:tabs>
          <w:tab w:leader="none" w:pos="3058" w:val="left"/>
        </w:tabs>
        <w:numPr>
          <w:ilvl w:val="2"/>
          <w:numId w:val="239"/>
        </w:numPr>
        <w:rPr>
          <w:rFonts w:ascii="Arial" w:cs="Arial" w:eastAsia="Arial" w:hAnsi="Arial"/>
          <w:sz w:val="20"/>
          <w:szCs w:val="20"/>
          <w:color w:val="auto"/>
        </w:rPr>
      </w:pPr>
      <w:r>
        <w:rPr>
          <w:rFonts w:ascii="Arial" w:cs="Arial" w:eastAsia="Arial" w:hAnsi="Arial"/>
          <w:sz w:val="20"/>
          <w:szCs w:val="20"/>
          <w:color w:val="auto"/>
        </w:rPr>
        <w:t xml:space="preserve">the Issuing Bank,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consent of the Issuing Bank shall be required for an assignment of all or any portion of a Term Loan; and</w:t>
      </w:r>
    </w:p>
    <w:p>
      <w:pPr>
        <w:spacing w:after="0" w:line="168" w:lineRule="exact"/>
        <w:rPr>
          <w:rFonts w:ascii="Arial" w:cs="Arial" w:eastAsia="Arial" w:hAnsi="Arial"/>
          <w:sz w:val="20"/>
          <w:szCs w:val="20"/>
          <w:color w:val="auto"/>
        </w:rPr>
      </w:pPr>
    </w:p>
    <w:p>
      <w:pPr>
        <w:ind w:left="1300" w:right="480" w:firstLine="1300"/>
        <w:spacing w:after="0" w:line="229" w:lineRule="auto"/>
        <w:tabs>
          <w:tab w:leader="none" w:pos="3069" w:val="left"/>
        </w:tabs>
        <w:numPr>
          <w:ilvl w:val="2"/>
          <w:numId w:val="239"/>
        </w:numPr>
        <w:rPr>
          <w:rFonts w:ascii="Arial" w:cs="Arial" w:eastAsia="Arial" w:hAnsi="Arial"/>
          <w:sz w:val="20"/>
          <w:szCs w:val="20"/>
          <w:color w:val="auto"/>
        </w:rPr>
      </w:pPr>
      <w:r>
        <w:rPr>
          <w:rFonts w:ascii="Arial" w:cs="Arial" w:eastAsia="Arial" w:hAnsi="Arial"/>
          <w:sz w:val="20"/>
          <w:szCs w:val="20"/>
          <w:color w:val="auto"/>
        </w:rPr>
        <w:t xml:space="preserve">the Swingline Lender, </w:t>
      </w:r>
      <w:r>
        <w:rPr>
          <w:rFonts w:ascii="Arial" w:cs="Arial" w:eastAsia="Arial" w:hAnsi="Arial"/>
          <w:sz w:val="20"/>
          <w:szCs w:val="20"/>
          <w:i w:val="1"/>
          <w:iCs w:val="1"/>
          <w:color w:val="auto"/>
        </w:rPr>
        <w:t>provided</w:t>
      </w:r>
      <w:r>
        <w:rPr>
          <w:rFonts w:ascii="Arial" w:cs="Arial" w:eastAsia="Arial" w:hAnsi="Arial"/>
          <w:sz w:val="20"/>
          <w:szCs w:val="20"/>
          <w:color w:val="auto"/>
        </w:rPr>
        <w:t>, that no consent of the Swingline Lender shall be required for an assignment of all or any portion of a Term Loan.</w:t>
      </w:r>
    </w:p>
    <w:p>
      <w:pPr>
        <w:spacing w:after="0" w:line="168" w:lineRule="exact"/>
        <w:rPr>
          <w:rFonts w:ascii="Arial" w:cs="Arial" w:eastAsia="Arial" w:hAnsi="Arial"/>
          <w:sz w:val="20"/>
          <w:szCs w:val="20"/>
          <w:color w:val="auto"/>
        </w:rPr>
      </w:pPr>
    </w:p>
    <w:p>
      <w:pPr>
        <w:ind w:left="2380" w:hanging="428"/>
        <w:spacing w:after="0"/>
        <w:tabs>
          <w:tab w:leader="none" w:pos="238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88" w:lineRule="exact"/>
        <w:rPr>
          <w:rFonts w:ascii="Arial" w:cs="Arial" w:eastAsia="Arial" w:hAnsi="Arial"/>
          <w:sz w:val="20"/>
          <w:szCs w:val="20"/>
          <w:color w:val="auto"/>
        </w:rPr>
      </w:pPr>
    </w:p>
    <w:p>
      <w:pPr>
        <w:ind w:left="1300" w:firstLine="1300"/>
        <w:spacing w:after="0" w:line="232" w:lineRule="auto"/>
        <w:tabs>
          <w:tab w:leader="none" w:pos="3069" w:val="left"/>
        </w:tabs>
        <w:numPr>
          <w:ilvl w:val="2"/>
          <w:numId w:val="239"/>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Revolving Borrowers or the Term Loan Borrower, as applicable, and the Administrative Agent otherwise consent,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consent of the applicable Borrowers shall be required if an Event of Default under Section 7.01(a), (b),</w:t>
      </w:r>
    </w:p>
    <w:p>
      <w:pPr>
        <w:spacing w:after="0" w:line="3" w:lineRule="exact"/>
        <w:rPr>
          <w:rFonts w:ascii="Arial" w:cs="Arial" w:eastAsia="Arial" w:hAnsi="Arial"/>
          <w:sz w:val="18"/>
          <w:szCs w:val="18"/>
          <w:color w:val="auto"/>
        </w:rPr>
      </w:pPr>
    </w:p>
    <w:p>
      <w:pPr>
        <w:ind w:left="1580" w:hanging="276"/>
        <w:spacing w:after="0"/>
        <w:tabs>
          <w:tab w:leader="none" w:pos="158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or (i) has occurred and is continuing at the time of such assignment;</w:t>
      </w:r>
    </w:p>
    <w:p>
      <w:pPr>
        <w:spacing w:after="0" w:line="159" w:lineRule="exact"/>
        <w:rPr>
          <w:rFonts w:ascii="Arial" w:cs="Arial" w:eastAsia="Arial" w:hAnsi="Arial"/>
          <w:sz w:val="20"/>
          <w:szCs w:val="20"/>
          <w:color w:val="auto"/>
        </w:rPr>
      </w:pPr>
    </w:p>
    <w:p>
      <w:pPr>
        <w:ind w:left="1300" w:right="380" w:firstLine="1300"/>
        <w:spacing w:after="0" w:line="307" w:lineRule="auto"/>
        <w:tabs>
          <w:tab w:leader="none" w:pos="3058" w:val="left"/>
        </w:tabs>
        <w:numPr>
          <w:ilvl w:val="2"/>
          <w:numId w:val="240"/>
        </w:numPr>
        <w:rPr>
          <w:rFonts w:ascii="Arial" w:cs="Arial" w:eastAsia="Arial" w:hAnsi="Arial"/>
          <w:sz w:val="16"/>
          <w:szCs w:val="16"/>
          <w:color w:val="auto"/>
        </w:rPr>
      </w:pPr>
      <w:r>
        <w:rPr>
          <w:rFonts w:ascii="Arial" w:cs="Arial" w:eastAsia="Arial" w:hAnsi="Arial"/>
          <w:sz w:val="16"/>
          <w:szCs w:val="16"/>
          <w:color w:val="auto"/>
        </w:rPr>
        <w:t xml:space="preserve">each partial assignment shall be made as an assignment of a proportionate part of all the assigning Lender’s rights and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shall not be construed to prohibit the assignment of a proportionate part of all the assigning Lender’s rights and obligations in respect of only one Facility;</w:t>
      </w:r>
    </w:p>
    <w:p>
      <w:pPr>
        <w:spacing w:after="0" w:line="103" w:lineRule="exact"/>
        <w:rPr>
          <w:rFonts w:ascii="Arial" w:cs="Arial" w:eastAsia="Arial" w:hAnsi="Arial"/>
          <w:sz w:val="16"/>
          <w:szCs w:val="16"/>
          <w:color w:val="auto"/>
        </w:rPr>
      </w:pPr>
    </w:p>
    <w:p>
      <w:pPr>
        <w:ind w:left="1300" w:right="260" w:firstLine="1300"/>
        <w:spacing w:after="0" w:line="236" w:lineRule="auto"/>
        <w:tabs>
          <w:tab w:leader="none" w:pos="3058" w:val="left"/>
        </w:tabs>
        <w:numPr>
          <w:ilvl w:val="2"/>
          <w:numId w:val="240"/>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 Assumption, together with a processing and recordation fee of $3,500; and</w:t>
      </w:r>
    </w:p>
    <w:p>
      <w:pPr>
        <w:spacing w:after="0" w:line="168" w:lineRule="exact"/>
        <w:rPr>
          <w:rFonts w:ascii="Arial" w:cs="Arial" w:eastAsia="Arial" w:hAnsi="Arial"/>
          <w:sz w:val="20"/>
          <w:szCs w:val="20"/>
          <w:color w:val="auto"/>
        </w:rPr>
      </w:pPr>
    </w:p>
    <w:p>
      <w:pPr>
        <w:ind w:left="1300" w:right="280" w:firstLine="1300"/>
        <w:spacing w:after="0" w:line="252" w:lineRule="auto"/>
        <w:tabs>
          <w:tab w:leader="none" w:pos="3069" w:val="left"/>
        </w:tabs>
        <w:numPr>
          <w:ilvl w:val="2"/>
          <w:numId w:val="240"/>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at such assignee to whom all syndicate-level information (which may contain material non-public information about the Borrowers,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91</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00"/>
          </w:cols>
          <w:pgMar w:left="320" w:top="1405" w:right="379" w:bottom="1440" w:gutter="0" w:footer="0" w:header="0"/>
        </w:sectPr>
      </w:pPr>
    </w:p>
    <w:bookmarkStart w:id="220" w:name="page221"/>
    <w:bookmarkEnd w:id="220"/>
    <w:p>
      <w:pPr>
        <w:ind w:left="1292" w:right="80"/>
        <w:spacing w:after="0" w:line="350" w:lineRule="auto"/>
        <w:rPr>
          <w:sz w:val="20"/>
          <w:szCs w:val="20"/>
          <w:color w:val="auto"/>
        </w:rPr>
      </w:pPr>
      <w:r>
        <w:rPr>
          <w:rFonts w:ascii="Arial" w:cs="Arial" w:eastAsia="Arial" w:hAnsi="Arial"/>
          <w:sz w:val="16"/>
          <w:szCs w:val="16"/>
          <w:color w:val="auto"/>
        </w:rPr>
        <w:t>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71" w:lineRule="exact"/>
        <w:rPr>
          <w:sz w:val="20"/>
          <w:szCs w:val="20"/>
          <w:color w:val="auto"/>
        </w:rPr>
      </w:pPr>
    </w:p>
    <w:p>
      <w:pPr>
        <w:ind w:left="652" w:right="40" w:firstLine="1292"/>
        <w:spacing w:after="0" w:line="237" w:lineRule="auto"/>
        <w:tabs>
          <w:tab w:leader="none" w:pos="2443" w:val="left"/>
        </w:tabs>
        <w:numPr>
          <w:ilvl w:val="2"/>
          <w:numId w:val="241"/>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10.03). Any assignment or transfer by a Lender of rights or obligations under this Agreement that does not comply with this Section 10.04 shall be treated for purposes of this Agreement as a sale by such Lender of a participation in such rights and obligations in accordance with paragraph (c) of this Section.</w:t>
      </w:r>
    </w:p>
    <w:p>
      <w:pPr>
        <w:spacing w:after="0" w:line="158" w:lineRule="exact"/>
        <w:rPr>
          <w:rFonts w:ascii="Arial" w:cs="Arial" w:eastAsia="Arial" w:hAnsi="Arial"/>
          <w:sz w:val="18"/>
          <w:szCs w:val="18"/>
          <w:color w:val="auto"/>
        </w:rPr>
      </w:pPr>
    </w:p>
    <w:p>
      <w:pPr>
        <w:ind w:left="652" w:right="40" w:firstLine="1292"/>
        <w:spacing w:after="0" w:line="225" w:lineRule="auto"/>
        <w:tabs>
          <w:tab w:leader="none" w:pos="2428" w:val="left"/>
        </w:tabs>
        <w:numPr>
          <w:ilvl w:val="2"/>
          <w:numId w:val="241"/>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56" w:lineRule="exact"/>
        <w:rPr>
          <w:rFonts w:ascii="Arial" w:cs="Arial" w:eastAsia="Arial" w:hAnsi="Arial"/>
          <w:sz w:val="19"/>
          <w:szCs w:val="19"/>
          <w:color w:val="auto"/>
        </w:rPr>
      </w:pPr>
    </w:p>
    <w:p>
      <w:pPr>
        <w:ind w:left="652" w:right="160" w:firstLine="1292"/>
        <w:spacing w:after="0" w:line="223" w:lineRule="auto"/>
        <w:tabs>
          <w:tab w:leader="none" w:pos="2377" w:val="left"/>
        </w:tabs>
        <w:numPr>
          <w:ilvl w:val="2"/>
          <w:numId w:val="241"/>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Section 2.05(c), Section 2.06(d), Section 2.06(e), Section 2.07(b), Section 2.18(d) or Section 10.03(c),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70" w:lineRule="exact"/>
        <w:rPr>
          <w:rFonts w:ascii="Arial" w:cs="Arial" w:eastAsia="Arial" w:hAnsi="Arial"/>
          <w:sz w:val="19"/>
          <w:szCs w:val="19"/>
          <w:color w:val="auto"/>
        </w:rPr>
      </w:pPr>
    </w:p>
    <w:p>
      <w:pPr>
        <w:jc w:val="both"/>
        <w:ind w:left="-8" w:right="140" w:firstLine="1304"/>
        <w:spacing w:after="0" w:line="235" w:lineRule="auto"/>
        <w:tabs>
          <w:tab w:leader="none" w:pos="169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Any Lender may, without the consent of the Borrowers, the Administrative Agent, the Issuing Bank or the Swingline Lender, sell participations to one or more Persons (other than a Defaulting Lender, the Company or any of its Affiliates, a Competitor or a natural Person)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 the Loans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Lender’s obligations under this Agreement shall remain unchanged;</w:t>
      </w:r>
    </w:p>
    <w:p>
      <w:pPr>
        <w:spacing w:after="0" w:line="1" w:lineRule="exact"/>
        <w:rPr>
          <w:rFonts w:ascii="Arial" w:cs="Arial" w:eastAsia="Arial" w:hAnsi="Arial"/>
          <w:sz w:val="18"/>
          <w:szCs w:val="18"/>
          <w:color w:val="auto"/>
        </w:rPr>
      </w:pPr>
    </w:p>
    <w:p>
      <w:pPr>
        <w:ind w:left="-8" w:firstLine="8"/>
        <w:spacing w:after="0" w:line="235" w:lineRule="auto"/>
        <w:tabs>
          <w:tab w:leader="none" w:pos="3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 10.02(b) that affects such Participant. The Borrowers agree that each Participant shall be entitled to the benefits of Sections 2.15, 2.16 and 2.17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92</w:t>
      </w:r>
    </w:p>
    <w:p>
      <w:pPr>
        <w:spacing w:after="0" w:line="38" w:lineRule="exact"/>
        <w:rPr>
          <w:sz w:val="20"/>
          <w:szCs w:val="20"/>
          <w:color w:val="auto"/>
        </w:rPr>
      </w:pPr>
    </w:p>
    <w:p>
      <w:pPr>
        <w:ind w:left="12"/>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12"/>
          </w:cols>
          <w:pgMar w:left="328" w:top="1405" w:right="3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requirements and limitations therein, including the requirements under Section 2.17(f) (it being understood that the documentation required</w:t>
      </w:r>
    </w:p>
    <w:p>
      <w:pPr>
        <w:spacing w:after="0" w:line="1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under Section 2.17(f) shall be delivered to the participating Lender)) to the same extent as if it were a Lender and had acquired its interest by assignment pursuant to paragraph (b) of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 agrees to be subject to the provisions of Section 2.19</w:t>
      </w:r>
    </w:p>
    <w:p>
      <w:pPr>
        <w:spacing w:after="0" w:line="235" w:lineRule="auto"/>
        <w:rPr>
          <w:sz w:val="20"/>
          <w:szCs w:val="20"/>
          <w:color w:val="auto"/>
        </w:rPr>
      </w:pPr>
      <w:r>
        <w:rPr>
          <w:rFonts w:ascii="Arial" w:cs="Arial" w:eastAsia="Arial" w:hAnsi="Arial"/>
          <w:sz w:val="18"/>
          <w:szCs w:val="18"/>
          <w:color w:val="auto"/>
        </w:rPr>
        <w:t>as if it were an assignee under paragraph (b) of this Section; and (B) shall not be entitled to receive any greater payment under Section 2.15</w:t>
      </w:r>
    </w:p>
    <w:p>
      <w:pPr>
        <w:ind w:right="160"/>
        <w:spacing w:after="0" w:line="255" w:lineRule="auto"/>
        <w:rPr>
          <w:sz w:val="20"/>
          <w:szCs w:val="20"/>
          <w:color w:val="auto"/>
        </w:rPr>
      </w:pPr>
      <w:r>
        <w:rPr>
          <w:rFonts w:ascii="Arial" w:cs="Arial" w:eastAsia="Arial" w:hAnsi="Arial"/>
          <w:sz w:val="16"/>
          <w:szCs w:val="16"/>
          <w:color w:val="auto"/>
        </w:rPr>
        <w:t>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23" w:lineRule="auto"/>
        <w:rPr>
          <w:sz w:val="20"/>
          <w:szCs w:val="20"/>
          <w:color w:val="auto"/>
        </w:rPr>
      </w:pPr>
      <w:r>
        <w:rPr>
          <w:rFonts w:ascii="Arial" w:cs="Arial" w:eastAsia="Arial" w:hAnsi="Arial"/>
          <w:sz w:val="19"/>
          <w:szCs w:val="19"/>
          <w:color w:val="auto"/>
        </w:rPr>
        <w:t>Each Lender that sells a participation agrees, at the Borrowers’ request and expense, to use reasonable efforts to cooperate with the</w:t>
      </w:r>
    </w:p>
    <w:p>
      <w:pPr>
        <w:ind w:right="20"/>
        <w:spacing w:after="0" w:line="226" w:lineRule="auto"/>
        <w:rPr>
          <w:sz w:val="20"/>
          <w:szCs w:val="20"/>
          <w:color w:val="auto"/>
        </w:rPr>
      </w:pPr>
      <w:r>
        <w:rPr>
          <w:rFonts w:ascii="Arial" w:cs="Arial" w:eastAsia="Arial" w:hAnsi="Arial"/>
          <w:sz w:val="18"/>
          <w:szCs w:val="18"/>
          <w:color w:val="auto"/>
        </w:rPr>
        <w:t xml:space="preserve">Borrowers to effectuate the provisions of Section 2.19(b) with respect to any Participant. To the extent permitted by law, each Participant also shall be entitled to the benefits of Section 10.08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agrees to be subject to</w:t>
      </w:r>
    </w:p>
    <w:p>
      <w:pPr>
        <w:spacing w:after="0" w:line="236" w:lineRule="auto"/>
        <w:rPr>
          <w:sz w:val="20"/>
          <w:szCs w:val="20"/>
          <w:color w:val="auto"/>
        </w:rPr>
      </w:pPr>
      <w:r>
        <w:rPr>
          <w:rFonts w:ascii="Arial" w:cs="Arial" w:eastAsia="Arial" w:hAnsi="Arial"/>
          <w:sz w:val="18"/>
          <w:szCs w:val="18"/>
          <w:color w:val="auto"/>
        </w:rPr>
        <w:t>Section 2.18(c) as though it were a Lender. Each Lender that sells a participation shall, acting solely for this purpose as a non-fiduciary agent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b w:val="1"/>
          <w:bCs w:val="1"/>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35" w:lineRule="auto"/>
        <w:rPr>
          <w:sz w:val="20"/>
          <w:szCs w:val="20"/>
          <w:color w:val="auto"/>
        </w:rPr>
      </w:pPr>
      <w:r>
        <w:rPr>
          <w:rFonts w:ascii="Arial" w:cs="Arial" w:eastAsia="Arial" w:hAnsi="Arial"/>
          <w:sz w:val="18"/>
          <w:szCs w:val="18"/>
          <w:color w:val="auto"/>
        </w:rPr>
        <w:t>no Lender shall have any obligation to disclose all or any portion of the Participant Register (including the identity of any Participant or any</w:t>
      </w:r>
    </w:p>
    <w:p>
      <w:pPr>
        <w:ind w:right="160"/>
        <w:spacing w:after="0" w:line="255" w:lineRule="auto"/>
        <w:rPr>
          <w:sz w:val="20"/>
          <w:szCs w:val="20"/>
          <w:color w:val="auto"/>
        </w:rPr>
      </w:pPr>
      <w:r>
        <w:rPr>
          <w:rFonts w:ascii="Arial" w:cs="Arial" w:eastAsia="Arial" w:hAnsi="Arial"/>
          <w:sz w:val="16"/>
          <w:szCs w:val="16"/>
          <w:color w:val="auto"/>
        </w:rPr>
        <w:t>information relating to a Participant’s interest in any Commitments, Loans, Letters of Credit or its other obligations under any Loan Document) to any Person except to the extent that such disclosure is necessary to establish that such Commitment, Loan, Letter of Credit or</w:t>
      </w:r>
    </w:p>
    <w:p>
      <w:pPr>
        <w:spacing w:after="0" w:line="235" w:lineRule="auto"/>
        <w:rPr>
          <w:sz w:val="20"/>
          <w:szCs w:val="20"/>
          <w:color w:val="auto"/>
        </w:rPr>
      </w:pPr>
      <w:r>
        <w:rPr>
          <w:rFonts w:ascii="Arial" w:cs="Arial" w:eastAsia="Arial" w:hAnsi="Arial"/>
          <w:sz w:val="18"/>
          <w:szCs w:val="18"/>
          <w:color w:val="auto"/>
        </w:rPr>
        <w:t>other obligation is in registered form under Section 5f.103-1(c) of the United States Treasury Regulations. The entries in the Participant</w:t>
      </w:r>
    </w:p>
    <w:p>
      <w:pPr>
        <w:spacing w:after="0" w:line="255" w:lineRule="auto"/>
        <w:rPr>
          <w:sz w:val="20"/>
          <w:szCs w:val="20"/>
          <w:color w:val="auto"/>
        </w:rPr>
      </w:pPr>
      <w:r>
        <w:rPr>
          <w:rFonts w:ascii="Arial" w:cs="Arial" w:eastAsia="Arial" w:hAnsi="Arial"/>
          <w:sz w:val="16"/>
          <w:szCs w:val="16"/>
          <w:color w:val="auto"/>
        </w:rPr>
        <w:t>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Administrative Agent (in its capacity as Administrative Agent) shall have no responsibility for maintaining a Participant Register.</w:t>
      </w:r>
    </w:p>
    <w:p>
      <w:pPr>
        <w:spacing w:after="0" w:line="171" w:lineRule="exact"/>
        <w:rPr>
          <w:sz w:val="20"/>
          <w:szCs w:val="20"/>
          <w:color w:val="auto"/>
        </w:rPr>
      </w:pPr>
    </w:p>
    <w:p>
      <w:pPr>
        <w:jc w:val="both"/>
        <w:ind w:right="140" w:firstLine="1304"/>
        <w:spacing w:after="0" w:line="218" w:lineRule="auto"/>
        <w:tabs>
          <w:tab w:leader="none" w:pos="1714" w:val="left"/>
        </w:tabs>
        <w:numPr>
          <w:ilvl w:val="0"/>
          <w:numId w:val="244"/>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and this Section shall not apply to any such pledge or assignment of a security interest;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1" w:lineRule="exact"/>
        <w:rPr>
          <w:sz w:val="20"/>
          <w:szCs w:val="20"/>
          <w:color w:val="auto"/>
        </w:rPr>
      </w:pPr>
    </w:p>
    <w:p>
      <w:pPr>
        <w:ind w:right="200" w:firstLine="648"/>
        <w:spacing w:after="0" w:line="265"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Borrowers herein and in the certificates or other instruments delivered in connection with or pursuant to this Agreement shall be considered to have been relied upon by</w:t>
      </w:r>
    </w:p>
    <w:p>
      <w:pPr>
        <w:spacing w:after="0" w:line="236" w:lineRule="auto"/>
        <w:rPr>
          <w:sz w:val="20"/>
          <w:szCs w:val="20"/>
          <w:color w:val="auto"/>
        </w:rPr>
      </w:pPr>
      <w:r>
        <w:rPr>
          <w:rFonts w:ascii="Arial" w:cs="Arial" w:eastAsia="Arial" w:hAnsi="Arial"/>
          <w:sz w:val="18"/>
          <w:szCs w:val="18"/>
          <w:color w:val="auto"/>
        </w:rPr>
        <w:t>the other parties hereto and shall survive the execution and delivery of this Agreement and the making of any Loans and issuance of any</w:t>
      </w:r>
    </w:p>
    <w:p>
      <w:pPr>
        <w:ind w:right="160"/>
        <w:spacing w:after="0" w:line="226" w:lineRule="auto"/>
        <w:rPr>
          <w:sz w:val="20"/>
          <w:szCs w:val="20"/>
          <w:color w:val="auto"/>
        </w:rPr>
      </w:pPr>
      <w:r>
        <w:rPr>
          <w:rFonts w:ascii="Arial" w:cs="Arial" w:eastAsia="Arial" w:hAnsi="Arial"/>
          <w:sz w:val="18"/>
          <w:szCs w:val="18"/>
          <w:color w:val="auto"/>
        </w:rPr>
        <w:t>Letters of Credit, regardless of any investigation made by any such other party or on its behalf and notwithstanding that the Administrative Agent, the Issuing Bank or any Lender may have had notice or knowledge of any Default or incorrect representation or warranty at the time</w:t>
      </w:r>
    </w:p>
    <w:p>
      <w:pPr>
        <w:spacing w:after="0" w:line="236" w:lineRule="auto"/>
        <w:rPr>
          <w:sz w:val="20"/>
          <w:szCs w:val="20"/>
          <w:color w:val="auto"/>
        </w:rPr>
      </w:pPr>
      <w:r>
        <w:rPr>
          <w:rFonts w:ascii="Arial" w:cs="Arial" w:eastAsia="Arial" w:hAnsi="Arial"/>
          <w:sz w:val="18"/>
          <w:szCs w:val="18"/>
          <w:color w:val="auto"/>
        </w:rPr>
        <w:t>any credit is extended hereunder, and shall continue in full force and effect as long as the principal of or any accrued interest on any Loan or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any fee or any other amount payable under this Agreement is outstanding and unpaid or any Letter of Credit is outstanding and so long as the Commitments have not expired or terminated. The provisions of Sections 2.15, 2.16, 2.17 and 10.03 and Article VIII shall survive and</w:t>
      </w:r>
    </w:p>
    <w:p>
      <w:pPr>
        <w:spacing w:after="0" w:line="2"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33"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 (a) This Agreement may be executed in counterparts (and by different parties hereto on different counterparts), each of which shall constitute an original, but all of which when taken together</w:t>
      </w:r>
    </w:p>
    <w:p>
      <w:pPr>
        <w:ind w:right="20"/>
        <w:spacing w:after="0" w:line="255" w:lineRule="auto"/>
        <w:rPr>
          <w:sz w:val="20"/>
          <w:szCs w:val="20"/>
          <w:color w:val="auto"/>
        </w:rPr>
      </w:pPr>
      <w:r>
        <w:rPr>
          <w:rFonts w:ascii="Arial" w:cs="Arial" w:eastAsia="Arial" w:hAnsi="Arial"/>
          <w:sz w:val="16"/>
          <w:szCs w:val="16"/>
          <w:color w:val="auto"/>
        </w:rPr>
        <w:t>shall constitute a single contract. This Agreement and any separate letter agreements with respect to fees payable to the Administrative Agent constitute the entire contract among the parties relating to the subject matter hereof and supersede any and all previous agreements and</w:t>
      </w:r>
    </w:p>
    <w:p>
      <w:pPr>
        <w:spacing w:after="0" w:line="223" w:lineRule="auto"/>
        <w:rPr>
          <w:sz w:val="20"/>
          <w:szCs w:val="20"/>
          <w:color w:val="auto"/>
        </w:rPr>
      </w:pPr>
      <w:r>
        <w:rPr>
          <w:rFonts w:ascii="Arial" w:cs="Arial" w:eastAsia="Arial" w:hAnsi="Arial"/>
          <w:sz w:val="19"/>
          <w:szCs w:val="19"/>
          <w:color w:val="auto"/>
        </w:rPr>
        <w:t>understandings, oral or written, relating to the subject matter hereof. Except as provided in Section 4.01, this Agreement shall become</w:t>
      </w:r>
    </w:p>
    <w:p>
      <w:pPr>
        <w:ind w:right="100"/>
        <w:spacing w:after="0" w:line="220" w:lineRule="auto"/>
        <w:rPr>
          <w:sz w:val="20"/>
          <w:szCs w:val="20"/>
          <w:color w:val="auto"/>
        </w:rPr>
      </w:pPr>
      <w:r>
        <w:rPr>
          <w:rFonts w:ascii="Arial" w:cs="Arial" w:eastAsia="Arial" w:hAnsi="Arial"/>
          <w:sz w:val="20"/>
          <w:szCs w:val="20"/>
          <w:color w:val="auto"/>
        </w:rPr>
        <w:t>effective when it shall have been executed by the Administrative Agent and when the Administrative Agent shall have received counterparts hereof which, when taken together, bear the signatures of each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and thereafter shall be binding upon and inure to the benefit of the parties hereto and their respective successors and assigns.</w:t>
      </w:r>
    </w:p>
    <w:p>
      <w:pPr>
        <w:spacing w:after="0" w:line="189" w:lineRule="exact"/>
        <w:rPr>
          <w:sz w:val="20"/>
          <w:szCs w:val="20"/>
          <w:color w:val="auto"/>
        </w:rPr>
      </w:pPr>
    </w:p>
    <w:p>
      <w:pPr>
        <w:ind w:right="40" w:firstLine="1304"/>
        <w:spacing w:after="0" w:line="235" w:lineRule="auto"/>
        <w:tabs>
          <w:tab w:leader="none" w:pos="172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10.07</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w:t>
      </w:r>
    </w:p>
    <w:p>
      <w:pPr>
        <w:ind w:right="240"/>
        <w:spacing w:after="0" w:line="226" w:lineRule="auto"/>
        <w:rPr>
          <w:sz w:val="20"/>
          <w:szCs w:val="20"/>
          <w:color w:val="auto"/>
        </w:rPr>
      </w:pPr>
      <w:r>
        <w:rPr>
          <w:rFonts w:ascii="Arial" w:cs="Arial" w:eastAsia="Arial" w:hAnsi="Arial"/>
          <w:sz w:val="18"/>
          <w:szCs w:val="18"/>
          <w:color w:val="auto"/>
        </w:rPr>
        <w:t>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provision in any other jurisdiction.</w:t>
      </w:r>
    </w:p>
    <w:p>
      <w:pPr>
        <w:spacing w:after="0" w:line="173"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and each of its Affiliates is hereby authorized at any time and from time to time, to the fullest extent permitted by law, to set off and apply any and all deposits</w:t>
      </w:r>
    </w:p>
    <w:p>
      <w:pPr>
        <w:spacing w:after="0" w:line="235" w:lineRule="auto"/>
        <w:rPr>
          <w:sz w:val="20"/>
          <w:szCs w:val="20"/>
          <w:color w:val="auto"/>
        </w:rPr>
      </w:pPr>
      <w:r>
        <w:rPr>
          <w:rFonts w:ascii="Arial" w:cs="Arial" w:eastAsia="Arial" w:hAnsi="Arial"/>
          <w:sz w:val="18"/>
          <w:szCs w:val="18"/>
          <w:color w:val="auto"/>
        </w:rPr>
        <w:t>(general or special, time or demand, provisional or final) at any time held and other obligations at any time owing by such Lender or Affiliate</w:t>
      </w:r>
    </w:p>
    <w:p>
      <w:pPr>
        <w:ind w:right="20"/>
        <w:spacing w:after="0" w:line="255" w:lineRule="auto"/>
        <w:rPr>
          <w:sz w:val="20"/>
          <w:szCs w:val="20"/>
          <w:color w:val="auto"/>
        </w:rPr>
      </w:pPr>
      <w:r>
        <w:rPr>
          <w:rFonts w:ascii="Arial" w:cs="Arial" w:eastAsia="Arial" w:hAnsi="Arial"/>
          <w:sz w:val="16"/>
          <w:szCs w:val="16"/>
          <w:color w:val="auto"/>
        </w:rPr>
        <w:t>to or for the credit or the account of the Borrowers against any of and all the obligations of the Borrowers now or hereafter existing under this Agreement held by such Lender, irrespective of whether or not such Lender shall have made any demand under this Agreement and although</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such obligations may be unmatured. The rights of each Lender under this Section are in addition to other rights and remedies (including other rights of setoff) which such Lender may have.</w:t>
      </w:r>
    </w:p>
    <w:p>
      <w:pPr>
        <w:spacing w:after="0" w:line="170" w:lineRule="exact"/>
        <w:rPr>
          <w:sz w:val="20"/>
          <w:szCs w:val="20"/>
          <w:color w:val="auto"/>
        </w:rPr>
      </w:pPr>
    </w:p>
    <w:p>
      <w:pPr>
        <w:ind w:right="280" w:firstLine="648"/>
        <w:spacing w:after="0" w:line="236" w:lineRule="auto"/>
        <w:rPr>
          <w:sz w:val="20"/>
          <w:szCs w:val="20"/>
          <w:color w:val="auto"/>
        </w:rPr>
      </w:pPr>
      <w:r>
        <w:rPr>
          <w:rFonts w:ascii="Arial" w:cs="Arial" w:eastAsia="Arial" w:hAnsi="Arial"/>
          <w:sz w:val="20"/>
          <w:szCs w:val="20"/>
          <w:color w:val="auto"/>
        </w:rPr>
        <w:t xml:space="preserve">Section 10.09 </w:t>
      </w:r>
      <w:r>
        <w:rPr>
          <w:rFonts w:ascii="Arial" w:cs="Arial" w:eastAsia="Arial" w:hAnsi="Arial"/>
          <w:sz w:val="20"/>
          <w:szCs w:val="20"/>
          <w:u w:val="single" w:color="auto"/>
          <w:color w:val="auto"/>
        </w:rPr>
        <w:t>Governing Law; Jurisdiction; Consent to Service of Process</w:t>
      </w:r>
      <w:r>
        <w:rPr>
          <w:rFonts w:ascii="Arial" w:cs="Arial" w:eastAsia="Arial" w:hAnsi="Arial"/>
          <w:sz w:val="20"/>
          <w:szCs w:val="20"/>
          <w:color w:val="auto"/>
        </w:rPr>
        <w:t>. (a) This Agreement shall be construed in accordance with and governed by the law of the State of New York.</w:t>
      </w:r>
    </w:p>
    <w:p>
      <w:pPr>
        <w:spacing w:after="0" w:line="155" w:lineRule="exact"/>
        <w:rPr>
          <w:sz w:val="20"/>
          <w:szCs w:val="20"/>
          <w:color w:val="auto"/>
        </w:rPr>
      </w:pPr>
    </w:p>
    <w:p>
      <w:pPr>
        <w:ind w:firstLine="1304"/>
        <w:spacing w:after="0" w:line="237" w:lineRule="auto"/>
        <w:tabs>
          <w:tab w:leader="none" w:pos="172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any Borrower or its properties in the courts of any jurisdiction.</w:t>
      </w:r>
    </w:p>
    <w:p>
      <w:pPr>
        <w:spacing w:after="0" w:line="158" w:lineRule="exact"/>
        <w:rPr>
          <w:rFonts w:ascii="Arial" w:cs="Arial" w:eastAsia="Arial" w:hAnsi="Arial"/>
          <w:sz w:val="18"/>
          <w:szCs w:val="18"/>
          <w:color w:val="auto"/>
        </w:rPr>
      </w:pPr>
    </w:p>
    <w:p>
      <w:pPr>
        <w:ind w:right="40" w:firstLine="1304"/>
        <w:spacing w:after="0" w:line="246" w:lineRule="auto"/>
        <w:tabs>
          <w:tab w:leader="none" w:pos="171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63" w:lineRule="exact"/>
        <w:rPr>
          <w:rFonts w:ascii="Arial" w:cs="Arial" w:eastAsia="Arial" w:hAnsi="Arial"/>
          <w:sz w:val="18"/>
          <w:szCs w:val="18"/>
          <w:color w:val="auto"/>
        </w:rPr>
      </w:pPr>
    </w:p>
    <w:p>
      <w:pPr>
        <w:ind w:left="1740" w:hanging="436"/>
        <w:spacing w:after="0"/>
        <w:tabs>
          <w:tab w:leader="none" w:pos="174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Each party to this Agreement irrevocably consents to service of process in the manner provided for notices in</w:t>
      </w:r>
    </w:p>
    <w:p>
      <w:pPr>
        <w:ind w:right="140"/>
        <w:spacing w:after="0" w:line="220" w:lineRule="auto"/>
        <w:rPr>
          <w:sz w:val="20"/>
          <w:szCs w:val="20"/>
          <w:color w:val="auto"/>
        </w:rPr>
      </w:pPr>
      <w:r>
        <w:rPr>
          <w:rFonts w:ascii="Arial" w:cs="Arial" w:eastAsia="Arial" w:hAnsi="Arial"/>
          <w:sz w:val="20"/>
          <w:szCs w:val="20"/>
          <w:color w:val="auto"/>
        </w:rPr>
        <w:t>Section 10.01. Nothing in this Agreement will affect the right of any party to this Agreement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23" w:name="page224"/>
    <w:bookmarkEnd w:id="223"/>
    <w:p>
      <w:pPr>
        <w:ind w:firstLine="1304"/>
        <w:spacing w:after="0" w:line="214" w:lineRule="auto"/>
        <w:tabs>
          <w:tab w:leader="none" w:pos="1713" w:val="left"/>
        </w:tabs>
        <w:numPr>
          <w:ilvl w:val="0"/>
          <w:numId w:val="247"/>
        </w:numPr>
        <w:rPr>
          <w:rFonts w:ascii="Arial" w:cs="Arial" w:eastAsia="Arial" w:hAnsi="Arial"/>
          <w:sz w:val="20"/>
          <w:szCs w:val="20"/>
          <w:color w:val="auto"/>
        </w:rPr>
      </w:pPr>
      <w:r>
        <w:rPr>
          <w:rFonts w:ascii="Arial" w:cs="Arial" w:eastAsia="Arial" w:hAnsi="Arial"/>
          <w:sz w:val="20"/>
          <w:szCs w:val="20"/>
          <w:color w:val="auto"/>
        </w:rPr>
        <w:t>Each Revolving Borrower that is a Foreign Subsidiary (a “</w:t>
      </w:r>
      <w:r>
        <w:rPr>
          <w:rFonts w:ascii="Arial" w:cs="Arial" w:eastAsia="Arial" w:hAnsi="Arial"/>
          <w:sz w:val="20"/>
          <w:szCs w:val="20"/>
          <w:b w:val="1"/>
          <w:bCs w:val="1"/>
          <w:i w:val="1"/>
          <w:iCs w:val="1"/>
          <w:color w:val="auto"/>
        </w:rPr>
        <w:t>Foreign Borrower</w:t>
      </w:r>
      <w:r>
        <w:rPr>
          <w:rFonts w:ascii="Arial" w:cs="Arial" w:eastAsia="Arial" w:hAnsi="Arial"/>
          <w:sz w:val="20"/>
          <w:szCs w:val="20"/>
          <w:color w:val="auto"/>
        </w:rPr>
        <w:t>”) agrees that service of process in any action or proceeding brought in the State of New York may be made upon the Company, and each such Foreign Borrower confirms and agrees that the Company has been duly and irrevocably appointed as its agent and true and lawful attorney-in-fact in its name, place and stead to accept such service. Nothing herein shall in any way be deemed to limit the ability of the Administrative Agent to serve any such process in any other manner permitted by applicable law or to obtain jurisdiction over any Foreign Borrower in such other jurisdictions, and in such manner, as may be permitted by applicable law.</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10.10</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w:t>
      </w:r>
    </w:p>
    <w:p>
      <w:pPr>
        <w:ind w:right="880"/>
        <w:spacing w:after="0" w:line="215" w:lineRule="auto"/>
        <w:rPr>
          <w:sz w:val="20"/>
          <w:szCs w:val="20"/>
          <w:color w:val="auto"/>
        </w:rPr>
      </w:pPr>
      <w:r>
        <w:rPr>
          <w:rFonts w:ascii="Arial" w:cs="Arial" w:eastAsia="Arial" w:hAnsi="Arial"/>
          <w:sz w:val="19"/>
          <w:szCs w:val="19"/>
          <w:color w:val="auto"/>
        </w:rPr>
        <w:t>PERMITTED BY APPLICABLE LAW, ANY RIGHT IT MAY HAVE TO A TRIAL BY JURY IN ANY LEGAL PROCEEDING DIRECTLY OR INDIRECTLY ARISING OUT OF OR RELATING TO THIS AGREEMENT OR THE TRANSACTIONS</w:t>
      </w:r>
    </w:p>
    <w:p>
      <w:pPr>
        <w:spacing w:after="0" w:line="222" w:lineRule="auto"/>
        <w:rPr>
          <w:sz w:val="20"/>
          <w:szCs w:val="20"/>
          <w:color w:val="auto"/>
        </w:rPr>
      </w:pPr>
      <w:r>
        <w:rPr>
          <w:rFonts w:ascii="Arial" w:cs="Arial" w:eastAsia="Arial" w:hAnsi="Arial"/>
          <w:sz w:val="19"/>
          <w:szCs w:val="19"/>
          <w:color w:val="auto"/>
        </w:rPr>
        <w:t>CONTEMPLATED HEREBY (WHETHER BASED ON CONTRACT, TORT OR ANY OTHER THEORY). EACH PARTY HERETO</w:t>
      </w:r>
    </w:p>
    <w:p>
      <w:pPr>
        <w:ind w:right="100" w:firstLine="8"/>
        <w:spacing w:after="0" w:line="212" w:lineRule="auto"/>
        <w:tabs>
          <w:tab w:leader="none" w:pos="324"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0" w:lineRule="exact"/>
        <w:rPr>
          <w:sz w:val="20"/>
          <w:szCs w:val="20"/>
          <w:color w:val="auto"/>
        </w:rPr>
      </w:pPr>
    </w:p>
    <w:p>
      <w:pPr>
        <w:ind w:right="100" w:firstLine="648"/>
        <w:spacing w:after="0" w:line="285"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0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10.12</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the Issuing Bank and the Lenders agrees to maintain the</w:t>
      </w:r>
    </w:p>
    <w:p>
      <w:pPr>
        <w:ind w:right="60"/>
        <w:spacing w:after="0" w:line="255" w:lineRule="auto"/>
        <w:rPr>
          <w:sz w:val="20"/>
          <w:szCs w:val="20"/>
          <w:color w:val="auto"/>
        </w:rPr>
      </w:pPr>
      <w:r>
        <w:rPr>
          <w:rFonts w:ascii="Arial" w:cs="Arial" w:eastAsia="Arial" w:hAnsi="Arial"/>
          <w:sz w:val="16"/>
          <w:szCs w:val="16"/>
          <w:color w:val="auto"/>
        </w:rPr>
        <w:t>confidentiality of the Information (as defined below), except that Information may be disclosed (a) to its and its Affiliates’ directors, officers, employees and agents, including accountants, legal counsel and other advisors (it being understood that the Persons to whom such disclosure</w:t>
      </w:r>
    </w:p>
    <w:p>
      <w:pPr>
        <w:spacing w:after="0" w:line="223" w:lineRule="auto"/>
        <w:rPr>
          <w:sz w:val="20"/>
          <w:szCs w:val="20"/>
          <w:color w:val="auto"/>
        </w:rPr>
      </w:pPr>
      <w:r>
        <w:rPr>
          <w:rFonts w:ascii="Arial" w:cs="Arial" w:eastAsia="Arial" w:hAnsi="Arial"/>
          <w:sz w:val="19"/>
          <w:szCs w:val="19"/>
          <w:color w:val="auto"/>
        </w:rPr>
        <w:t>is made will be informed of the confidential nature of such Information and instructed to keep such Information confidential), (b) to the</w:t>
      </w:r>
    </w:p>
    <w:p>
      <w:pPr>
        <w:ind w:right="180"/>
        <w:spacing w:after="0" w:line="226" w:lineRule="auto"/>
        <w:rPr>
          <w:sz w:val="20"/>
          <w:szCs w:val="20"/>
          <w:color w:val="auto"/>
        </w:rPr>
      </w:pPr>
      <w:r>
        <w:rPr>
          <w:rFonts w:ascii="Arial" w:cs="Arial" w:eastAsia="Arial" w:hAnsi="Arial"/>
          <w:sz w:val="18"/>
          <w:szCs w:val="18"/>
          <w:color w:val="auto"/>
        </w:rPr>
        <w:t>extent requested by any regulatory authority, (c) to the extent required by applicable laws or regulations or by any subpoena or similar legal process, (d) to any other party to this Agreement, (e) in connection with the exercise of any remedies hereunder or any suit, action or</w:t>
      </w:r>
    </w:p>
    <w:p>
      <w:pPr>
        <w:spacing w:after="0" w:line="236" w:lineRule="auto"/>
        <w:rPr>
          <w:sz w:val="20"/>
          <w:szCs w:val="20"/>
          <w:color w:val="auto"/>
        </w:rPr>
      </w:pPr>
      <w:r>
        <w:rPr>
          <w:rFonts w:ascii="Arial" w:cs="Arial" w:eastAsia="Arial" w:hAnsi="Arial"/>
          <w:sz w:val="18"/>
          <w:szCs w:val="18"/>
          <w:color w:val="auto"/>
        </w:rPr>
        <w:t>proceeding relating to this Agreement or the enforcement of rights hereunder, (f) subject to an agreement containing provisions substantially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w:t>
      </w:r>
    </w:p>
    <w:p>
      <w:pPr>
        <w:spacing w:after="0" w:line="224" w:lineRule="auto"/>
        <w:rPr>
          <w:sz w:val="20"/>
          <w:szCs w:val="20"/>
          <w:color w:val="auto"/>
        </w:rPr>
      </w:pPr>
      <w:r>
        <w:rPr>
          <w:rFonts w:ascii="Arial" w:cs="Arial" w:eastAsia="Arial" w:hAnsi="Arial"/>
          <w:sz w:val="19"/>
          <w:szCs w:val="19"/>
          <w:color w:val="auto"/>
        </w:rPr>
        <w:t>to the Borrowers and its obligations, (g) with the consent of the Borrowers or (h) to the extent such Information (i) becomes publicly</w:t>
      </w:r>
    </w:p>
    <w:p>
      <w:pPr>
        <w:ind w:right="460"/>
        <w:spacing w:after="0" w:line="226" w:lineRule="auto"/>
        <w:rPr>
          <w:sz w:val="20"/>
          <w:szCs w:val="20"/>
          <w:color w:val="auto"/>
        </w:rPr>
      </w:pPr>
      <w:r>
        <w:rPr>
          <w:rFonts w:ascii="Arial" w:cs="Arial" w:eastAsia="Arial" w:hAnsi="Arial"/>
          <w:sz w:val="18"/>
          <w:szCs w:val="18"/>
          <w:color w:val="auto"/>
        </w:rPr>
        <w:t>available other than as a result of a breach of this Section or (ii) becomes available to the Administrative Agent, the Issuing Bank or any Lender on a non-confidential basis from a source other than a Borrower. For the purposes of this Section,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means all</w:t>
      </w:r>
    </w:p>
    <w:p>
      <w:pPr>
        <w:spacing w:after="0" w:line="236" w:lineRule="auto"/>
        <w:rPr>
          <w:sz w:val="20"/>
          <w:szCs w:val="20"/>
          <w:color w:val="auto"/>
        </w:rPr>
      </w:pPr>
      <w:r>
        <w:rPr>
          <w:rFonts w:ascii="Arial" w:cs="Arial" w:eastAsia="Arial" w:hAnsi="Arial"/>
          <w:sz w:val="18"/>
          <w:szCs w:val="18"/>
          <w:color w:val="auto"/>
        </w:rPr>
        <w:t>information received from a Borrower relating to the Borrowers or their business, other than any such information that is available to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 xml:space="preserve">Administrative Agent, the Issuing Bank or any Lender on a nonconfidential basis prior to disclosure by a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information received from a Borrower after the date hereof, such information is clearly identified at the time of delivery as confidential.</w:t>
      </w:r>
    </w:p>
    <w:p>
      <w:pPr>
        <w:spacing w:after="0" w:line="236" w:lineRule="auto"/>
        <w:rPr>
          <w:sz w:val="20"/>
          <w:szCs w:val="20"/>
          <w:color w:val="auto"/>
        </w:rPr>
      </w:pPr>
      <w:r>
        <w:rPr>
          <w:rFonts w:ascii="Arial" w:cs="Arial" w:eastAsia="Arial" w:hAnsi="Arial"/>
          <w:sz w:val="18"/>
          <w:szCs w:val="18"/>
          <w:color w:val="auto"/>
        </w:rPr>
        <w:t>Any Person required to maintain the confidentiality of Information as provided in this Section shall be considered to have complied with its</w:t>
      </w:r>
    </w:p>
    <w:p>
      <w:pPr>
        <w:spacing w:after="0" w:line="1"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obligation to do so if such Person has exercised the same degree of care to maintain the confidentiality of such Information as such Person would accord to its own confidential information.</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10.13</w:t>
      </w:r>
      <w:r>
        <w:rPr>
          <w:sz w:val="20"/>
          <w:szCs w:val="20"/>
          <w:color w:val="auto"/>
        </w:rPr>
        <w:tab/>
      </w: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w:t>
      </w:r>
    </w:p>
    <w:p>
      <w:pPr>
        <w:spacing w:after="0" w:line="183" w:lineRule="exact"/>
        <w:rPr>
          <w:sz w:val="20"/>
          <w:szCs w:val="20"/>
          <w:color w:val="auto"/>
        </w:rPr>
      </w:pPr>
    </w:p>
    <w:p>
      <w:pPr>
        <w:ind w:right="540" w:firstLine="1304"/>
        <w:spacing w:after="0" w:line="216" w:lineRule="auto"/>
        <w:tabs>
          <w:tab w:leader="none" w:pos="1713" w:val="left"/>
        </w:tabs>
        <w:numPr>
          <w:ilvl w:val="0"/>
          <w:numId w:val="249"/>
        </w:numPr>
        <w:rPr>
          <w:rFonts w:ascii="Arial" w:cs="Arial" w:eastAsia="Arial" w:hAnsi="Arial"/>
          <w:sz w:val="20"/>
          <w:szCs w:val="20"/>
          <w:color w:val="auto"/>
        </w:rPr>
      </w:pPr>
      <w:r>
        <w:rPr>
          <w:rFonts w:ascii="Arial" w:cs="Arial" w:eastAsia="Arial" w:hAnsi="Arial"/>
          <w:sz w:val="20"/>
          <w:szCs w:val="20"/>
          <w:b w:val="1"/>
          <w:bCs w:val="1"/>
          <w:color w:val="auto"/>
        </w:rPr>
        <w:t>EACH LENDER ACKNOWLEDGES THAT INFORMATION (AS DEFINED IN SECTION 10.12) 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24" w:name="page225"/>
    <w:bookmarkEnd w:id="224"/>
    <w:p>
      <w:pPr>
        <w:ind w:right="520"/>
        <w:spacing w:after="0" w:line="239" w:lineRule="auto"/>
        <w:rPr>
          <w:sz w:val="20"/>
          <w:szCs w:val="20"/>
          <w:color w:val="auto"/>
        </w:rPr>
      </w:pPr>
      <w:r>
        <w:rPr>
          <w:rFonts w:ascii="Arial" w:cs="Arial" w:eastAsia="Arial" w:hAnsi="Arial"/>
          <w:sz w:val="20"/>
          <w:szCs w:val="20"/>
          <w:b w:val="1"/>
          <w:bCs w:val="1"/>
          <w:color w:val="auto"/>
        </w:rPr>
        <w:t>MATERIAL NON-PUBLIC INFORMATION IN ACCORDANCE WITH THOSE PROCEDURES AND APPLICABLE LAW, INCLUDING FEDERAL AND STATE SECURITIES LAWS.</w:t>
      </w:r>
    </w:p>
    <w:p>
      <w:pPr>
        <w:spacing w:after="0" w:line="155" w:lineRule="exact"/>
        <w:rPr>
          <w:sz w:val="20"/>
          <w:szCs w:val="20"/>
          <w:color w:val="auto"/>
        </w:rPr>
      </w:pPr>
    </w:p>
    <w:p>
      <w:pPr>
        <w:ind w:right="20" w:firstLine="1304"/>
        <w:spacing w:after="0" w:line="214" w:lineRule="auto"/>
        <w:tabs>
          <w:tab w:leader="none" w:pos="1714"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ALL INFORMATION, INCLUDING REQUESTS FOR WAIVERS AND AMENDMENTS, FURNISHED BY A BORROWER OR THE ADMINISTRATIVE AGENT PURSUANT TO, OR IN THE COURSE OF ADMINISTERING, THIS AGREEMENT WILL BE SYNDICATE-LEVEL INFORMATION, WHICH MAY CONTAIN MATERIAL NON-PUBLIC INFORMATION ABOUT THE BORROWERS, THE OTHER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which may be contracted for, charged, taken, received or reserved</w:t>
      </w:r>
    </w:p>
    <w:p>
      <w:pPr>
        <w:ind w:right="200"/>
        <w:spacing w:after="0" w:line="255" w:lineRule="auto"/>
        <w:rPr>
          <w:sz w:val="20"/>
          <w:szCs w:val="20"/>
          <w:color w:val="auto"/>
        </w:rPr>
      </w:pPr>
      <w:r>
        <w:rPr>
          <w:rFonts w:ascii="Arial" w:cs="Arial" w:eastAsia="Arial" w:hAnsi="Arial"/>
          <w:sz w:val="16"/>
          <w:szCs w:val="16"/>
          <w:color w:val="auto"/>
        </w:rPr>
        <w:t>by the Lender holding such Loan in accordance with applicable law, the rate of interest payable in respect of such Loan hereunder, together with all Charges payable in respect thereof, shall be limited to the Maximum Rate and, to the extent lawful, the interest and Charges that</w:t>
      </w:r>
    </w:p>
    <w:p>
      <w:pPr>
        <w:spacing w:after="0" w:line="235" w:lineRule="auto"/>
        <w:rPr>
          <w:sz w:val="20"/>
          <w:szCs w:val="20"/>
          <w:color w:val="auto"/>
        </w:rPr>
      </w:pPr>
      <w:r>
        <w:rPr>
          <w:rFonts w:ascii="Arial" w:cs="Arial" w:eastAsia="Arial" w:hAnsi="Arial"/>
          <w:sz w:val="18"/>
          <w:szCs w:val="18"/>
          <w:color w:val="auto"/>
        </w:rPr>
        <w:t>would have been payable in respect of such Loan but were not payable as a result of the operation of this Section shall be cumulated and the</w:t>
      </w:r>
    </w:p>
    <w:p>
      <w:pPr>
        <w:ind w:right="60"/>
        <w:spacing w:after="0" w:line="255" w:lineRule="auto"/>
        <w:rPr>
          <w:sz w:val="20"/>
          <w:szCs w:val="20"/>
          <w:color w:val="auto"/>
        </w:rPr>
      </w:pPr>
      <w:r>
        <w:rPr>
          <w:rFonts w:ascii="Arial" w:cs="Arial" w:eastAsia="Arial" w:hAnsi="Arial"/>
          <w:sz w:val="16"/>
          <w:szCs w:val="16"/>
          <w:color w:val="auto"/>
        </w:rPr>
        <w:t>interest and Charges payable to such Lender in respect of other Loans or periods shall be increased (but not above the Maximum Rate therefor) until such cumulated amount, together with interest thereon at the Federal Funds Effective Rate to the date of repayment, shall have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been received by such Lender.</w:t>
      </w:r>
    </w:p>
    <w:p>
      <w:pPr>
        <w:spacing w:after="0" w:line="159"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the Administrative Agent, on behalf of the Lenders, obtains a judgment or judgments against a Borrower in a Designated Foreign Currency, any Dollar denominated obligations of such Borrower in respect of any sum adjudged to be</w:t>
      </w:r>
    </w:p>
    <w:p>
      <w:pPr>
        <w:ind w:right="20"/>
        <w:spacing w:after="0" w:line="226" w:lineRule="auto"/>
        <w:rPr>
          <w:sz w:val="20"/>
          <w:szCs w:val="20"/>
          <w:color w:val="auto"/>
        </w:rPr>
      </w:pPr>
      <w:r>
        <w:rPr>
          <w:rFonts w:ascii="Arial" w:cs="Arial" w:eastAsia="Arial" w:hAnsi="Arial"/>
          <w:sz w:val="18"/>
          <w:szCs w:val="18"/>
          <w:color w:val="auto"/>
        </w:rPr>
        <w:t>due to the Administrative Agent or the Lenders hereunder or under the Notes (the “</w:t>
      </w:r>
      <w:r>
        <w:rPr>
          <w:rFonts w:ascii="Arial" w:cs="Arial" w:eastAsia="Arial" w:hAnsi="Arial"/>
          <w:sz w:val="18"/>
          <w:szCs w:val="18"/>
          <w:b w:val="1"/>
          <w:bCs w:val="1"/>
          <w:i w:val="1"/>
          <w:iCs w:val="1"/>
          <w:color w:val="auto"/>
        </w:rPr>
        <w:t>Judgment Amount</w:t>
      </w:r>
      <w:r>
        <w:rPr>
          <w:rFonts w:ascii="Arial" w:cs="Arial" w:eastAsia="Arial" w:hAnsi="Arial"/>
          <w:sz w:val="18"/>
          <w:szCs w:val="18"/>
          <w:color w:val="auto"/>
        </w:rPr>
        <w:t>”) shall be discharged only to the extent that, on the Business Day following receipt by the Administrative Agent of the Judgment Amount in the Designated Foreign Currency,</w:t>
      </w:r>
    </w:p>
    <w:p>
      <w:pPr>
        <w:spacing w:after="0" w:line="224" w:lineRule="auto"/>
        <w:rPr>
          <w:sz w:val="20"/>
          <w:szCs w:val="20"/>
          <w:color w:val="auto"/>
        </w:rPr>
      </w:pPr>
      <w:r>
        <w:rPr>
          <w:rFonts w:ascii="Arial" w:cs="Arial" w:eastAsia="Arial" w:hAnsi="Arial"/>
          <w:sz w:val="19"/>
          <w:szCs w:val="19"/>
          <w:color w:val="auto"/>
        </w:rPr>
        <w:t>the Administrative Agent, in accordance with normal banking procedures, may purchase dollars with the Judgment Amount in such</w:t>
      </w:r>
    </w:p>
    <w:p>
      <w:pPr>
        <w:ind w:right="280"/>
        <w:spacing w:after="0" w:line="255" w:lineRule="auto"/>
        <w:rPr>
          <w:sz w:val="20"/>
          <w:szCs w:val="20"/>
          <w:color w:val="auto"/>
        </w:rPr>
      </w:pPr>
      <w:r>
        <w:rPr>
          <w:rFonts w:ascii="Arial" w:cs="Arial" w:eastAsia="Arial" w:hAnsi="Arial"/>
          <w:sz w:val="16"/>
          <w:szCs w:val="16"/>
          <w:color w:val="auto"/>
        </w:rPr>
        <w:t>Designated Foreign Currency. If the amount of dollars so purchased is less than the amount of dollars that could have been purchased with the Judgment Amount on the date or dates the Judgment Amount (excluding the portion of the Judgment Amount which has accrued as a</w:t>
      </w:r>
    </w:p>
    <w:p>
      <w:pPr>
        <w:spacing w:after="0" w:line="235" w:lineRule="auto"/>
        <w:rPr>
          <w:sz w:val="20"/>
          <w:szCs w:val="20"/>
          <w:color w:val="auto"/>
        </w:rPr>
      </w:pPr>
      <w:r>
        <w:rPr>
          <w:rFonts w:ascii="Arial" w:cs="Arial" w:eastAsia="Arial" w:hAnsi="Arial"/>
          <w:sz w:val="18"/>
          <w:szCs w:val="18"/>
          <w:color w:val="auto"/>
        </w:rPr>
        <w:t>result of the failure of such Borrower to pay the sum originally due hereunder or under the Notes when it was originally due hereunder or</w:t>
      </w:r>
    </w:p>
    <w:p>
      <w:pPr>
        <w:ind w:right="60"/>
        <w:spacing w:after="0" w:line="226" w:lineRule="auto"/>
        <w:rPr>
          <w:sz w:val="20"/>
          <w:szCs w:val="20"/>
          <w:color w:val="auto"/>
        </w:rPr>
      </w:pPr>
      <w:r>
        <w:rPr>
          <w:rFonts w:ascii="Arial" w:cs="Arial" w:eastAsia="Arial" w:hAnsi="Arial"/>
          <w:sz w:val="18"/>
          <w:szCs w:val="18"/>
          <w:color w:val="auto"/>
        </w:rPr>
        <w:t>under the Notes) was originally due and owing (the “</w:t>
      </w:r>
      <w:r>
        <w:rPr>
          <w:rFonts w:ascii="Arial" w:cs="Arial" w:eastAsia="Arial" w:hAnsi="Arial"/>
          <w:sz w:val="18"/>
          <w:szCs w:val="18"/>
          <w:b w:val="1"/>
          <w:bCs w:val="1"/>
          <w:i w:val="1"/>
          <w:iCs w:val="1"/>
          <w:color w:val="auto"/>
        </w:rPr>
        <w:t>Original Due Date</w:t>
      </w:r>
      <w:r>
        <w:rPr>
          <w:rFonts w:ascii="Arial" w:cs="Arial" w:eastAsia="Arial" w:hAnsi="Arial"/>
          <w:sz w:val="18"/>
          <w:szCs w:val="18"/>
          <w:color w:val="auto"/>
        </w:rPr>
        <w:t>”) to the Administrative Agent or the Lenders hereunder or under the Notes (the “</w:t>
      </w:r>
      <w:r>
        <w:rPr>
          <w:rFonts w:ascii="Arial" w:cs="Arial" w:eastAsia="Arial" w:hAnsi="Arial"/>
          <w:sz w:val="18"/>
          <w:szCs w:val="18"/>
          <w:b w:val="1"/>
          <w:bCs w:val="1"/>
          <w:i w:val="1"/>
          <w:iCs w:val="1"/>
          <w:color w:val="auto"/>
        </w:rPr>
        <w:t>Loss</w:t>
      </w:r>
      <w:r>
        <w:rPr>
          <w:rFonts w:ascii="Arial" w:cs="Arial" w:eastAsia="Arial" w:hAnsi="Arial"/>
          <w:sz w:val="18"/>
          <w:szCs w:val="18"/>
          <w:color w:val="auto"/>
        </w:rPr>
        <w:t>”), each applicable Borrower agrees as a separate obligation and notwithstanding any such judgment, to indemnify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or such Lender, as the case may be, against the Loss, and if the amount of dollars so purchased exceeds the amount of</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dollars that could have been purchased with the Judgment Amount on the Original Due Date, the Administrative Agent or such Lender agrees to remit such excess to the Borrowers.</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10.16</w:t>
      </w:r>
      <w:r>
        <w:rPr>
          <w:sz w:val="20"/>
          <w:szCs w:val="20"/>
          <w:color w:val="auto"/>
        </w:rPr>
        <w:tab/>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hereby notifies each</w:t>
      </w:r>
    </w:p>
    <w:p>
      <w:pPr>
        <w:ind w:right="260"/>
        <w:spacing w:after="0" w:line="226" w:lineRule="auto"/>
        <w:rPr>
          <w:sz w:val="20"/>
          <w:szCs w:val="20"/>
          <w:color w:val="auto"/>
        </w:rPr>
      </w:pPr>
      <w:r>
        <w:rPr>
          <w:rFonts w:ascii="Arial" w:cs="Arial" w:eastAsia="Arial" w:hAnsi="Arial"/>
          <w:sz w:val="18"/>
          <w:szCs w:val="18"/>
          <w:color w:val="auto"/>
        </w:rPr>
        <w:t>Borrower that pursuant to the requirements of the USA PATRIOT Act, it is required to obtain, verify and record information that identifies such Borrower, which information includes the name and address of such Borrower and other information that will allow such Lender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identify such Borrower in accordance with the USA PATRIOT Act.</w:t>
      </w:r>
    </w:p>
    <w:p>
      <w:pPr>
        <w:spacing w:after="0" w:line="173" w:lineRule="exact"/>
        <w:rPr>
          <w:sz w:val="20"/>
          <w:szCs w:val="20"/>
          <w:color w:val="auto"/>
        </w:rPr>
      </w:pPr>
    </w:p>
    <w:p>
      <w:pPr>
        <w:ind w:right="360" w:firstLine="648"/>
        <w:spacing w:after="0" w:line="236"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each Borrower</w:t>
      </w:r>
    </w:p>
    <w:p>
      <w:pPr>
        <w:spacing w:after="0" w:line="222" w:lineRule="auto"/>
        <w:rPr>
          <w:sz w:val="20"/>
          <w:szCs w:val="20"/>
          <w:color w:val="auto"/>
        </w:rPr>
      </w:pPr>
      <w:r>
        <w:rPr>
          <w:rFonts w:ascii="Arial" w:cs="Arial" w:eastAsia="Arial" w:hAnsi="Arial"/>
          <w:sz w:val="19"/>
          <w:szCs w:val="19"/>
          <w:color w:val="auto"/>
        </w:rPr>
        <w:t>acknowledges and agrees, and acknowledges its Affiliates’ understanding, that: (i) (A) the arranging and other services regarding this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Agreement provided by the Administrative Agent, the Joint Lead Arrangers, and the Lenders are arm’s-length commercial transactions between the Borrowers and their Affiliates, on the one hand, and the Administrative Agent, the Joint Lead Arrangers, and the Lenders, on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other hand, (B)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399" w:right="33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color w:val="auto"/>
        </w:rPr>
        <w:t>has consulted its own legal, accounting, regulatory and tax advisors to the extent it has deemed appropriate, and (C) such Borrower is capable</w:t>
      </w:r>
    </w:p>
    <w:p>
      <w:pPr>
        <w:spacing w:after="0" w:line="35" w:lineRule="exact"/>
        <w:rPr>
          <w:sz w:val="20"/>
          <w:szCs w:val="20"/>
          <w:color w:val="auto"/>
        </w:rPr>
      </w:pPr>
    </w:p>
    <w:p>
      <w:pPr>
        <w:jc w:val="both"/>
        <w:ind w:right="340"/>
        <w:spacing w:after="0" w:line="255" w:lineRule="auto"/>
        <w:rPr>
          <w:sz w:val="20"/>
          <w:szCs w:val="20"/>
          <w:color w:val="auto"/>
        </w:rPr>
      </w:pPr>
      <w:r>
        <w:rPr>
          <w:rFonts w:ascii="Arial" w:cs="Arial" w:eastAsia="Arial" w:hAnsi="Arial"/>
          <w:sz w:val="16"/>
          <w:szCs w:val="16"/>
          <w:color w:val="auto"/>
        </w:rPr>
        <w:t>of evaluating, and understands and accepts, the terms, risks and conditions of the transactions contemplated hereby and by the other Loan Documents; (ii) (A) the Administrative Agent, each Joint Lead Arranger and each Lender is and has been acting solely as a principal and,</w:t>
      </w:r>
    </w:p>
    <w:p>
      <w:pPr>
        <w:spacing w:after="0" w:line="235" w:lineRule="auto"/>
        <w:rPr>
          <w:sz w:val="20"/>
          <w:szCs w:val="20"/>
          <w:color w:val="auto"/>
        </w:rPr>
      </w:pPr>
      <w:r>
        <w:rPr>
          <w:rFonts w:ascii="Arial" w:cs="Arial" w:eastAsia="Arial" w:hAnsi="Arial"/>
          <w:sz w:val="18"/>
          <w:szCs w:val="18"/>
          <w:color w:val="auto"/>
        </w:rPr>
        <w:t>except as expressly agreed in writing by the relevant parties, has not been, is not, and will not be acting as an advisor, agent or fiduciary for</w:t>
      </w:r>
    </w:p>
    <w:p>
      <w:pPr>
        <w:ind w:right="40"/>
        <w:spacing w:after="0" w:line="226" w:lineRule="auto"/>
        <w:rPr>
          <w:sz w:val="20"/>
          <w:szCs w:val="20"/>
          <w:color w:val="auto"/>
        </w:rPr>
      </w:pPr>
      <w:r>
        <w:rPr>
          <w:rFonts w:ascii="Arial" w:cs="Arial" w:eastAsia="Arial" w:hAnsi="Arial"/>
          <w:sz w:val="18"/>
          <w:szCs w:val="18"/>
          <w:color w:val="auto"/>
        </w:rPr>
        <w:t>such Borrower or any of its Affiliates, or any other Person and (B) neither the Administrative Agent, any Joint Lead Arranger nor any Lender has any obligation to such Borrower or any of its Affiliates with respect to the transactions contemplated hereby except those obligations</w:t>
      </w:r>
    </w:p>
    <w:p>
      <w:pPr>
        <w:spacing w:after="0" w:line="236" w:lineRule="auto"/>
        <w:rPr>
          <w:sz w:val="20"/>
          <w:szCs w:val="20"/>
          <w:color w:val="auto"/>
        </w:rPr>
      </w:pPr>
      <w:r>
        <w:rPr>
          <w:rFonts w:ascii="Arial" w:cs="Arial" w:eastAsia="Arial" w:hAnsi="Arial"/>
          <w:sz w:val="18"/>
          <w:szCs w:val="18"/>
          <w:color w:val="auto"/>
        </w:rPr>
        <w:t>expressly set forth herein and in the other Loan Documents; and (iii) the Administrative Agent, the Joint Lead Arrangers and the Lenders and</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their respective Affiliates may be engaged in a broad range of transactions that involve interests that differ from those of such Borrower and its Affiliates, and neither the Administrative Agent, any Joint Lead Arranger, nor any Lender has any obligation to disclose any of such</w:t>
      </w:r>
    </w:p>
    <w:p>
      <w:pPr>
        <w:spacing w:after="0" w:line="236" w:lineRule="auto"/>
        <w:rPr>
          <w:sz w:val="20"/>
          <w:szCs w:val="20"/>
          <w:color w:val="auto"/>
        </w:rPr>
      </w:pPr>
      <w:r>
        <w:rPr>
          <w:rFonts w:ascii="Arial" w:cs="Arial" w:eastAsia="Arial" w:hAnsi="Arial"/>
          <w:sz w:val="18"/>
          <w:szCs w:val="18"/>
          <w:color w:val="auto"/>
        </w:rPr>
        <w:t>interests to such Borrower or its Affiliates. To the fullest extent permitted by law, each Borrower hereby waives and releases any claims that</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it may have against the Administrative Agent, any Joint Lead Arranger or any Lender with respect to any breach or alleged breach of agency or fiduciary duty in connection with any aspect of any transaction contemplated hereby.</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10.18</w:t>
      </w:r>
      <w:r>
        <w:rPr>
          <w:sz w:val="20"/>
          <w:szCs w:val="20"/>
          <w:color w:val="auto"/>
        </w:rPr>
        <w:tab/>
      </w:r>
      <w:r>
        <w:rPr>
          <w:rFonts w:ascii="Arial" w:cs="Arial" w:eastAsia="Arial" w:hAnsi="Arial"/>
          <w:sz w:val="18"/>
          <w:szCs w:val="18"/>
          <w:u w:val="single" w:color="auto"/>
          <w:color w:val="auto"/>
        </w:rPr>
        <w:t>Several Liability of Certain Borrowers</w:t>
      </w:r>
      <w:r>
        <w:rPr>
          <w:rFonts w:ascii="Arial" w:cs="Arial" w:eastAsia="Arial" w:hAnsi="Arial"/>
          <w:sz w:val="18"/>
          <w:szCs w:val="18"/>
          <w:color w:val="auto"/>
        </w:rPr>
        <w:t>. Notwithstanding anything in this Agreement or any other Loan Document to</w:t>
      </w:r>
    </w:p>
    <w:p>
      <w:pPr>
        <w:ind w:right="500"/>
        <w:spacing w:after="0" w:line="255" w:lineRule="auto"/>
        <w:rPr>
          <w:sz w:val="20"/>
          <w:szCs w:val="20"/>
          <w:color w:val="auto"/>
        </w:rPr>
      </w:pPr>
      <w:r>
        <w:rPr>
          <w:rFonts w:ascii="Arial" w:cs="Arial" w:eastAsia="Arial" w:hAnsi="Arial"/>
          <w:sz w:val="16"/>
          <w:szCs w:val="16"/>
          <w:color w:val="auto"/>
        </w:rPr>
        <w:t>the contrary, the Obligations of (x) each of Cooper UK and CooperSurgical UK hereunder and (y) each Additional Revolving Borrower hereunder, in each case, shall be several (and not joint) and each of Cooper UK and CooperSurgical UK and each Additional Revolving</w:t>
      </w:r>
    </w:p>
    <w:p>
      <w:pPr>
        <w:spacing w:after="0" w:line="235" w:lineRule="auto"/>
        <w:rPr>
          <w:sz w:val="20"/>
          <w:szCs w:val="20"/>
          <w:color w:val="auto"/>
        </w:rPr>
      </w:pPr>
      <w:r>
        <w:rPr>
          <w:rFonts w:ascii="Arial" w:cs="Arial" w:eastAsia="Arial" w:hAnsi="Arial"/>
          <w:sz w:val="18"/>
          <w:szCs w:val="18"/>
          <w:color w:val="auto"/>
        </w:rPr>
        <w:t>Borrower shall only be liable for any Loans and any other Obligations incurred directly by it and shall not be liable for any of the Obligations</w:t>
      </w:r>
    </w:p>
    <w:p>
      <w:pPr>
        <w:ind w:right="620"/>
        <w:spacing w:after="0" w:line="232" w:lineRule="auto"/>
        <w:rPr>
          <w:sz w:val="20"/>
          <w:szCs w:val="20"/>
          <w:color w:val="auto"/>
        </w:rPr>
      </w:pPr>
      <w:r>
        <w:rPr>
          <w:rFonts w:ascii="Arial" w:cs="Arial" w:eastAsia="Arial" w:hAnsi="Arial"/>
          <w:sz w:val="19"/>
          <w:szCs w:val="19"/>
          <w:color w:val="auto"/>
        </w:rPr>
        <w:t>of the Company or any other Loan Party hereunder. The foregoing shall not in any way limit the guaranty obligations of the Company pursuant to Article IX hereof or the guaranty obligations of any Subsidiary Guarantor under the Subsidiary Guaranty.</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Acknowledgment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w:t>
      </w:r>
    </w:p>
    <w:p>
      <w:pPr>
        <w:spacing w:after="0" w:line="235" w:lineRule="auto"/>
        <w:rPr>
          <w:sz w:val="20"/>
          <w:szCs w:val="20"/>
          <w:color w:val="auto"/>
        </w:rPr>
      </w:pPr>
      <w:r>
        <w:rPr>
          <w:rFonts w:ascii="Arial" w:cs="Arial" w:eastAsia="Arial" w:hAnsi="Arial"/>
          <w:sz w:val="18"/>
          <w:szCs w:val="18"/>
          <w:color w:val="auto"/>
        </w:rPr>
        <w:t>that any liability of any Affected Financial Institution arising under any Loan Document, to the extent such liability is unsecured, may be</w:t>
      </w:r>
    </w:p>
    <w:p>
      <w:pPr>
        <w:ind w:right="60"/>
        <w:spacing w:after="0" w:line="220" w:lineRule="auto"/>
        <w:rPr>
          <w:sz w:val="20"/>
          <w:szCs w:val="20"/>
          <w:color w:val="auto"/>
        </w:rPr>
      </w:pPr>
      <w:r>
        <w:rPr>
          <w:rFonts w:ascii="Arial" w:cs="Arial" w:eastAsia="Arial" w:hAnsi="Arial"/>
          <w:sz w:val="20"/>
          <w:szCs w:val="20"/>
          <w:color w:val="auto"/>
        </w:rPr>
        <w:t>subject to the Write-Down and Conversion Powers of the applicable Resolution Authority and agrees and consents to, and acknowledges and agrees to be bound by:</w:t>
      </w:r>
    </w:p>
    <w:p>
      <w:pPr>
        <w:spacing w:after="0" w:line="170" w:lineRule="exact"/>
        <w:rPr>
          <w:sz w:val="20"/>
          <w:szCs w:val="20"/>
          <w:color w:val="auto"/>
        </w:rPr>
      </w:pPr>
    </w:p>
    <w:p>
      <w:pPr>
        <w:ind w:right="760" w:firstLine="1304"/>
        <w:spacing w:after="0" w:line="257" w:lineRule="auto"/>
        <w:tabs>
          <w:tab w:leader="none" w:pos="1713"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9" w:lineRule="exact"/>
        <w:rPr>
          <w:rFonts w:ascii="Arial" w:cs="Arial" w:eastAsia="Arial" w:hAnsi="Arial"/>
          <w:sz w:val="19"/>
          <w:szCs w:val="19"/>
          <w:color w:val="auto"/>
        </w:rPr>
      </w:pPr>
    </w:p>
    <w:p>
      <w:pPr>
        <w:ind w:left="1740" w:hanging="436"/>
        <w:spacing w:after="0"/>
        <w:tabs>
          <w:tab w:leader="none" w:pos="174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88" w:lineRule="exact"/>
        <w:rPr>
          <w:rFonts w:ascii="Arial" w:cs="Arial" w:eastAsia="Arial" w:hAnsi="Arial"/>
          <w:sz w:val="20"/>
          <w:szCs w:val="20"/>
          <w:color w:val="auto"/>
        </w:rPr>
      </w:pPr>
    </w:p>
    <w:p>
      <w:pPr>
        <w:ind w:left="2340" w:hanging="388"/>
        <w:spacing w:after="0"/>
        <w:tabs>
          <w:tab w:leader="none" w:pos="234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auto"/>
        </w:rPr>
      </w:pPr>
    </w:p>
    <w:p>
      <w:pPr>
        <w:jc w:val="both"/>
        <w:ind w:left="660" w:right="40" w:firstLine="1292"/>
        <w:spacing w:after="0" w:line="220" w:lineRule="auto"/>
        <w:tabs>
          <w:tab w:leader="none" w:pos="2396" w:val="left"/>
        </w:tabs>
        <w:numPr>
          <w:ilvl w:val="1"/>
          <w:numId w:val="251"/>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5" w:lineRule="exact"/>
        <w:rPr>
          <w:rFonts w:ascii="Arial" w:cs="Arial" w:eastAsia="Arial" w:hAnsi="Arial"/>
          <w:sz w:val="20"/>
          <w:szCs w:val="20"/>
          <w:color w:val="auto"/>
        </w:rPr>
      </w:pPr>
    </w:p>
    <w:p>
      <w:pPr>
        <w:ind w:left="660" w:right="160" w:firstLine="1292"/>
        <w:spacing w:after="0" w:line="236" w:lineRule="auto"/>
        <w:tabs>
          <w:tab w:leader="none" w:pos="2451"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ind w:right="780" w:firstLine="648"/>
        <w:spacing w:after="0" w:line="229" w:lineRule="auto"/>
        <w:rPr>
          <w:sz w:val="20"/>
          <w:szCs w:val="20"/>
          <w:color w:val="auto"/>
        </w:rPr>
      </w:pPr>
      <w:r>
        <w:rPr>
          <w:rFonts w:ascii="Arial" w:cs="Arial" w:eastAsia="Arial" w:hAnsi="Arial"/>
          <w:sz w:val="20"/>
          <w:szCs w:val="20"/>
          <w:color w:val="auto"/>
        </w:rPr>
        <w:t>The provisions of this Section 10.19 are intended to comply with, and shall be interpreted in light of, Article 55 of Directive 2014/59/EU of the European Parliament and of the Council of the European Union.</w:t>
      </w:r>
    </w:p>
    <w:p>
      <w:pPr>
        <w:spacing w:after="0" w:line="157"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0"/>
          <w:szCs w:val="20"/>
          <w:color w:val="auto"/>
        </w:rPr>
        <w:t>Section 10.20</w:t>
      </w:r>
      <w:r>
        <w:rPr>
          <w:sz w:val="20"/>
          <w:szCs w:val="20"/>
          <w:color w:val="auto"/>
        </w:rPr>
        <w:tab/>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w:t>
      </w:r>
    </w:p>
    <w:p>
      <w:pPr>
        <w:ind w:right="360"/>
        <w:spacing w:after="0" w:line="312" w:lineRule="auto"/>
        <w:rPr>
          <w:sz w:val="20"/>
          <w:szCs w:val="20"/>
          <w:color w:val="auto"/>
        </w:rPr>
      </w:pPr>
      <w:r>
        <w:rPr>
          <w:rFonts w:ascii="Arial" w:cs="Arial" w:eastAsia="Arial" w:hAnsi="Arial"/>
          <w:sz w:val="16"/>
          <w:szCs w:val="16"/>
          <w:color w:val="auto"/>
        </w:rPr>
        <w:t>through a guarantee or otherwise, for Hedge Agreements or any other agreement or instrument that is a QFC (such support, “</w:t>
      </w:r>
      <w:r>
        <w:rPr>
          <w:rFonts w:ascii="Arial" w:cs="Arial" w:eastAsia="Arial" w:hAnsi="Arial"/>
          <w:sz w:val="16"/>
          <w:szCs w:val="16"/>
          <w:b w:val="1"/>
          <w:bCs w:val="1"/>
          <w:i w:val="1"/>
          <w:iCs w:val="1"/>
          <w:color w:val="auto"/>
        </w:rPr>
        <w:t>QFC Credit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Support</w:t>
      </w:r>
      <w:r>
        <w:rPr>
          <w:rFonts w:ascii="Arial" w:cs="Arial" w:eastAsia="Arial" w:hAnsi="Arial"/>
          <w:sz w:val="16"/>
          <w:szCs w:val="16"/>
          <w:color w:val="auto"/>
        </w:rPr>
        <w:t>” and each such QFC a “</w:t>
      </w:r>
      <w:r>
        <w:rPr>
          <w:rFonts w:ascii="Arial" w:cs="Arial" w:eastAsia="Arial" w:hAnsi="Arial"/>
          <w:sz w:val="16"/>
          <w:szCs w:val="16"/>
          <w:b w:val="1"/>
          <w:bCs w:val="1"/>
          <w:i w:val="1"/>
          <w:iCs w:val="1"/>
          <w:color w:val="auto"/>
        </w:rPr>
        <w:t>Supported QFC</w:t>
      </w:r>
      <w:r>
        <w:rPr>
          <w:rFonts w:ascii="Arial" w:cs="Arial" w:eastAsia="Arial" w:hAnsi="Arial"/>
          <w:sz w:val="16"/>
          <w:szCs w:val="16"/>
          <w:color w:val="auto"/>
        </w:rPr>
        <w:t>”), the parties acknowledge and agree as follows with respect to the resolution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97</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the Federal Deposit Insurance Corporation under the Federal Deposit Insurance Act and Title II of the Dodd-Frank Wall Street Reform and</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Consumer Protection Act (together with the regulations promulgated thereunder, the “</w:t>
      </w:r>
      <w:r>
        <w:rPr>
          <w:rFonts w:ascii="Arial" w:cs="Arial" w:eastAsia="Arial" w:hAnsi="Arial"/>
          <w:sz w:val="16"/>
          <w:szCs w:val="16"/>
          <w:b w:val="1"/>
          <w:bCs w:val="1"/>
          <w:i w:val="1"/>
          <w:iCs w:val="1"/>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w:t>
      </w:r>
    </w:p>
    <w:p>
      <w:pPr>
        <w:spacing w:after="0" w:line="1"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color w:val="auto"/>
        </w:rPr>
        <w:t>QFC may in fact be stated to be governed by the laws of the State of New York and/or of the United States or any other state of the United States):</w:t>
      </w:r>
    </w:p>
    <w:p>
      <w:pPr>
        <w:spacing w:after="0" w:line="156" w:lineRule="exact"/>
        <w:rPr>
          <w:sz w:val="20"/>
          <w:szCs w:val="20"/>
          <w:color w:val="auto"/>
        </w:rPr>
      </w:pPr>
    </w:p>
    <w:p>
      <w:pPr>
        <w:ind w:firstLine="1304"/>
        <w:spacing w:after="0" w:line="235" w:lineRule="auto"/>
        <w:tabs>
          <w:tab w:leader="none" w:pos="171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i w:val="1"/>
          <w:i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9" w:lineRule="exact"/>
        <w:rPr>
          <w:rFonts w:ascii="Arial" w:cs="Arial" w:eastAsia="Arial" w:hAnsi="Arial"/>
          <w:sz w:val="18"/>
          <w:szCs w:val="18"/>
          <w:color w:val="auto"/>
        </w:rPr>
      </w:pPr>
    </w:p>
    <w:p>
      <w:pPr>
        <w:ind w:left="1720" w:hanging="416"/>
        <w:spacing w:after="0"/>
        <w:tabs>
          <w:tab w:leader="none" w:pos="172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As used in this Section 10.20, the following terms have the following meanings: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Entity</w:t>
      </w:r>
      <w:r>
        <w:rPr>
          <w:rFonts w:ascii="Arial" w:cs="Arial" w:eastAsia="Arial" w:hAnsi="Arial"/>
          <w:sz w:val="20"/>
          <w:szCs w:val="20"/>
          <w:color w:val="auto"/>
        </w:rPr>
        <w:t>” means any of the following:</w:t>
      </w:r>
    </w:p>
    <w:p>
      <w:pPr>
        <w:spacing w:after="0" w:line="195" w:lineRule="exact"/>
        <w:rPr>
          <w:sz w:val="20"/>
          <w:szCs w:val="20"/>
          <w:color w:val="auto"/>
        </w:rPr>
      </w:pPr>
    </w:p>
    <w:p>
      <w:pPr>
        <w:ind w:left="2340" w:hanging="388"/>
        <w:spacing w:after="0"/>
        <w:tabs>
          <w:tab w:leader="none" w:pos="234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186" w:lineRule="exact"/>
        <w:rPr>
          <w:rFonts w:ascii="Arial" w:cs="Arial" w:eastAsia="Arial" w:hAnsi="Arial"/>
          <w:sz w:val="19"/>
          <w:szCs w:val="19"/>
          <w:color w:val="auto"/>
        </w:rPr>
      </w:pPr>
    </w:p>
    <w:p>
      <w:pPr>
        <w:ind w:left="2400" w:hanging="448"/>
        <w:spacing w:after="0"/>
        <w:tabs>
          <w:tab w:leader="none" w:pos="240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00" w:lineRule="exact"/>
        <w:rPr>
          <w:rFonts w:ascii="Arial" w:cs="Arial" w:eastAsia="Arial" w:hAnsi="Arial"/>
          <w:sz w:val="19"/>
          <w:szCs w:val="19"/>
          <w:color w:val="auto"/>
        </w:rPr>
      </w:pPr>
    </w:p>
    <w:p>
      <w:pPr>
        <w:ind w:left="2440" w:hanging="488"/>
        <w:spacing w:after="0"/>
        <w:tabs>
          <w:tab w:leader="none" w:pos="244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83" w:lineRule="exact"/>
        <w:rPr>
          <w:sz w:val="20"/>
          <w:szCs w:val="20"/>
          <w:color w:val="auto"/>
        </w:rPr>
      </w:pPr>
    </w:p>
    <w:p>
      <w:pPr>
        <w:ind w:right="18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5390(c)(8)(D).</w:t>
      </w:r>
    </w:p>
    <w:p>
      <w:pPr>
        <w:spacing w:after="0" w:line="14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10.21</w:t>
      </w:r>
      <w:r>
        <w:rPr>
          <w:sz w:val="20"/>
          <w:szCs w:val="20"/>
          <w:color w:val="auto"/>
        </w:rPr>
        <w:tab/>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“execute”, “signed,”</w:t>
      </w:r>
    </w:p>
    <w:p>
      <w:pPr>
        <w:spacing w:after="0" w:line="234" w:lineRule="auto"/>
        <w:rPr>
          <w:sz w:val="20"/>
          <w:szCs w:val="20"/>
          <w:color w:val="auto"/>
        </w:rPr>
      </w:pPr>
      <w:r>
        <w:rPr>
          <w:rFonts w:ascii="Arial" w:cs="Arial" w:eastAsia="Arial" w:hAnsi="Arial"/>
          <w:sz w:val="18"/>
          <w:szCs w:val="18"/>
          <w:color w:val="auto"/>
        </w:rPr>
        <w:t>“signature,” and words of like import in or related to any Loan Document or other document to be signed in connection with this Agreement</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and the transactions contemplated hereby (including without limitation Assignment and Assumptions, amendments or other Borrowing Requests, guaranties, waivers and consents) shall be deemed to include Electronic Signatures, the electronic matching of assignment terms</w:t>
      </w:r>
    </w:p>
    <w:p>
      <w:pPr>
        <w:spacing w:after="0" w:line="235" w:lineRule="auto"/>
        <w:rPr>
          <w:sz w:val="20"/>
          <w:szCs w:val="20"/>
          <w:color w:val="auto"/>
        </w:rPr>
      </w:pPr>
      <w:r>
        <w:rPr>
          <w:rFonts w:ascii="Arial" w:cs="Arial" w:eastAsia="Arial" w:hAnsi="Arial"/>
          <w:sz w:val="18"/>
          <w:szCs w:val="18"/>
          <w:color w:val="auto"/>
        </w:rPr>
        <w:t>and contract formations on electronic platforms approved by the Administrative Agent, or the keeping of records in electronic form, each of</w:t>
      </w:r>
    </w:p>
    <w:p>
      <w:pPr>
        <w:ind w:right="80"/>
        <w:spacing w:after="0" w:line="255" w:lineRule="auto"/>
        <w:rPr>
          <w:sz w:val="20"/>
          <w:szCs w:val="20"/>
          <w:color w:val="auto"/>
        </w:rPr>
      </w:pPr>
      <w:r>
        <w:rPr>
          <w:rFonts w:ascii="Arial" w:cs="Arial" w:eastAsia="Arial" w:hAnsi="Arial"/>
          <w:sz w:val="16"/>
          <w:szCs w:val="16"/>
          <w:color w:val="auto"/>
        </w:rPr>
        <w:t>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w:t>
      </w:r>
    </w:p>
    <w:p>
      <w:pPr>
        <w:spacing w:after="0" w:line="1" w:lineRule="exact"/>
        <w:rPr>
          <w:sz w:val="20"/>
          <w:szCs w:val="20"/>
          <w:color w:val="auto"/>
        </w:rPr>
      </w:pPr>
    </w:p>
    <w:p>
      <w:pPr>
        <w:ind w:right="340"/>
        <w:spacing w:after="0" w:line="227" w:lineRule="auto"/>
        <w:rPr>
          <w:sz w:val="20"/>
          <w:szCs w:val="20"/>
          <w:color w:val="auto"/>
        </w:rPr>
      </w:pPr>
      <w:r>
        <w:rPr>
          <w:rFonts w:ascii="Arial" w:cs="Arial" w:eastAsia="Arial" w:hAnsi="Arial"/>
          <w:sz w:val="20"/>
          <w:szCs w:val="20"/>
          <w:color w:val="auto"/>
        </w:rPr>
        <w:t>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98</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1240"/>
          </w:cols>
          <w:pgMar w:left="320" w:top="1405" w:right="339" w:bottom="1440" w:gutter="0" w:footer="0" w:header="0"/>
        </w:sectPr>
      </w:pPr>
    </w:p>
    <w:bookmarkStart w:id="227" w:name="page228"/>
    <w:bookmarkEnd w:id="227"/>
    <w:p>
      <w:pPr>
        <w:jc w:val="right"/>
        <w:ind w:right="2939"/>
        <w:spacing w:after="0"/>
        <w:rPr>
          <w:sz w:val="20"/>
          <w:szCs w:val="20"/>
          <w:color w:val="auto"/>
        </w:rPr>
      </w:pPr>
      <w:r>
        <w:rPr>
          <w:rFonts w:ascii="Arial" w:cs="Arial" w:eastAsia="Arial" w:hAnsi="Arial"/>
          <w:sz w:val="20"/>
          <w:szCs w:val="20"/>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99</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1534296381v1</w:t>
      </w:r>
      <w:r>
        <w:rPr>
          <w:rFonts w:ascii="Arial" w:cs="Arial" w:eastAsia="Arial" w:hAnsi="Arial"/>
          <w:sz w:val="14"/>
          <w:szCs w:val="14"/>
          <w:u w:val="single" w:color="auto"/>
          <w:color w:val="0000FF"/>
        </w:rPr>
        <w:t>1534296381v7</w:t>
      </w:r>
    </w:p>
    <w:p>
      <w:pPr>
        <w:sectPr>
          <w:pgSz w:w="11900" w:h="16838" w:orient="portrait"/>
          <w:cols w:equalWidth="0" w:num="1">
            <w:col w:w="10119"/>
          </w:cols>
          <w:pgMar w:left="340" w:top="1405" w:right="1440" w:bottom="1440" w:gutter="0" w:footer="0" w:header="0"/>
        </w:sectPr>
      </w:pPr>
    </w:p>
    <w:bookmarkStart w:id="228" w:name="page229"/>
    <w:bookmarkEnd w:id="228"/>
    <w:p>
      <w:pPr>
        <w:jc w:val="center"/>
        <w:ind w:right="-440"/>
        <w:spacing w:after="0"/>
        <w:rPr>
          <w:sz w:val="20"/>
          <w:szCs w:val="20"/>
          <w:color w:val="auto"/>
        </w:rPr>
      </w:pPr>
      <w:r>
        <w:rPr>
          <w:rFonts w:ascii="Arial" w:cs="Arial" w:eastAsia="Arial" w:hAnsi="Arial"/>
          <w:sz w:val="20"/>
          <w:szCs w:val="20"/>
          <w:b w:val="1"/>
          <w:bCs w:val="1"/>
          <w:u w:val="single" w:color="auto"/>
          <w:color w:val="auto"/>
        </w:rPr>
        <w:t>Annex II</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Amended Form of Borrowing Request</w:t>
      </w: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NAI-1534313503v4</w:t>
      </w:r>
    </w:p>
    <w:p>
      <w:pPr>
        <w:sectPr>
          <w:pgSz w:w="11900" w:h="16838" w:orient="portrait"/>
          <w:cols w:equalWidth="0" w:num="1">
            <w:col w:w="10119"/>
          </w:cols>
          <w:pgMar w:left="340" w:top="1399" w:right="1440" w:bottom="1440" w:gutter="0" w:footer="0" w:header="0"/>
        </w:sectPr>
      </w:pPr>
    </w:p>
    <w:bookmarkStart w:id="229" w:name="page230"/>
    <w:bookmarkEnd w:id="229"/>
    <w:p>
      <w:pPr>
        <w:jc w:val="right"/>
        <w:spacing w:after="0"/>
        <w:rPr>
          <w:sz w:val="20"/>
          <w:szCs w:val="20"/>
          <w:color w:val="auto"/>
        </w:rPr>
      </w:pPr>
      <w:r>
        <w:rPr>
          <w:rFonts w:ascii="Arial" w:cs="Arial" w:eastAsia="Arial" w:hAnsi="Arial"/>
          <w:sz w:val="20"/>
          <w:szCs w:val="20"/>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BORROWING REQUEST</w:t>
      </w:r>
    </w:p>
    <w:p>
      <w:pPr>
        <w:spacing w:after="0" w:line="181"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Date: ____________, 20__</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20"/>
          <w:szCs w:val="20"/>
          <w:color w:val="auto"/>
        </w:rPr>
        <w:t>KeyBank National Association,</w:t>
      </w:r>
    </w:p>
    <w:p>
      <w:pPr>
        <w:ind w:left="180"/>
        <w:spacing w:after="0" w:line="197" w:lineRule="auto"/>
        <w:rPr>
          <w:sz w:val="20"/>
          <w:szCs w:val="20"/>
          <w:color w:val="auto"/>
        </w:rPr>
      </w:pPr>
      <w:r>
        <w:rPr>
          <w:rFonts w:ascii="Arial" w:cs="Arial" w:eastAsia="Arial" w:hAnsi="Arial"/>
          <w:sz w:val="20"/>
          <w:szCs w:val="20"/>
          <w:color w:val="auto"/>
        </w:rPr>
        <w:t>as Administrative Agent</w:t>
      </w:r>
    </w:p>
    <w:p>
      <w:pPr>
        <w:ind w:left="80"/>
        <w:spacing w:after="0" w:line="211" w:lineRule="auto"/>
        <w:rPr>
          <w:sz w:val="20"/>
          <w:szCs w:val="20"/>
          <w:color w:val="auto"/>
        </w:rPr>
      </w:pPr>
      <w:r>
        <w:rPr>
          <w:rFonts w:ascii="Arial" w:cs="Arial" w:eastAsia="Arial" w:hAnsi="Arial"/>
          <w:sz w:val="20"/>
          <w:szCs w:val="20"/>
          <w:color w:val="auto"/>
        </w:rPr>
        <w:t>4900 Tiedeman Road</w:t>
      </w:r>
    </w:p>
    <w:p>
      <w:pPr>
        <w:ind w:left="80"/>
        <w:spacing w:after="0" w:line="211" w:lineRule="auto"/>
        <w:rPr>
          <w:sz w:val="20"/>
          <w:szCs w:val="20"/>
          <w:color w:val="auto"/>
        </w:rPr>
      </w:pPr>
      <w:r>
        <w:rPr>
          <w:rFonts w:ascii="Arial" w:cs="Arial" w:eastAsia="Arial" w:hAnsi="Arial"/>
          <w:sz w:val="20"/>
          <w:szCs w:val="20"/>
          <w:color w:val="auto"/>
        </w:rPr>
        <w:t>Brooklyn, Ohio 44144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Attention: Agency Services</w:t>
      </w:r>
    </w:p>
    <w:p>
      <w:pPr>
        <w:spacing w:after="0" w:line="242" w:lineRule="exact"/>
        <w:rPr>
          <w:sz w:val="20"/>
          <w:szCs w:val="20"/>
          <w:color w:val="auto"/>
        </w:rPr>
      </w:pPr>
    </w:p>
    <w:p>
      <w:pPr>
        <w:ind w:left="80"/>
        <w:spacing w:after="0"/>
        <w:rPr>
          <w:sz w:val="20"/>
          <w:szCs w:val="20"/>
          <w:color w:val="auto"/>
        </w:rPr>
      </w:pPr>
      <w:r>
        <w:rPr>
          <w:rFonts w:ascii="Arial" w:cs="Arial" w:eastAsia="Arial" w:hAnsi="Arial"/>
          <w:sz w:val="20"/>
          <w:szCs w:val="20"/>
          <w:color w:val="auto"/>
        </w:rPr>
        <w:t>Each Lender party to the</w:t>
      </w:r>
    </w:p>
    <w:p>
      <w:pPr>
        <w:ind w:left="180"/>
        <w:spacing w:after="0"/>
        <w:rPr>
          <w:sz w:val="20"/>
          <w:szCs w:val="20"/>
          <w:color w:val="auto"/>
        </w:rPr>
      </w:pPr>
      <w:r>
        <w:rPr>
          <w:rFonts w:ascii="Arial" w:cs="Arial" w:eastAsia="Arial" w:hAnsi="Arial"/>
          <w:sz w:val="20"/>
          <w:szCs w:val="20"/>
          <w:color w:val="auto"/>
        </w:rPr>
        <w:t>Credit Agreement referred to below</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Reference is made to that certain Revolving Credit and Term Loan Agreement, dated as of April 1, 2020 (as amended, restated, extended, supplemented or otherwise modified in writing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The Cooper Companies, Inc., a</w:t>
      </w:r>
    </w:p>
    <w:p>
      <w:pPr>
        <w:spacing w:after="0" w:line="226" w:lineRule="auto"/>
        <w:rPr>
          <w:sz w:val="20"/>
          <w:szCs w:val="20"/>
          <w:color w:val="auto"/>
        </w:rPr>
      </w:pPr>
      <w:r>
        <w:rPr>
          <w:rFonts w:ascii="Arial" w:cs="Arial" w:eastAsia="Arial" w:hAnsi="Arial"/>
          <w:sz w:val="18"/>
          <w:szCs w:val="18"/>
          <w:color w:val="auto"/>
        </w:rPr>
        <w:t>Delaware corporation, CooperVision International Limited, a private limited company registered in England and Wales with company registration number 12210296, CooperSurgical Holdings Limited, a private limited company registered in England and Wales with company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registration number 09877160, the Lenders from time to time party thereto and KeyBank National Association, as administrative agent for the Lenders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Capitalized terms used herein and not otherwise defined herein shall have the meanings assigned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to them in the Credit Agreement.</w:t>
      </w:r>
    </w:p>
    <w:p>
      <w:pPr>
        <w:spacing w:after="0" w:line="173" w:lineRule="exact"/>
        <w:rPr>
          <w:sz w:val="20"/>
          <w:szCs w:val="20"/>
          <w:color w:val="auto"/>
        </w:rPr>
      </w:pPr>
    </w:p>
    <w:p>
      <w:pPr>
        <w:ind w:right="260" w:firstLine="648"/>
        <w:spacing w:after="0" w:line="229" w:lineRule="auto"/>
        <w:rPr>
          <w:sz w:val="20"/>
          <w:szCs w:val="20"/>
          <w:color w:val="auto"/>
        </w:rPr>
      </w:pPr>
      <w:r>
        <w:rPr>
          <w:rFonts w:ascii="Arial" w:cs="Arial" w:eastAsia="Arial" w:hAnsi="Arial"/>
          <w:sz w:val="20"/>
          <w:szCs w:val="20"/>
          <w:color w:val="auto"/>
        </w:rPr>
        <w:t>[The Cooper Companies, Inc.] [CooperVision International Limited] [CooperSurgical Holdings Limited]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xml:space="preserve">”) hereby requests a Borrowing under the Credit Agreement as described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hereto.</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The Borrower hereby certifies to the Administrative Agent and the Lenders that as of the date hereof and as of the date of the making of the requested Borrowing and after giving effect thereto:</w:t>
      </w:r>
    </w:p>
    <w:p>
      <w:pPr>
        <w:spacing w:after="0" w:line="155" w:lineRule="exact"/>
        <w:rPr>
          <w:sz w:val="20"/>
          <w:szCs w:val="20"/>
          <w:color w:val="auto"/>
        </w:rPr>
      </w:pPr>
    </w:p>
    <w:p>
      <w:pPr>
        <w:jc w:val="both"/>
        <w:ind w:firstLine="1304"/>
        <w:spacing w:after="0" w:line="246" w:lineRule="auto"/>
        <w:tabs>
          <w:tab w:leader="none" w:pos="173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the Credit Agreement are and shall be true and correct in all material respects (or in all respects if such representation or warranty is qualified by Material Adverse Effect or other materiality qualifier) on and as of the date of such Borrowing (except to the extent that any such representation and warranty expressly relates to an earlier date, in which case such representation and warranty is true and correct in all material respects as of such earlier date); and</w:t>
      </w:r>
    </w:p>
    <w:p>
      <w:pPr>
        <w:spacing w:after="0" w:line="163" w:lineRule="exact"/>
        <w:rPr>
          <w:rFonts w:ascii="Arial" w:cs="Arial" w:eastAsia="Arial" w:hAnsi="Arial"/>
          <w:sz w:val="18"/>
          <w:szCs w:val="18"/>
          <w:color w:val="auto"/>
        </w:rPr>
      </w:pPr>
    </w:p>
    <w:p>
      <w:pPr>
        <w:ind w:left="1740" w:hanging="436"/>
        <w:spacing w:after="0"/>
        <w:tabs>
          <w:tab w:leader="none" w:pos="174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If notice of the requested Borrowing was previously given by telephone, this notice is to be considered the written confirmation of such telephone notice required by Section 2.03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US-DOCS\114479041.3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NAI-1534313443v2</w:t>
      </w:r>
    </w:p>
    <w:p>
      <w:pPr>
        <w:sectPr>
          <w:pgSz w:w="11900" w:h="16838" w:orient="portrait"/>
          <w:cols w:equalWidth="0" w:num="1">
            <w:col w:w="11240"/>
          </w:cols>
          <w:pgMar w:left="320" w:top="352" w:right="339" w:bottom="1440" w:gutter="0" w:footer="0" w:header="0"/>
        </w:sectPr>
      </w:pPr>
    </w:p>
    <w:bookmarkStart w:id="230" w:name="page231"/>
    <w:bookmarkEnd w:id="230"/>
    <w:p>
      <w:pPr>
        <w:spacing w:after="0" w:line="38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COOPER COMPANIES, INC.]</w:t>
      </w:r>
    </w:p>
    <w:p>
      <w:pPr>
        <w:ind w:left="3900"/>
        <w:spacing w:after="0" w:line="211" w:lineRule="auto"/>
        <w:rPr>
          <w:sz w:val="20"/>
          <w:szCs w:val="20"/>
          <w:color w:val="auto"/>
        </w:rPr>
      </w:pPr>
      <w:r>
        <w:rPr>
          <w:rFonts w:ascii="Arial" w:cs="Arial" w:eastAsia="Arial" w:hAnsi="Arial"/>
          <w:sz w:val="20"/>
          <w:szCs w:val="20"/>
          <w:b w:val="1"/>
          <w:bCs w:val="1"/>
          <w:color w:val="auto"/>
        </w:rPr>
        <w:t>[COOPERVISION INTERNATIONAL LIMITED]</w:t>
      </w:r>
    </w:p>
    <w:p>
      <w:pPr>
        <w:ind w:left="3900"/>
        <w:spacing w:after="0"/>
        <w:rPr>
          <w:sz w:val="20"/>
          <w:szCs w:val="20"/>
          <w:color w:val="auto"/>
        </w:rPr>
      </w:pPr>
      <w:r>
        <w:rPr>
          <w:rFonts w:ascii="Arial" w:cs="Arial" w:eastAsia="Arial" w:hAnsi="Arial"/>
          <w:sz w:val="20"/>
          <w:szCs w:val="20"/>
          <w:b w:val="1"/>
          <w:bCs w:val="1"/>
          <w:color w:val="auto"/>
        </w:rPr>
        <w:t>[COOPERSURGICAL HOLDINGS LIMITED]</w:t>
      </w:r>
    </w:p>
    <w:p>
      <w:pPr>
        <w:spacing w:after="0" w:line="12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-127000</wp:posOffset>
            </wp:positionV>
            <wp:extent cx="2514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US-DOCS\114479041.3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NAI-1534313443v2</w:t>
      </w:r>
    </w:p>
    <w:p>
      <w:pPr>
        <w:sectPr>
          <w:pgSz w:w="11900" w:h="16838" w:orient="portrait"/>
          <w:cols w:equalWidth="0" w:num="1">
            <w:col w:w="10139"/>
          </w:cols>
          <w:pgMar w:left="320" w:top="1440" w:right="1440" w:bottom="1440" w:gutter="0" w:footer="0" w:header="0"/>
        </w:sectPr>
      </w:pPr>
    </w:p>
    <w:bookmarkStart w:id="231" w:name="page232"/>
    <w:bookmarkEnd w:id="231"/>
    <w:p>
      <w:pPr>
        <w:ind w:left="10600"/>
        <w:spacing w:after="0"/>
        <w:rPr>
          <w:sz w:val="20"/>
          <w:szCs w:val="20"/>
          <w:color w:val="auto"/>
        </w:rPr>
      </w:pPr>
      <w:r>
        <w:rPr>
          <w:rFonts w:ascii="Arial" w:cs="Arial" w:eastAsia="Arial" w:hAnsi="Arial"/>
          <w:sz w:val="18"/>
          <w:szCs w:val="18"/>
          <w:color w:val="auto"/>
        </w:rPr>
        <w:t>Annex I</w:t>
      </w:r>
    </w:p>
    <w:p>
      <w:pPr>
        <w:ind w:left="11080"/>
        <w:spacing w:after="0" w:line="220" w:lineRule="auto"/>
        <w:rPr>
          <w:sz w:val="20"/>
          <w:szCs w:val="20"/>
          <w:color w:val="auto"/>
        </w:rPr>
      </w:pPr>
      <w:r>
        <w:rPr>
          <w:rFonts w:ascii="Arial" w:cs="Arial" w:eastAsia="Arial" w:hAnsi="Arial"/>
          <w:sz w:val="19"/>
          <w:szCs w:val="19"/>
          <w:color w:val="auto"/>
        </w:rPr>
        <w:t>to</w:t>
      </w:r>
    </w:p>
    <w:p>
      <w:pPr>
        <w:ind w:left="9700"/>
        <w:spacing w:after="0" w:line="235" w:lineRule="auto"/>
        <w:rPr>
          <w:sz w:val="20"/>
          <w:szCs w:val="20"/>
          <w:color w:val="auto"/>
        </w:rPr>
      </w:pPr>
      <w:r>
        <w:rPr>
          <w:rFonts w:ascii="Arial" w:cs="Arial" w:eastAsia="Arial" w:hAnsi="Arial"/>
          <w:sz w:val="18"/>
          <w:szCs w:val="18"/>
          <w:color w:val="auto"/>
        </w:rPr>
        <w:t>Borrowing Request</w:t>
      </w:r>
    </w:p>
    <w:p>
      <w:pPr>
        <w:ind w:left="3520"/>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246" w:lineRule="exact"/>
        <w:rPr>
          <w:sz w:val="20"/>
          <w:szCs w:val="20"/>
          <w:color w:val="auto"/>
        </w:rPr>
      </w:pPr>
    </w:p>
    <w:p>
      <w:pPr>
        <w:ind w:left="360" w:hanging="352"/>
        <w:spacing w:after="0"/>
        <w:tabs>
          <w:tab w:leader="none" w:pos="3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Business Day of the proposed Borrowing is [________________].</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class of Loan[s] comprising the proposed Borrowing [is a][are] [Term Loan[s]] [Revolving Loan[s]].</w:t>
      </w:r>
    </w:p>
    <w:p>
      <w:pPr>
        <w:spacing w:after="0" w:line="188" w:lineRule="exact"/>
        <w:rPr>
          <w:rFonts w:ascii="Arial" w:cs="Arial" w:eastAsia="Arial" w:hAnsi="Arial"/>
          <w:sz w:val="20"/>
          <w:szCs w:val="20"/>
          <w:color w:val="auto"/>
        </w:rPr>
      </w:pPr>
    </w:p>
    <w:p>
      <w:pPr>
        <w:ind w:left="400" w:hanging="392"/>
        <w:spacing w:after="0"/>
        <w:tabs>
          <w:tab w:leader="none" w:pos="4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Type of Loan[s] comprising the proposed Borrowing [is a][are] [ABR Loan[s]] [Term SOFR Loan[s]] [Foreign Currency Loan[s]].</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aggregate amount of [the] [each] Loan is [as follows]:</w:t>
      </w:r>
    </w:p>
    <w:p>
      <w:pPr>
        <w:spacing w:after="0" w:line="175" w:lineRule="exact"/>
        <w:rPr>
          <w:rFonts w:ascii="Arial" w:cs="Arial" w:eastAsia="Arial" w:hAnsi="Arial"/>
          <w:sz w:val="20"/>
          <w:szCs w:val="20"/>
          <w:color w:val="auto"/>
        </w:rPr>
      </w:pPr>
    </w:p>
    <w:p>
      <w:pPr>
        <w:ind w:left="1720" w:hanging="416"/>
        <w:spacing w:after="0"/>
        <w:tabs>
          <w:tab w:leader="none" w:pos="1720" w:val="left"/>
        </w:tabs>
        <w:numPr>
          <w:ilvl w:val="1"/>
          <w:numId w:val="255"/>
        </w:numPr>
        <w:rPr>
          <w:rFonts w:ascii="Arial" w:cs="Arial" w:eastAsia="Arial" w:hAnsi="Arial"/>
          <w:sz w:val="20"/>
          <w:szCs w:val="20"/>
          <w:color w:val="auto"/>
        </w:rPr>
      </w:pPr>
      <w:r>
        <w:rPr>
          <w:rFonts w:ascii="Arial" w:cs="Arial" w:eastAsia="Arial" w:hAnsi="Arial"/>
          <w:sz w:val="20"/>
          <w:szCs w:val="20"/>
          <w:color w:val="auto"/>
        </w:rPr>
        <w:t>[Term Loans]</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[Term SOFR Loan: $___________, with an initial Interest Period of [___] month[s].]</w:t>
      </w:r>
    </w:p>
    <w:p>
      <w:pPr>
        <w:spacing w:after="0" w:line="18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[Revolving Loans]</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[ABR Loan: $___________.]</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[Term SOFR Loan: $___________, with an initial Interest Period of [___] month[s].]</w:t>
      </w:r>
    </w:p>
    <w:p>
      <w:pPr>
        <w:spacing w:after="0" w:line="189" w:lineRule="exact"/>
        <w:rPr>
          <w:sz w:val="20"/>
          <w:szCs w:val="20"/>
          <w:color w:val="auto"/>
        </w:rPr>
      </w:pPr>
    </w:p>
    <w:p>
      <w:pPr>
        <w:ind w:left="1500"/>
        <w:spacing w:after="0"/>
        <w:tabs>
          <w:tab w:leader="none" w:pos="7820" w:val="left"/>
        </w:tabs>
        <w:rPr>
          <w:sz w:val="20"/>
          <w:szCs w:val="20"/>
          <w:color w:val="auto"/>
        </w:rPr>
      </w:pPr>
      <w:r>
        <w:rPr>
          <w:rFonts w:ascii="Arial" w:cs="Arial" w:eastAsia="Arial" w:hAnsi="Arial"/>
          <w:sz w:val="20"/>
          <w:szCs w:val="20"/>
          <w:color w:val="auto"/>
        </w:rPr>
        <w:t>[Foreign Currency Loan: $___________[.][, with an initial Interest Period of</w:t>
      </w:r>
      <w:r>
        <w:rPr>
          <w:sz w:val="20"/>
          <w:szCs w:val="20"/>
          <w:color w:val="auto"/>
        </w:rPr>
        <w:tab/>
      </w:r>
      <w:r>
        <w:rPr>
          <w:rFonts w:ascii="Arial" w:cs="Arial" w:eastAsia="Arial" w:hAnsi="Arial"/>
          <w:sz w:val="18"/>
          <w:szCs w:val="18"/>
          <w:color w:val="auto"/>
        </w:rPr>
        <w:t>[___] month[s].]]</w:t>
      </w:r>
    </w:p>
    <w:p>
      <w:pPr>
        <w:spacing w:after="0" w:line="189" w:lineRule="exact"/>
        <w:rPr>
          <w:sz w:val="20"/>
          <w:szCs w:val="20"/>
          <w:color w:val="auto"/>
        </w:rPr>
      </w:pPr>
    </w:p>
    <w:p>
      <w:pPr>
        <w:ind w:left="360" w:hanging="352"/>
        <w:spacing w:after="0"/>
        <w:tabs>
          <w:tab w:leader="none" w:pos="36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Designated Foreign Currency for the Foreign Currency Loan[s] is ___________.]</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location and number of the Borrower’s account to which funds are to be disbursed is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US-DOCS\114479041.3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NAI-1534313443v2</w:t>
      </w:r>
    </w:p>
    <w:p>
      <w:pPr>
        <w:sectPr>
          <w:pgSz w:w="11900" w:h="16838" w:orient="portrait"/>
          <w:cols w:equalWidth="0" w:num="1">
            <w:col w:w="11240"/>
          </w:cols>
          <w:pgMar w:left="320" w:top="1432"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3, 2023</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3, 2023</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29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January 31, 2023,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March 3,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January 31, 2023,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March 3,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
      <w:numFmt w:val="bullet"/>
      <w:start w:val="1"/>
    </w:lvl>
  </w:abstractNum>
  <w:abstractNum w:abstractNumId="2">
    <w:nsid w:val="5399C654"/>
    <w:multiLevelType w:val="hybridMultilevel"/>
    <w:lvl w:ilvl="0">
      <w:lvlJc w:val="left"/>
      <w:lvlText w:val="•"/>
      <w:numFmt w:val="bullet"/>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1."/>
      <w:numFmt w:val="upperLetter"/>
      <w:start w:val="1"/>
    </w:lvl>
  </w:abstractNum>
  <w:abstractNum w:abstractNumId="5">
    <w:nsid w:val="B37E80A"/>
    <w:multiLevelType w:val="hybridMultilevel"/>
    <w:lvl w:ilvl="0">
      <w:lvlJc w:val="left"/>
      <w:lvlText w:val="(%1)"/>
      <w:numFmt w:val="lowerLetter"/>
      <w:start w:val="1"/>
    </w:lvl>
  </w:abstractNum>
  <w:abstractNum w:abstractNumId="6">
    <w:nsid w:val="2157F6BC"/>
    <w:multiLevelType w:val="hybridMultilevel"/>
    <w:lvl w:ilvl="0">
      <w:lvlJc w:val="left"/>
      <w:lvlText w:val="(%1)"/>
      <w:numFmt w:val="lowerLetter"/>
      <w:start w:val="1"/>
    </w:lvl>
  </w:abstractNum>
  <w:abstractNum w:abstractNumId="7">
    <w:nsid w:val="704E1DD5"/>
    <w:multiLevelType w:val="hybridMultilevel"/>
    <w:lvl w:ilvl="0">
      <w:lvlJc w:val="left"/>
      <w:lvlText w:val="(%1)"/>
      <w:numFmt w:val="lowerLetter"/>
      <w:start w:val="1"/>
    </w:lvl>
  </w:abstractNum>
  <w:abstractNum w:abstractNumId="8">
    <w:nsid w:val="57D2F10E"/>
    <w:multiLevelType w:val="hybridMultilevel"/>
    <w:lvl w:ilvl="0">
      <w:lvlJc w:val="left"/>
      <w:lvlText w:val="(%1)"/>
      <w:numFmt w:val="lowerLetter"/>
      <w:start w:val="1"/>
    </w:lvl>
  </w:abstractNum>
  <w:abstractNum w:abstractNumId="9">
    <w:nsid w:val="BFFAE18"/>
    <w:multiLevelType w:val="hybridMultilevel"/>
    <w:lvl w:ilvl="0">
      <w:lvlJc w:val="left"/>
      <w:lvlText w:val="&amp;"/>
      <w:numFmt w:val="bullet"/>
      <w:start w:val="1"/>
    </w:lvl>
  </w:abstractNum>
  <w:abstractNum w:abstractNumId="10">
    <w:nsid w:val="E3E47A8"/>
    <w:multiLevelType w:val="hybridMultilevel"/>
    <w:lvl w:ilvl="0">
      <w:lvlJc w:val="left"/>
      <w:lvlText w:val="(%1)"/>
      <w:numFmt w:val="lowerRoman"/>
      <w:start w:val="1"/>
    </w:lvl>
  </w:abstractNum>
  <w:abstractNum w:abstractNumId="11">
    <w:nsid w:val="2E48F044"/>
    <w:multiLevelType w:val="hybridMultilevel"/>
    <w:lvl w:ilvl="0">
      <w:lvlJc w:val="left"/>
      <w:lvlText w:val="(%1)"/>
      <w:numFmt w:val="upperLetter"/>
      <w:start w:val="3"/>
    </w:lvl>
  </w:abstractNum>
  <w:abstractNum w:abstractNumId="12">
    <w:nsid w:val="49D0FEAC"/>
    <w:multiLevelType w:val="hybridMultilevel"/>
    <w:lvl w:ilvl="0">
      <w:lvlJc w:val="left"/>
      <w:lvlText w:val="(%1)"/>
      <w:numFmt w:val="lowerLetter"/>
      <w:start w:val="2"/>
    </w:lvl>
  </w:abstractNum>
  <w:abstractNum w:abstractNumId="13">
    <w:nsid w:val="4BEE5A5B"/>
    <w:multiLevelType w:val="hybridMultilevel"/>
    <w:lvl w:ilvl="0">
      <w:lvlJc w:val="left"/>
      <w:lvlText w:val="(%1)"/>
      <w:numFmt w:val="lowerRoman"/>
      <w:start w:val="4"/>
    </w:lvl>
  </w:abstractNum>
  <w:abstractNum w:abstractNumId="14">
    <w:nsid w:val="5551B9F3"/>
    <w:multiLevelType w:val="hybridMultilevel"/>
    <w:lvl w:ilvl="0">
      <w:lvlJc w:val="left"/>
      <w:lvlText w:val="(%1)"/>
      <w:numFmt w:val="lowerLetter"/>
      <w:start w:val="2"/>
    </w:lvl>
  </w:abstractNum>
  <w:abstractNum w:abstractNumId="15">
    <w:nsid w:val="24F6AB8E"/>
    <w:multiLevelType w:val="hybridMultilevel"/>
    <w:lvl w:ilvl="0">
      <w:lvlJc w:val="left"/>
      <w:lvlText w:val="(%1)"/>
      <w:numFmt w:val="lowerRoman"/>
      <w:start w:val="1"/>
    </w:lvl>
  </w:abstractNum>
  <w:abstractNum w:abstractNumId="16">
    <w:nsid w:val="634C574C"/>
    <w:multiLevelType w:val="hybridMultilevel"/>
    <w:lvl w:ilvl="0">
      <w:lvlJc w:val="left"/>
      <w:lvlText w:val="(%1)"/>
      <w:numFmt w:val="lowerLetter"/>
      <w:start w:val="2"/>
    </w:lvl>
  </w:abstractNum>
  <w:abstractNum w:abstractNumId="17">
    <w:nsid w:val="24E99DD7"/>
    <w:multiLevelType w:val="hybridMultilevel"/>
    <w:lvl w:ilvl="0">
      <w:lvlJc w:val="left"/>
      <w:lvlText w:val="(%1)"/>
      <w:numFmt w:val="lowerLetter"/>
      <w:start w:val="1"/>
    </w:lvl>
  </w:abstractNum>
  <w:abstractNum w:abstractNumId="18">
    <w:nsid w:val="2A31B62D"/>
    <w:multiLevelType w:val="hybridMultilevel"/>
    <w:lvl w:ilvl="0">
      <w:lvlJc w:val="left"/>
      <w:lvlText w:val="(%1)"/>
      <w:numFmt w:val="lowerRoman"/>
      <w:start w:val="3"/>
    </w:lvl>
  </w:abstractNum>
  <w:abstractNum w:abstractNumId="19">
    <w:nsid w:val="1849C29B"/>
    <w:multiLevelType w:val="hybridMultilevel"/>
    <w:lvl w:ilvl="0">
      <w:lvlJc w:val="left"/>
      <w:lvlText w:val="."/>
      <w:numFmt w:val="bullet"/>
      <w:start w:val="1"/>
    </w:lvl>
  </w:abstractNum>
  <w:abstractNum w:abstractNumId="20">
    <w:nsid w:val="7DFF9D09"/>
    <w:multiLevelType w:val="hybridMultilevel"/>
    <w:lvl w:ilvl="0">
      <w:lvlJc w:val="left"/>
      <w:lvlText w:val="(%1)"/>
      <w:numFmt w:val="lowerLetter"/>
      <w:start w:val="2"/>
    </w:lvl>
  </w:abstractNum>
  <w:abstractNum w:abstractNumId="21">
    <w:nsid w:val="754342"/>
    <w:multiLevelType w:val="hybridMultilevel"/>
    <w:lvl w:ilvl="0">
      <w:lvlJc w:val="left"/>
      <w:lvlText w:val="(%1)"/>
      <w:numFmt w:val="lowerRoman"/>
      <w:start w:val="1"/>
    </w:lvl>
  </w:abstractNum>
  <w:abstractNum w:abstractNumId="22">
    <w:nsid w:val="69E7F3E5"/>
    <w:multiLevelType w:val="hybridMultilevel"/>
    <w:lvl w:ilvl="0">
      <w:lvlJc w:val="left"/>
      <w:lvlText w:val="(%1)"/>
      <w:numFmt w:val="lowerRoman"/>
      <w:start w:val="4"/>
    </w:lvl>
  </w:abstractNum>
  <w:abstractNum w:abstractNumId="23">
    <w:nsid w:val="2A6DE806"/>
    <w:multiLevelType w:val="hybridMultilevel"/>
    <w:lvl w:ilvl="0">
      <w:lvlJc w:val="left"/>
      <w:lvlText w:val="%1"/>
      <w:numFmt w:val="lowerLetter"/>
      <w:start w:val="1"/>
    </w:lvl>
    <w:lvl w:ilvl="1">
      <w:lvlJc w:val="left"/>
      <w:lvlText w:val="(%2)"/>
      <w:numFmt w:val="lowerLetter"/>
      <w:start w:val="1"/>
    </w:lvl>
  </w:abstractNum>
  <w:abstractNum w:abstractNumId="24">
    <w:nsid w:val="1816F8C4"/>
    <w:multiLevelType w:val="hybridMultilevel"/>
    <w:lvl w:ilvl="0">
      <w:lvlJc w:val="left"/>
      <w:lvlText w:val="(%1)"/>
      <w:numFmt w:val="lowerLetter"/>
      <w:start w:val="25"/>
    </w:lvl>
    <w:lvl w:ilvl="1">
      <w:lvlJc w:val="left"/>
      <w:lvlText w:val="%2"/>
      <w:numFmt w:val="lowerLetter"/>
      <w:start w:val="1"/>
    </w:lvl>
  </w:abstractNum>
  <w:abstractNum w:abstractNumId="25">
    <w:nsid w:val="37DF2233"/>
    <w:multiLevelType w:val="hybridMultilevel"/>
    <w:lvl w:ilvl="0">
      <w:lvlJc w:val="left"/>
      <w:lvlText w:val="(%1)"/>
      <w:numFmt w:val="lowerLetter"/>
      <w:start w:val="4"/>
    </w:lvl>
  </w:abstractNum>
  <w:abstractNum w:abstractNumId="26">
    <w:nsid w:val="7AB49DAF"/>
    <w:multiLevelType w:val="hybridMultilevel"/>
    <w:lvl w:ilvl="0">
      <w:lvlJc w:val="left"/>
      <w:lvlText w:val="(%1)"/>
      <w:numFmt w:val="lowerRoman"/>
      <w:start w:val="1"/>
    </w:lvl>
  </w:abstractNum>
  <w:abstractNum w:abstractNumId="27">
    <w:nsid w:val="759F82CD"/>
    <w:multiLevelType w:val="hybridMultilevel"/>
    <w:lvl w:ilvl="0">
      <w:lvlJc w:val="left"/>
      <w:lvlText w:val="(%1)"/>
      <w:numFmt w:val="lowerLetter"/>
      <w:start w:val="2"/>
    </w:lvl>
  </w:abstractNum>
  <w:abstractNum w:abstractNumId="28">
    <w:nsid w:val="61E74EA3"/>
    <w:multiLevelType w:val="hybridMultilevel"/>
    <w:lvl w:ilvl="0">
      <w:lvlJc w:val="left"/>
      <w:lvlText w:val="(%1)"/>
      <w:numFmt w:val="lowerLetter"/>
      <w:start w:val="4"/>
    </w:lvl>
  </w:abstractNum>
  <w:abstractNum w:abstractNumId="29">
    <w:nsid w:val="597B4D84"/>
    <w:multiLevelType w:val="hybridMultilevel"/>
    <w:lvl w:ilvl="0">
      <w:lvlJc w:val="left"/>
      <w:lvlText w:val="(%1)"/>
      <w:numFmt w:val="lowerLetter"/>
      <w:start w:val="2"/>
    </w:lvl>
  </w:abstractNum>
  <w:abstractNum w:abstractNumId="30">
    <w:nsid w:val="F819E7F"/>
    <w:multiLevelType w:val="hybridMultilevel"/>
    <w:lvl w:ilvl="0">
      <w:lvlJc w:val="left"/>
      <w:lvlText w:val="(%1)"/>
      <w:numFmt w:val="lowerLetter"/>
      <w:start w:val="2"/>
    </w:lvl>
  </w:abstractNum>
  <w:abstractNum w:abstractNumId="31">
    <w:nsid w:val="57C7D42D"/>
    <w:multiLevelType w:val="hybridMultilevel"/>
    <w:lvl w:ilvl="0">
      <w:lvlJc w:val="left"/>
      <w:lvlText w:val="%1"/>
      <w:numFmt w:val="lowerLetter"/>
      <w:start w:val="1"/>
    </w:lvl>
    <w:lvl w:ilvl="1">
      <w:lvlJc w:val="left"/>
      <w:lvlText w:val="(%2)"/>
      <w:numFmt w:val="lowerLetter"/>
      <w:start w:val="4"/>
    </w:lvl>
  </w:abstractNum>
  <w:abstractNum w:abstractNumId="32">
    <w:nsid w:val="312167AD"/>
    <w:multiLevelType w:val="hybridMultilevel"/>
    <w:lvl w:ilvl="0">
      <w:lvlJc w:val="left"/>
      <w:lvlText w:val="(%1)"/>
      <w:numFmt w:val="lowerLetter"/>
      <w:start w:val="9"/>
    </w:lvl>
    <w:lvl w:ilvl="1">
      <w:lvlJc w:val="left"/>
      <w:lvlText w:val="%2"/>
      <w:numFmt w:val="lowerLetter"/>
      <w:start w:val="1"/>
    </w:lvl>
  </w:abstractNum>
  <w:abstractNum w:abstractNumId="33">
    <w:nsid w:val="631B64D4"/>
    <w:multiLevelType w:val="hybridMultilevel"/>
    <w:lvl w:ilvl="0">
      <w:lvlJc w:val="left"/>
      <w:lvlText w:val="(%1)"/>
      <w:numFmt w:val="lowerLetter"/>
      <w:start w:val="61"/>
    </w:lvl>
    <w:lvl w:ilvl="1">
      <w:lvlJc w:val="left"/>
      <w:lvlText w:val="(%2)"/>
      <w:numFmt w:val="lowerLetter"/>
      <w:start w:val="5"/>
    </w:lvl>
  </w:abstractNum>
  <w:abstractNum w:abstractNumId="34">
    <w:nsid w:val="78B5E776"/>
    <w:multiLevelType w:val="hybridMultilevel"/>
    <w:lvl w:ilvl="0">
      <w:lvlJc w:val="left"/>
      <w:lvlText w:val="(%1)"/>
      <w:numFmt w:val="lowerLetter"/>
      <w:start w:val="2"/>
    </w:lvl>
  </w:abstractNum>
  <w:abstractNum w:abstractNumId="35">
    <w:nsid w:val="75486E47"/>
    <w:multiLevelType w:val="hybridMultilevel"/>
    <w:lvl w:ilvl="0">
      <w:lvlJc w:val="left"/>
      <w:lvlText w:val="(%1)"/>
      <w:numFmt w:val="lowerRoman"/>
      <w:start w:val="2"/>
    </w:lvl>
  </w:abstractNum>
  <w:abstractNum w:abstractNumId="36">
    <w:nsid w:val="6E534CD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7">
    <w:nsid w:val="1A0DDE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
    <w:nsid w:val="65968C1C"/>
    <w:multiLevelType w:val="hybridMultilevel"/>
    <w:lvl w:ilvl="0">
      <w:lvlJc w:val="left"/>
      <w:lvlText w:val="%1"/>
      <w:numFmt w:val="lowerLetter"/>
      <w:start w:val="1"/>
    </w:lvl>
    <w:lvl w:ilvl="1">
      <w:lvlJc w:val="left"/>
      <w:lvlText w:val="(%2)"/>
      <w:numFmt w:val="decimal"/>
      <w:start w:val="1"/>
    </w:lvl>
  </w:abstractNum>
  <w:abstractNum w:abstractNumId="39">
    <w:nsid w:val="46263DEC"/>
    <w:multiLevelType w:val="hybridMultilevel"/>
    <w:lvl w:ilvl="0">
      <w:lvlJc w:val="left"/>
      <w:lvlText w:val="(%1)"/>
      <w:numFmt w:val="lowerLetter"/>
      <w:start w:val="2"/>
    </w:lvl>
    <w:lvl w:ilvl="1">
      <w:lvlJc w:val="left"/>
      <w:lvlText w:val="%2"/>
      <w:numFmt w:val="decimal"/>
      <w:start w:val="1"/>
    </w:lvl>
  </w:abstractNum>
  <w:abstractNum w:abstractNumId="40">
    <w:nsid w:val="260D8C4A"/>
    <w:multiLevelType w:val="hybridMultilevel"/>
    <w:lvl w:ilvl="0">
      <w:lvlJc w:val="left"/>
      <w:lvlText w:val="(%1)"/>
      <w:numFmt w:val="lowerLetter"/>
      <w:start w:val="2"/>
    </w:lvl>
  </w:abstractNum>
  <w:abstractNum w:abstractNumId="41">
    <w:nsid w:val="73D4D3C4"/>
    <w:multiLevelType w:val="hybridMultilevel"/>
    <w:lvl w:ilvl="0">
      <w:lvlJc w:val="left"/>
      <w:lvlText w:val="(%1)"/>
      <w:numFmt w:val="lowerLetter"/>
      <w:start w:val="2"/>
    </w:lvl>
  </w:abstractNum>
  <w:abstractNum w:abstractNumId="42">
    <w:nsid w:val="746F2E30"/>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43">
    <w:nsid w:val="6FDE8AF6"/>
    <w:multiLevelType w:val="hybridMultilevel"/>
    <w:lvl w:ilvl="0">
      <w:lvlJc w:val="left"/>
      <w:lvlText w:val="%1"/>
      <w:numFmt w:val="upperLetter"/>
      <w:start w:val="1"/>
    </w:lvl>
    <w:lvl w:ilvl="1">
      <w:lvlJc w:val="left"/>
      <w:lvlText w:val="(%2)"/>
      <w:numFmt w:val="decimal"/>
      <w:start w:val="2"/>
    </w:lvl>
  </w:abstractNum>
  <w:abstractNum w:abstractNumId="44">
    <w:nsid w:val="3FC32E20"/>
    <w:multiLevelType w:val="hybridMultilevel"/>
    <w:lvl w:ilvl="0">
      <w:lvlJc w:val="left"/>
      <w:lvlText w:val="(%1)"/>
      <w:numFmt w:val="upperLetter"/>
      <w:start w:val="3"/>
    </w:lvl>
    <w:lvl w:ilvl="1">
      <w:lvlJc w:val="left"/>
      <w:lvlText w:val="%2"/>
      <w:numFmt w:val="decimal"/>
      <w:start w:val="1"/>
    </w:lvl>
  </w:abstractNum>
  <w:abstractNum w:abstractNumId="45">
    <w:nsid w:val="49C0E823"/>
    <w:multiLevelType w:val="hybridMultilevel"/>
    <w:lvl w:ilvl="0">
      <w:lvlJc w:val="left"/>
      <w:lvlText w:val="(%1)"/>
      <w:numFmt w:val="lowerLetter"/>
      <w:start w:val="7"/>
    </w:lvl>
  </w:abstractNum>
  <w:abstractNum w:abstractNumId="46">
    <w:nsid w:val="14D53685"/>
    <w:multiLevelType w:val="hybridMultilevel"/>
    <w:lvl w:ilvl="0">
      <w:lvlJc w:val="left"/>
      <w:lvlText w:val="(%1)"/>
      <w:numFmt w:val="lowerLetter"/>
      <w:start w:val="2"/>
    </w:lvl>
  </w:abstractNum>
  <w:abstractNum w:abstractNumId="47">
    <w:nsid w:val="230F856C"/>
    <w:multiLevelType w:val="hybridMultilevel"/>
    <w:lvl w:ilvl="0">
      <w:lvlJc w:val="left"/>
      <w:lvlText w:val="(%1)"/>
      <w:numFmt w:val="lowerLetter"/>
      <w:start w:val="4"/>
    </w:lvl>
  </w:abstractNum>
  <w:abstractNum w:abstractNumId="48">
    <w:nsid w:val="6EAA85FB"/>
    <w:multiLevelType w:val="hybridMultilevel"/>
    <w:lvl w:ilvl="0">
      <w:lvlJc w:val="left"/>
      <w:lvlText w:val="(%1)"/>
      <w:numFmt w:val="lowerLetter"/>
      <w:start w:val="2"/>
    </w:lvl>
  </w:abstractNum>
  <w:abstractNum w:abstractNumId="49">
    <w:nsid w:val="3F06ECB2"/>
    <w:multiLevelType w:val="hybridMultilevel"/>
    <w:lvl w:ilvl="0">
      <w:lvlJc w:val="left"/>
      <w:lvlText w:val="(%1)"/>
      <w:numFmt w:val="lowerLetter"/>
      <w:start w:val="1"/>
    </w:lvl>
    <w:lvl w:ilvl="1">
      <w:lvlJc w:val="left"/>
      <w:lvlText w:val="(%2)"/>
      <w:numFmt w:val="lowerRoman"/>
      <w:start w:val="1"/>
    </w:lvl>
  </w:abstractNum>
  <w:abstractNum w:abstractNumId="50">
    <w:nsid w:val="3B594807"/>
    <w:multiLevelType w:val="hybridMultilevel"/>
    <w:lvl w:ilvl="0">
      <w:lvlJc w:val="left"/>
      <w:lvlText w:val="(%1)"/>
      <w:numFmt w:val="lowerLetter"/>
      <w:start w:val="1"/>
    </w:lvl>
  </w:abstractNum>
  <w:abstractNum w:abstractNumId="51">
    <w:nsid w:val="6CAA2304"/>
    <w:multiLevelType w:val="hybridMultilevel"/>
    <w:lvl w:ilvl="0">
      <w:lvlJc w:val="left"/>
      <w:lvlText w:val="(%1)"/>
      <w:numFmt w:val="lowerLetter"/>
      <w:start w:val="2"/>
    </w:lvl>
  </w:abstractNum>
  <w:abstractNum w:abstractNumId="52">
    <w:nsid w:val="3F7C2FF4"/>
    <w:multiLevelType w:val="hybridMultilevel"/>
    <w:lvl w:ilvl="0">
      <w:lvlJc w:val="left"/>
      <w:lvlText w:val="(%1)"/>
      <w:numFmt w:val="lowerLetter"/>
      <w:start w:val="1"/>
    </w:lvl>
  </w:abstractNum>
  <w:abstractNum w:abstractNumId="53">
    <w:nsid w:val="25413BEC"/>
    <w:multiLevelType w:val="hybridMultilevel"/>
    <w:lvl w:ilvl="0">
      <w:lvlJc w:val="left"/>
      <w:lvlText w:val="%1"/>
      <w:numFmt w:val="decimal"/>
      <w:start w:val="1"/>
    </w:lvl>
    <w:lvl w:ilvl="1">
      <w:lvlJc w:val="left"/>
      <w:lvlText w:val="(%2)"/>
      <w:numFmt w:val="decimal"/>
      <w:start w:val="1"/>
    </w:lvl>
  </w:abstractNum>
  <w:abstractNum w:abstractNumId="54">
    <w:nsid w:val="17180B0B"/>
    <w:multiLevelType w:val="hybridMultilevel"/>
    <w:lvl w:ilvl="0">
      <w:lvlJc w:val="left"/>
      <w:lvlText w:val="(%1)"/>
      <w:numFmt w:val="decimal"/>
      <w:start w:val="1"/>
    </w:lvl>
    <w:lvl w:ilvl="1">
      <w:lvlJc w:val="left"/>
      <w:lvlText w:val="%2"/>
      <w:numFmt w:val="decimal"/>
      <w:start w:val="1"/>
    </w:lvl>
  </w:abstractNum>
  <w:abstractNum w:abstractNumId="55">
    <w:nsid w:val="579328B9"/>
    <w:multiLevelType w:val="hybridMultilevel"/>
    <w:lvl w:ilvl="0">
      <w:lvlJc w:val="left"/>
      <w:lvlText w:val="(%1)"/>
      <w:numFmt w:val="lowerLetter"/>
      <w:start w:val="1"/>
    </w:lvl>
  </w:abstractNum>
  <w:abstractNum w:abstractNumId="56">
    <w:nsid w:val="5D205E20"/>
    <w:multiLevelType w:val="hybridMultilevel"/>
    <w:lvl w:ilvl="0">
      <w:lvlJc w:val="left"/>
      <w:lvlText w:val="(%1)"/>
      <w:numFmt w:val="lowerLetter"/>
      <w:start w:val="2"/>
    </w:lvl>
  </w:abstractNum>
  <w:abstractNum w:abstractNumId="57">
    <w:nsid w:val="11CCA8BA"/>
    <w:multiLevelType w:val="hybridMultilevel"/>
    <w:lvl w:ilvl="0">
      <w:lvlJc w:val="left"/>
      <w:lvlText w:val="(%1)"/>
      <w:numFmt w:val="upperLetter"/>
      <w:start w:val="1"/>
    </w:lvl>
  </w:abstractNum>
  <w:abstractNum w:abstractNumId="58">
    <w:nsid w:val="4D32AB86"/>
    <w:multiLevelType w:val="hybridMultilevel"/>
    <w:lvl w:ilvl="0">
      <w:lvlJc w:val="left"/>
      <w:lvlText w:val="(%1)"/>
      <w:numFmt w:val="upperLetter"/>
      <w:start w:val="2"/>
    </w:lvl>
  </w:abstractNum>
  <w:abstractNum w:abstractNumId="59">
    <w:nsid w:val="3F07ACC3"/>
    <w:multiLevelType w:val="hybridMultilevel"/>
    <w:lvl w:ilvl="0">
      <w:lvlJc w:val="left"/>
      <w:lvlText w:val="(%1)"/>
      <w:numFmt w:val="lowerLetter"/>
      <w:start w:val="2"/>
    </w:lvl>
  </w:abstractNum>
  <w:abstractNum w:abstractNumId="60">
    <w:nsid w:val="6B47F63E"/>
    <w:multiLevelType w:val="hybridMultilevel"/>
    <w:lvl w:ilvl="0">
      <w:lvlJc w:val="left"/>
      <w:lvlText w:val="(%1)"/>
      <w:numFmt w:val="lowerLetter"/>
      <w:start w:val="2"/>
    </w:lvl>
  </w:abstractNum>
  <w:abstractNum w:abstractNumId="61">
    <w:nsid w:val="5CB44A05"/>
    <w:multiLevelType w:val="hybridMultilevel"/>
    <w:lvl w:ilvl="0">
      <w:lvlJc w:val="left"/>
      <w:lvlText w:val="(%1)"/>
      <w:numFmt w:val="lowerLetter"/>
      <w:start w:val="2"/>
    </w:lvl>
  </w:abstractNum>
  <w:abstractNum w:abstractNumId="62">
    <w:nsid w:val="16CF80F1"/>
    <w:multiLevelType w:val="hybridMultilevel"/>
    <w:lvl w:ilvl="0">
      <w:lvlJc w:val="left"/>
      <w:lvlText w:val="(%1)"/>
      <w:numFmt w:val="lowerLetter"/>
      <w:start w:val="2"/>
    </w:lvl>
  </w:abstractNum>
  <w:abstractNum w:abstractNumId="63">
    <w:nsid w:val="1C695DEC"/>
    <w:multiLevelType w:val="hybridMultilevel"/>
    <w:lvl w:ilvl="0">
      <w:lvlJc w:val="left"/>
      <w:lvlText w:val="(%1)"/>
      <w:numFmt w:val="lowerLetter"/>
      <w:start w:val="1"/>
    </w:lvl>
    <w:lvl w:ilvl="1">
      <w:lvlJc w:val="left"/>
      <w:lvlText w:val="(%2)"/>
      <w:numFmt w:val="lowerRoman"/>
      <w:start w:val="1"/>
    </w:lvl>
  </w:abstractNum>
  <w:abstractNum w:abstractNumId="64">
    <w:nsid w:val="3FCFAE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F856867"/>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66">
    <w:nsid w:val="11B1CC33"/>
    <w:multiLevelType w:val="hybridMultilevel"/>
    <w:lvl w:ilvl="0">
      <w:lvlJc w:val="left"/>
      <w:lvlText w:val="%1"/>
      <w:numFmt w:val="lowerLetter"/>
      <w:start w:val="1"/>
    </w:lvl>
    <w:lvl w:ilvl="1">
      <w:lvlJc w:val="left"/>
      <w:lvlText w:val="(%2)"/>
      <w:numFmt w:val="lowerRoman"/>
      <w:start w:val="4"/>
    </w:lvl>
  </w:abstractNum>
  <w:abstractNum w:abstractNumId="67">
    <w:nsid w:val="2E22FBB7"/>
    <w:multiLevelType w:val="hybridMultilevel"/>
    <w:lvl w:ilvl="0">
      <w:lvlJc w:val="left"/>
      <w:lvlText w:val="(%1)"/>
      <w:numFmt w:val="lowerLetter"/>
      <w:start w:val="4"/>
    </w:lvl>
    <w:lvl w:ilvl="1">
      <w:lvlJc w:val="left"/>
      <w:lvlText w:val="%2"/>
      <w:numFmt w:val="lowerRoman"/>
      <w:start w:val="1"/>
    </w:lvl>
  </w:abstractNum>
  <w:abstractNum w:abstractNumId="68">
    <w:nsid w:val="29934699"/>
    <w:multiLevelType w:val="hybridMultilevel"/>
    <w:lvl w:ilvl="0">
      <w:lvlJc w:val="left"/>
      <w:lvlText w:val="(%1)"/>
      <w:numFmt w:val="lowerLetter"/>
      <w:start w:val="1"/>
    </w:lvl>
  </w:abstractNum>
  <w:abstractNum w:abstractNumId="69">
    <w:nsid w:val="77485850"/>
    <w:multiLevelType w:val="hybridMultilevel"/>
    <w:lvl w:ilvl="0">
      <w:lvlJc w:val="left"/>
      <w:lvlText w:val="(%1)"/>
      <w:numFmt w:val="lowerLetter"/>
      <w:start w:val="1"/>
    </w:lvl>
  </w:abstractNum>
  <w:abstractNum w:abstractNumId="70">
    <w:nsid w:val="744939A3"/>
    <w:multiLevelType w:val="hybridMultilevel"/>
    <w:lvl w:ilvl="0">
      <w:lvlJc w:val="left"/>
      <w:lvlText w:val="(%1)"/>
      <w:numFmt w:val="lowerLetter"/>
      <w:start w:val="1"/>
    </w:lvl>
  </w:abstractNum>
  <w:abstractNum w:abstractNumId="71">
    <w:nsid w:val="4FA0D2E3"/>
    <w:multiLevelType w:val="hybridMultilevel"/>
    <w:lvl w:ilvl="0">
      <w:lvlJc w:val="left"/>
      <w:lvlText w:val="(%1)"/>
      <w:numFmt w:val="lowerLetter"/>
      <w:start w:val="1"/>
    </w:lvl>
  </w:abstractNum>
  <w:abstractNum w:abstractNumId="72">
    <w:nsid w:val="6B1D2C14"/>
    <w:multiLevelType w:val="hybridMultilevel"/>
    <w:lvl w:ilvl="0">
      <w:lvlJc w:val="left"/>
      <w:lvlText w:val="(%1)"/>
      <w:numFmt w:val="lowerLetter"/>
      <w:start w:val="2"/>
    </w:lvl>
  </w:abstractNum>
  <w:abstractNum w:abstractNumId="73">
    <w:nsid w:val="68B867D3"/>
    <w:multiLevelType w:val="hybridMultilevel"/>
    <w:lvl w:ilvl="0">
      <w:lvlJc w:val="left"/>
      <w:lvlText w:val="%1"/>
      <w:numFmt w:val="upperLetter"/>
      <w:start w:val="1"/>
    </w:lvl>
    <w:lvl w:ilvl="1">
      <w:lvlJc w:val="left"/>
      <w:lvlText w:val="(%2)"/>
      <w:numFmt w:val="lowerLetter"/>
      <w:start w:val="1"/>
    </w:lvl>
  </w:abstractNum>
  <w:abstractNum w:abstractNumId="74">
    <w:nsid w:val="3F7F5DD9"/>
    <w:multiLevelType w:val="hybridMultilevel"/>
    <w:lvl w:ilvl="0">
      <w:lvlJc w:val="left"/>
      <w:lvlText w:val="(%1)"/>
      <w:numFmt w:val="upperLetter"/>
      <w:start w:val="3"/>
    </w:lvl>
    <w:lvl w:ilvl="1">
      <w:lvlJc w:val="left"/>
      <w:lvlText w:val="(%2)"/>
      <w:numFmt w:val="lowerLetter"/>
      <w:start w:val="4"/>
    </w:lvl>
  </w:abstractNum>
  <w:abstractNum w:abstractNumId="75">
    <w:nsid w:val="2AE05A34"/>
    <w:multiLevelType w:val="hybridMultilevel"/>
    <w:lvl w:ilvl="0">
      <w:lvlJc w:val="left"/>
      <w:lvlText w:val="(%1)"/>
      <w:numFmt w:val="lowerLetter"/>
      <w:start w:val="5"/>
    </w:lvl>
  </w:abstractNum>
  <w:abstractNum w:abstractNumId="76">
    <w:nsid w:val="32794FF7"/>
    <w:multiLevelType w:val="hybridMultilevel"/>
    <w:lvl w:ilvl="0">
      <w:lvlJc w:val="left"/>
      <w:lvlText w:val="(%1)"/>
      <w:numFmt w:val="lowerLetter"/>
      <w:start w:val="1"/>
    </w:lvl>
  </w:abstractNum>
  <w:abstractNum w:abstractNumId="77">
    <w:nsid w:val="5454945E"/>
    <w:multiLevelType w:val="hybridMultilevel"/>
    <w:lvl w:ilvl="0">
      <w:lvlJc w:val="left"/>
      <w:lvlText w:val="(%1)"/>
      <w:numFmt w:val="lowerLetter"/>
      <w:start w:val="4"/>
    </w:lvl>
  </w:abstractNum>
  <w:abstractNum w:abstractNumId="78">
    <w:nsid w:val="4DEFDFA0"/>
    <w:multiLevelType w:val="hybridMultilevel"/>
    <w:lvl w:ilvl="0">
      <w:lvlJc w:val="left"/>
      <w:lvlText w:val="(%1)"/>
      <w:numFmt w:val="lowerLetter"/>
      <w:start w:val="1"/>
    </w:lvl>
  </w:abstractNum>
  <w:abstractNum w:abstractNumId="79">
    <w:nsid w:val="2123D5F2"/>
    <w:multiLevelType w:val="hybridMultilevel"/>
    <w:lvl w:ilvl="0">
      <w:lvlJc w:val="left"/>
      <w:lvlText w:val="(%1)"/>
      <w:numFmt w:val="lowerLetter"/>
      <w:start w:val="2"/>
    </w:lvl>
  </w:abstractNum>
  <w:abstractNum w:abstractNumId="80">
    <w:nsid w:val="135B8110"/>
    <w:multiLevelType w:val="hybridMultilevel"/>
    <w:lvl w:ilvl="0">
      <w:lvlJc w:val="left"/>
      <w:lvlText w:val="(%1)"/>
      <w:numFmt w:val="lowerLetter"/>
      <w:start w:val="1"/>
    </w:lvl>
  </w:abstractNum>
  <w:abstractNum w:abstractNumId="81">
    <w:nsid w:val="94927A8"/>
    <w:multiLevelType w:val="hybridMultilevel"/>
    <w:lvl w:ilvl="0">
      <w:lvlJc w:val="left"/>
      <w:lvlText w:val="(%1)"/>
      <w:numFmt w:val="lowerLetter"/>
      <w:start w:val="6"/>
    </w:lvl>
  </w:abstractNum>
  <w:abstractNum w:abstractNumId="82">
    <w:nsid w:val="DCDF8F6"/>
    <w:multiLevelType w:val="hybridMultilevel"/>
    <w:lvl w:ilvl="0">
      <w:lvlJc w:val="left"/>
      <w:lvlText w:val="(%1)"/>
      <w:numFmt w:val="lowerLetter"/>
      <w:start w:val="1"/>
    </w:lvl>
  </w:abstractNum>
  <w:abstractNum w:abstractNumId="83">
    <w:nsid w:val="52D7B105"/>
    <w:multiLevelType w:val="hybridMultilevel"/>
    <w:lvl w:ilvl="0">
      <w:lvlJc w:val="left"/>
      <w:lvlText w:val="(%1)"/>
      <w:numFmt w:val="lowerLetter"/>
      <w:start w:val="1"/>
    </w:lvl>
  </w:abstractNum>
  <w:abstractNum w:abstractNumId="84">
    <w:nsid w:val="2E8A6394"/>
    <w:multiLevelType w:val="hybridMultilevel"/>
    <w:lvl w:ilvl="0">
      <w:lvlJc w:val="left"/>
      <w:lvlText w:val="%1"/>
      <w:numFmt w:val="upperLetter"/>
      <w:start w:val="1"/>
    </w:lvl>
    <w:lvl w:ilvl="1">
      <w:lvlJc w:val="left"/>
      <w:lvlText w:val="(%2)"/>
      <w:numFmt w:val="lowerLetter"/>
      <w:start w:val="3"/>
    </w:lvl>
  </w:abstractNum>
  <w:abstractNum w:abstractNumId="85">
    <w:nsid w:val="24E60401"/>
    <w:multiLevelType w:val="hybridMultilevel"/>
    <w:lvl w:ilvl="0">
      <w:lvlJc w:val="left"/>
      <w:lvlText w:val="(%1)"/>
      <w:numFmt w:val="upperLetter"/>
      <w:start w:val="2"/>
    </w:lvl>
    <w:lvl w:ilvl="1">
      <w:lvlJc w:val="left"/>
      <w:lvlText w:val="(%2)"/>
      <w:numFmt w:val="lowerLetter"/>
      <w:start w:val="4"/>
    </w:lvl>
  </w:abstractNum>
  <w:abstractNum w:abstractNumId="86">
    <w:nsid w:val="2A6AD9BE"/>
    <w:multiLevelType w:val="hybridMultilevel"/>
    <w:lvl w:ilvl="0">
      <w:lvlJc w:val="left"/>
      <w:lvlText w:val="(%1)"/>
      <w:numFmt w:val="lowerLetter"/>
      <w:start w:val="7"/>
    </w:lvl>
  </w:abstractNum>
  <w:abstractNum w:abstractNumId="87">
    <w:nsid w:val="BAAC1B4"/>
    <w:multiLevelType w:val="hybridMultilevel"/>
    <w:lvl w:ilvl="0">
      <w:lvlJc w:val="left"/>
      <w:lvlText w:val="(%1)"/>
      <w:numFmt w:val="lowerLetter"/>
      <w:start w:val="1"/>
    </w:lvl>
  </w:abstractNum>
  <w:abstractNum w:abstractNumId="88">
    <w:nsid w:val="36B2ACBC"/>
    <w:multiLevelType w:val="hybridMultilevel"/>
    <w:lvl w:ilvl="0">
      <w:lvlJc w:val="left"/>
      <w:lvlText w:val="(%1)"/>
      <w:numFmt w:val="lowerLetter"/>
      <w:start w:val="4"/>
    </w:lvl>
  </w:abstractNum>
  <w:abstractNum w:abstractNumId="89">
    <w:nsid w:val="779D8544"/>
    <w:multiLevelType w:val="hybridMultilevel"/>
    <w:lvl w:ilvl="0">
      <w:lvlJc w:val="left"/>
      <w:lvlText w:val="(%1)"/>
      <w:numFmt w:val="lowerLetter"/>
      <w:start w:val="1"/>
    </w:lvl>
  </w:abstractNum>
  <w:abstractNum w:abstractNumId="90">
    <w:nsid w:val="4AB26E78"/>
    <w:multiLevelType w:val="hybridMultilevel"/>
    <w:lvl w:ilvl="0">
      <w:lvlJc w:val="left"/>
      <w:lvlText w:val="(%1)"/>
      <w:numFmt w:val="lowerLetter"/>
      <w:start w:val="5"/>
    </w:lvl>
  </w:abstractNum>
  <w:abstractNum w:abstractNumId="91">
    <w:nsid w:val="21FAA2FA"/>
    <w:multiLevelType w:val="hybridMultilevel"/>
    <w:lvl w:ilvl="0">
      <w:lvlJc w:val="left"/>
      <w:lvlText w:val="(%1)"/>
      <w:numFmt w:val="lowerRoman"/>
      <w:start w:val="1"/>
    </w:lvl>
  </w:abstractNum>
  <w:abstractNum w:abstractNumId="92">
    <w:nsid w:val="5451CF49"/>
    <w:multiLevelType w:val="hybridMultilevel"/>
    <w:lvl w:ilvl="0">
      <w:lvlJc w:val="left"/>
      <w:lvlText w:val="(%1)"/>
      <w:numFmt w:val="lowerLetter"/>
      <w:start w:val="2"/>
    </w:lvl>
  </w:abstractNum>
  <w:abstractNum w:abstractNumId="93">
    <w:nsid w:val="6181EF69"/>
    <w:multiLevelType w:val="hybridMultilevel"/>
    <w:lvl w:ilvl="0">
      <w:lvlJc w:val="left"/>
      <w:lvlText w:val="(%1)"/>
      <w:numFmt w:val="lowerLetter"/>
      <w:start w:val="3"/>
    </w:lvl>
    <w:lvl w:ilvl="1">
      <w:lvlJc w:val="left"/>
      <w:lvlText w:val="(%2)"/>
      <w:numFmt w:val="lowerRoman"/>
      <w:start w:val="1"/>
    </w:lvl>
  </w:abstractNum>
  <w:abstractNum w:abstractNumId="94">
    <w:nsid w:val="3E6400E6"/>
    <w:multiLevelType w:val="hybridMultilevel"/>
    <w:lvl w:ilvl="0">
      <w:lvlJc w:val="left"/>
      <w:lvlText w:val="(%1)"/>
      <w:numFmt w:val="lowerRoman"/>
      <w:start w:val="4"/>
    </w:lvl>
  </w:abstractNum>
  <w:abstractNum w:abstractNumId="95">
    <w:nsid w:val="14217E23"/>
    <w:multiLevelType w:val="hybridMultilevel"/>
    <w:lvl w:ilvl="0">
      <w:lvlJc w:val="left"/>
      <w:lvlText w:val="(%1)"/>
      <w:numFmt w:val="lowerLetter"/>
      <w:start w:val="2"/>
    </w:lvl>
  </w:abstractNum>
  <w:abstractNum w:abstractNumId="96">
    <w:nsid w:val="710757D0"/>
    <w:multiLevelType w:val="hybridMultilevel"/>
    <w:lvl w:ilvl="0">
      <w:lvlJc w:val="left"/>
      <w:lvlText w:val="(%1)"/>
      <w:numFmt w:val="lowerLetter"/>
      <w:start w:val="3"/>
    </w:lvl>
  </w:abstractNum>
  <w:abstractNum w:abstractNumId="97">
    <w:nsid w:val="5015CD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8">
    <w:nsid w:val="424479DA"/>
    <w:multiLevelType w:val="hybridMultilevel"/>
    <w:lvl w:ilvl="0">
      <w:lvlJc w:val="left"/>
      <w:lvlText w:val="%1"/>
      <w:numFmt w:val="lowerRoman"/>
      <w:start w:val="1"/>
    </w:lvl>
    <w:lvl w:ilvl="1">
      <w:lvlJc w:val="left"/>
      <w:lvlText w:val="(%2)"/>
      <w:numFmt w:val="upperLetter"/>
      <w:start w:val="2"/>
    </w:lvl>
  </w:abstractNum>
  <w:abstractNum w:abstractNumId="99">
    <w:nsid w:val="1A9A9E69"/>
    <w:multiLevelType w:val="hybridMultilevel"/>
    <w:lvl w:ilvl="0">
      <w:lvlJc w:val="left"/>
      <w:lvlText w:val="(%1)"/>
      <w:numFmt w:val="lowerRoman"/>
      <w:start w:val="3"/>
    </w:lvl>
    <w:lvl w:ilvl="1">
      <w:lvlJc w:val="left"/>
      <w:lvlText w:val="%2"/>
      <w:numFmt w:val="upperLetter"/>
      <w:start w:val="1"/>
    </w:lvl>
  </w:abstractNum>
  <w:abstractNum w:abstractNumId="100">
    <w:nsid w:val="475E256A"/>
    <w:multiLevelType w:val="hybridMultilevel"/>
    <w:lvl w:ilvl="0">
      <w:lvlJc w:val="left"/>
      <w:lvlText w:val="(%1)"/>
      <w:numFmt w:val="lowerLetter"/>
      <w:start w:val="3"/>
    </w:lvl>
  </w:abstractNum>
  <w:abstractNum w:abstractNumId="101">
    <w:nsid w:val="368DB37E"/>
    <w:multiLevelType w:val="hybridMultilevel"/>
    <w:lvl w:ilvl="0">
      <w:lvlJc w:val="left"/>
      <w:lvlText w:val="(%1)"/>
      <w:numFmt w:val="lowerLetter"/>
      <w:start w:val="2"/>
    </w:lvl>
  </w:abstractNum>
  <w:abstractNum w:abstractNumId="102">
    <w:nsid w:val="6A3B714C"/>
    <w:multiLevelType w:val="hybridMultilevel"/>
    <w:lvl w:ilvl="0">
      <w:lvlJc w:val="left"/>
      <w:lvlText w:val="(%1)"/>
      <w:numFmt w:val="lowerLetter"/>
      <w:start w:val="2"/>
    </w:lvl>
  </w:abstractNum>
  <w:abstractNum w:abstractNumId="103">
    <w:nsid w:val="327B517E"/>
    <w:multiLevelType w:val="hybridMultilevel"/>
    <w:lvl w:ilvl="0">
      <w:lvlJc w:val="left"/>
      <w:lvlText w:val="(%1)"/>
      <w:numFmt w:val="lowerLetter"/>
      <w:start w:val="3"/>
    </w:lvl>
  </w:abstractNum>
  <w:abstractNum w:abstractNumId="104">
    <w:nsid w:val="1F461B51"/>
    <w:multiLevelType w:val="hybridMultilevel"/>
    <w:lvl w:ilvl="0">
      <w:lvlJc w:val="left"/>
      <w:lvlText w:val="(%1)"/>
      <w:numFmt w:val="upperLetter"/>
      <w:start w:val="1"/>
    </w:lvl>
  </w:abstractNum>
  <w:abstractNum w:abstractNumId="105">
    <w:nsid w:val="29BACF25"/>
    <w:multiLevelType w:val="hybridMultilevel"/>
    <w:lvl w:ilvl="0">
      <w:lvlJc w:val="left"/>
      <w:lvlText w:val="(%1)"/>
      <w:numFmt w:val="lowerLetter"/>
      <w:start w:val="1"/>
    </w:lvl>
  </w:abstractNum>
  <w:abstractNum w:abstractNumId="106">
    <w:nsid w:val="5D5BABB3"/>
    <w:multiLevelType w:val="hybridMultilevel"/>
    <w:lvl w:ilvl="0">
      <w:lvlJc w:val="left"/>
      <w:lvlText w:val="(%1)"/>
      <w:numFmt w:val="upperLetter"/>
      <w:start w:val="3"/>
    </w:lvl>
  </w:abstractNum>
  <w:abstractNum w:abstractNumId="107">
    <w:nsid w:val="51BF6B48"/>
    <w:multiLevelType w:val="hybridMultilevel"/>
    <w:lvl w:ilvl="0">
      <w:lvlJc w:val="left"/>
      <w:lvlText w:val="(%1)"/>
      <w:numFmt w:val="lowerLetter"/>
      <w:start w:val="1"/>
    </w:lvl>
    <w:lvl w:ilvl="1">
      <w:lvlJc w:val="left"/>
      <w:lvlText w:val="(%2)"/>
      <w:numFmt w:val="lowerRoman"/>
      <w:start w:val="1"/>
    </w:lvl>
  </w:abstractNum>
  <w:abstractNum w:abstractNumId="108">
    <w:nsid w:val="7E0F6384"/>
    <w:multiLevelType w:val="hybridMultilevel"/>
    <w:lvl w:ilvl="0">
      <w:lvlJc w:val="left"/>
      <w:lvlText w:val="(%1)"/>
      <w:numFmt w:val="lowerLetter"/>
      <w:start w:val="1"/>
    </w:lvl>
  </w:abstractNum>
  <w:abstractNum w:abstractNumId="109">
    <w:nsid w:val="2B4B8B53"/>
    <w:multiLevelType w:val="hybridMultilevel"/>
    <w:lvl w:ilvl="0">
      <w:lvlJc w:val="left"/>
      <w:lvlText w:val="(%1)"/>
      <w:numFmt w:val="lowerLetter"/>
      <w:start w:val="1"/>
    </w:lvl>
  </w:abstractNum>
  <w:abstractNum w:abstractNumId="110">
    <w:nsid w:val="72E3413A"/>
    <w:multiLevelType w:val="hybridMultilevel"/>
    <w:lvl w:ilvl="0">
      <w:lvlJc w:val="left"/>
      <w:lvlText w:val="%1."/>
      <w:numFmt w:val="decimal"/>
      <w:start w:val="1"/>
    </w:lvl>
  </w:abstractNum>
  <w:abstractNum w:abstractNumId="111">
    <w:nsid w:val="116AE494"/>
    <w:multiLevelType w:val="hybridMultilevel"/>
    <w:lvl w:ilvl="0">
      <w:lvlJc w:val="left"/>
      <w:lvlText w:val="%1."/>
      <w:numFmt w:val="upperLetter"/>
      <w:start w:val="1"/>
    </w:lvl>
  </w:abstractNum>
  <w:abstractNum w:abstractNumId="112">
    <w:nsid w:val="3494B2FB"/>
    <w:multiLevelType w:val="hybridMultilevel"/>
    <w:lvl w:ilvl="0">
      <w:lvlJc w:val="left"/>
      <w:lvlText w:val="(%1)"/>
      <w:numFmt w:val="lowerLetter"/>
      <w:start w:val="1"/>
    </w:lvl>
  </w:abstractNum>
  <w:abstractNum w:abstractNumId="113">
    <w:nsid w:val="B13A31"/>
    <w:multiLevelType w:val="hybridMultilevel"/>
    <w:lvl w:ilvl="0">
      <w:lvlJc w:val="left"/>
      <w:lvlText w:val="(%1)"/>
      <w:numFmt w:val="lowerLetter"/>
      <w:start w:val="1"/>
    </w:lvl>
  </w:abstractNum>
  <w:abstractNum w:abstractNumId="114">
    <w:nsid w:val="64429599"/>
    <w:multiLevelType w:val="hybridMultilevel"/>
    <w:lvl w:ilvl="0">
      <w:lvlJc w:val="left"/>
      <w:lvlText w:val="(%1)"/>
      <w:numFmt w:val="lowerLetter"/>
      <w:start w:val="1"/>
    </w:lvl>
  </w:abstractNum>
  <w:abstractNum w:abstractNumId="115">
    <w:nsid w:val="631F1690"/>
    <w:multiLevelType w:val="hybridMultilevel"/>
    <w:lvl w:ilvl="0">
      <w:lvlJc w:val="left"/>
      <w:lvlText w:val="(%1)"/>
      <w:numFmt w:val="lowerLetter"/>
      <w:start w:val="1"/>
    </w:lvl>
  </w:abstractNum>
  <w:abstractNum w:abstractNumId="116">
    <w:nsid w:val="25973E32"/>
    <w:multiLevelType w:val="hybridMultilevel"/>
    <w:lvl w:ilvl="0">
      <w:lvlJc w:val="left"/>
      <w:lvlText w:val="(%1)"/>
      <w:numFmt w:val="lowerLetter"/>
      <w:start w:val="1"/>
    </w:lvl>
  </w:abstractNum>
  <w:abstractNum w:abstractNumId="117">
    <w:nsid w:val="EAD6F57"/>
    <w:multiLevelType w:val="hybridMultilevel"/>
    <w:lvl w:ilvl="0">
      <w:lvlJc w:val="left"/>
      <w:lvlText w:val="(%1)"/>
      <w:numFmt w:val="lowerLetter"/>
      <w:start w:val="3"/>
    </w:lvl>
  </w:abstractNum>
  <w:abstractNum w:abstractNumId="118">
    <w:nsid w:val="6EC9D844"/>
    <w:multiLevelType w:val="hybridMultilevel"/>
    <w:lvl w:ilvl="0">
      <w:lvlJc w:val="left"/>
      <w:lvlText w:val="(%1)"/>
      <w:numFmt w:val="lowerRoman"/>
      <w:start w:val="1"/>
    </w:lvl>
  </w:abstractNum>
  <w:abstractNum w:abstractNumId="119">
    <w:nsid w:val="5C49EAEE"/>
    <w:multiLevelType w:val="hybridMultilevel"/>
    <w:lvl w:ilvl="0">
      <w:lvlJc w:val="left"/>
      <w:lvlText w:val="(%1)"/>
      <w:numFmt w:val="lowerRoman"/>
      <w:start w:val="4"/>
    </w:lvl>
  </w:abstractNum>
  <w:abstractNum w:abstractNumId="120">
    <w:nsid w:val="64AF49B"/>
    <w:multiLevelType w:val="hybridMultilevel"/>
    <w:lvl w:ilvl="0">
      <w:lvlJc w:val="left"/>
      <w:lvlText w:val="(%1)"/>
      <w:numFmt w:val="lowerLetter"/>
      <w:start w:val="3"/>
    </w:lvl>
  </w:abstractNum>
  <w:abstractNum w:abstractNumId="121">
    <w:nsid w:val="397C46BC"/>
    <w:multiLevelType w:val="hybridMultilevel"/>
    <w:lvl w:ilvl="0">
      <w:lvlJc w:val="left"/>
      <w:lvlText w:val="(%1)"/>
      <w:numFmt w:val="lowerLetter"/>
      <w:start w:val="24"/>
    </w:lvl>
  </w:abstractNum>
  <w:abstractNum w:abstractNumId="122">
    <w:nsid w:val="7E448DE9"/>
    <w:multiLevelType w:val="hybridMultilevel"/>
    <w:lvl w:ilvl="0">
      <w:lvlJc w:val="left"/>
      <w:lvlText w:val="(%1)"/>
      <w:numFmt w:val="lowerRoman"/>
      <w:start w:val="1"/>
    </w:lvl>
  </w:abstractNum>
  <w:abstractNum w:abstractNumId="123">
    <w:nsid w:val="5A9CC3E5"/>
    <w:multiLevelType w:val="hybridMultilevel"/>
    <w:lvl w:ilvl="0">
      <w:lvlJc w:val="left"/>
      <w:lvlText w:val="(%1)"/>
      <w:numFmt w:val="upperLetter"/>
      <w:start w:val="3"/>
    </w:lvl>
  </w:abstractNum>
  <w:abstractNum w:abstractNumId="124">
    <w:nsid w:val="1AFE3625"/>
    <w:multiLevelType w:val="hybridMultilevel"/>
    <w:lvl w:ilvl="0">
      <w:lvlJc w:val="left"/>
      <w:lvlText w:val="%1"/>
      <w:numFmt w:val="decimal"/>
      <w:start w:val="1"/>
    </w:lvl>
    <w:lvl w:ilvl="1">
      <w:lvlJc w:val="left"/>
      <w:lvlText w:val="(%2)"/>
      <w:numFmt w:val="lowerLetter"/>
      <w:start w:val="1"/>
    </w:lvl>
  </w:abstractNum>
  <w:abstractNum w:abstractNumId="125">
    <w:nsid w:val="3CA88ECF"/>
    <w:multiLevelType w:val="hybridMultilevel"/>
    <w:lvl w:ilvl="0">
      <w:lvlJc w:val="left"/>
      <w:lvlText w:val="(%1)"/>
      <w:numFmt w:val="decimal"/>
      <w:start w:val="2"/>
    </w:lvl>
    <w:lvl w:ilvl="1">
      <w:lvlJc w:val="left"/>
      <w:lvlText w:val="%2"/>
      <w:numFmt w:val="lowerLetter"/>
      <w:start w:val="1"/>
    </w:lvl>
  </w:abstractNum>
  <w:abstractNum w:abstractNumId="126">
    <w:nsid w:val="6EBE4208"/>
    <w:multiLevelType w:val="hybridMultilevel"/>
    <w:lvl w:ilvl="0">
      <w:lvlJc w:val="left"/>
      <w:lvlText w:val="(%1)"/>
      <w:numFmt w:val="lowerRoman"/>
      <w:start w:val="4"/>
    </w:lvl>
  </w:abstractNum>
  <w:abstractNum w:abstractNumId="127">
    <w:nsid w:val="C058DF5"/>
    <w:multiLevelType w:val="hybridMultilevel"/>
    <w:lvl w:ilvl="0">
      <w:lvlJc w:val="left"/>
      <w:lvlText w:val="(%1)"/>
      <w:numFmt w:val="lowerRoman"/>
      <w:start w:val="1"/>
    </w:lvl>
  </w:abstractNum>
  <w:abstractNum w:abstractNumId="128">
    <w:nsid w:val="CBE5BE9"/>
    <w:multiLevelType w:val="hybridMultilevel"/>
    <w:lvl w:ilvl="0">
      <w:lvlJc w:val="left"/>
      <w:lvlText w:val="(%1)"/>
      <w:numFmt w:val="lowerLetter"/>
      <w:start w:val="1"/>
    </w:lvl>
  </w:abstractNum>
  <w:abstractNum w:abstractNumId="129">
    <w:nsid w:val="3102BBE2"/>
    <w:multiLevelType w:val="hybridMultilevel"/>
    <w:lvl w:ilvl="0">
      <w:lvlJc w:val="left"/>
      <w:lvlText w:val="(%1)"/>
      <w:numFmt w:val="lowerRoman"/>
      <w:start w:val="3"/>
    </w:lvl>
  </w:abstractNum>
  <w:abstractNum w:abstractNumId="130">
    <w:nsid w:val="26A02C5E"/>
    <w:multiLevelType w:val="hybridMultilevel"/>
    <w:lvl w:ilvl="0">
      <w:lvlJc w:val="left"/>
      <w:lvlText w:val="(%1)"/>
      <w:numFmt w:val="lowerRoman"/>
      <w:start w:val="2"/>
    </w:lvl>
  </w:abstractNum>
  <w:abstractNum w:abstractNumId="131">
    <w:nsid w:val="541C8153"/>
    <w:multiLevelType w:val="hybridMultilevel"/>
    <w:lvl w:ilvl="0">
      <w:lvlJc w:val="left"/>
      <w:lvlText w:val="(%1)"/>
      <w:numFmt w:val="lowerRoman"/>
      <w:start w:val="1"/>
    </w:lvl>
  </w:abstractNum>
  <w:abstractNum w:abstractNumId="132">
    <w:nsid w:val="67906F60"/>
    <w:multiLevelType w:val="hybridMultilevel"/>
    <w:lvl w:ilvl="0">
      <w:lvlJc w:val="left"/>
      <w:lvlText w:val="(%1)"/>
      <w:numFmt w:val="lowerRoman"/>
      <w:start w:val="4"/>
    </w:lvl>
  </w:abstractNum>
  <w:abstractNum w:abstractNumId="133">
    <w:nsid w:val="10DB9DAA"/>
    <w:multiLevelType w:val="hybridMultilevel"/>
    <w:lvl w:ilvl="0">
      <w:lvlJc w:val="left"/>
      <w:lvlText w:val="(%1)"/>
      <w:numFmt w:val="lowerLetter"/>
      <w:start w:val="2"/>
    </w:lvl>
  </w:abstractNum>
  <w:abstractNum w:abstractNumId="134">
    <w:nsid w:val="697D2D2"/>
    <w:multiLevelType w:val="hybridMultilevel"/>
    <w:lvl w:ilvl="0">
      <w:lvlJc w:val="left"/>
      <w:lvlText w:val="(%1)"/>
      <w:numFmt w:val="lowerLetter"/>
      <w:start w:val="2"/>
    </w:lvl>
  </w:abstractNum>
  <w:abstractNum w:abstractNumId="135">
    <w:nsid w:val="6D68AB2"/>
    <w:multiLevelType w:val="hybridMultilevel"/>
    <w:lvl w:ilvl="0">
      <w:lvlJc w:val="left"/>
      <w:lvlText w:val="(%1)"/>
      <w:numFmt w:val="lowerRoman"/>
      <w:start w:val="1"/>
    </w:lvl>
  </w:abstractNum>
  <w:abstractNum w:abstractNumId="136">
    <w:nsid w:val="3A966CD0"/>
    <w:multiLevelType w:val="hybridMultilevel"/>
    <w:lvl w:ilvl="0">
      <w:lvlJc w:val="left"/>
      <w:lvlText w:val="(%1)"/>
      <w:numFmt w:val="lowerLetter"/>
      <w:start w:val="2"/>
    </w:lvl>
  </w:abstractNum>
  <w:abstractNum w:abstractNumId="137">
    <w:nsid w:val="63F37E85"/>
    <w:multiLevelType w:val="hybridMultilevel"/>
    <w:lvl w:ilvl="0">
      <w:lvlJc w:val="left"/>
      <w:lvlText w:val="(%1)"/>
      <w:numFmt w:val="lowerLetter"/>
      <w:start w:val="2"/>
    </w:lvl>
  </w:abstractNum>
  <w:abstractNum w:abstractNumId="138">
    <w:nsid w:val="5895F5FA"/>
    <w:multiLevelType w:val="hybridMultilevel"/>
    <w:lvl w:ilvl="0">
      <w:lvlJc w:val="left"/>
      <w:lvlText w:val="(%1)"/>
      <w:numFmt w:val="lowerLetter"/>
      <w:start w:val="4"/>
    </w:lvl>
  </w:abstractNum>
  <w:abstractNum w:abstractNumId="139">
    <w:nsid w:val="38A5D054"/>
    <w:multiLevelType w:val="hybridMultilevel"/>
    <w:lvl w:ilvl="0">
      <w:lvlJc w:val="left"/>
      <w:lvlText w:val="(%1)"/>
      <w:numFmt w:val="lowerLetter"/>
      <w:start w:val="7"/>
    </w:lvl>
  </w:abstractNum>
  <w:abstractNum w:abstractNumId="140">
    <w:nsid w:val="F3F09D8"/>
    <w:multiLevelType w:val="hybridMultilevel"/>
    <w:lvl w:ilvl="0">
      <w:lvlJc w:val="left"/>
      <w:lvlText w:val="(%1)"/>
      <w:numFmt w:val="lowerLetter"/>
      <w:start w:val="10"/>
    </w:lvl>
  </w:abstractNum>
  <w:abstractNum w:abstractNumId="141">
    <w:nsid w:val="4B793735"/>
    <w:multiLevelType w:val="hybridMultilevel"/>
    <w:lvl w:ilvl="0">
      <w:lvlJc w:val="left"/>
      <w:lvlText w:val="(%1)"/>
      <w:numFmt w:val="lowerLetter"/>
      <w:start w:val="2"/>
    </w:lvl>
  </w:abstractNum>
  <w:abstractNum w:abstractNumId="142">
    <w:nsid w:val="4A10B4E8"/>
    <w:multiLevelType w:val="hybridMultilevel"/>
    <w:lvl w:ilvl="0">
      <w:lvlJc w:val="left"/>
      <w:lvlText w:val="(%1)"/>
      <w:numFmt w:val="lowerLetter"/>
      <w:start w:val="2"/>
    </w:lvl>
    <w:lvl w:ilvl="1">
      <w:lvlJc w:val="left"/>
      <w:lvlText w:val="(%2)"/>
      <w:numFmt w:val="lowerRoman"/>
      <w:start w:val="1"/>
    </w:lvl>
  </w:abstractNum>
  <w:abstractNum w:abstractNumId="143">
    <w:nsid w:val="43D3BCD4"/>
    <w:multiLevelType w:val="hybridMultilevel"/>
    <w:lvl w:ilvl="0">
      <w:lvlJc w:val="left"/>
      <w:lvlText w:val="(%1)"/>
      <w:numFmt w:val="lowerLetter"/>
      <w:start w:val="4"/>
    </w:lvl>
  </w:abstractNum>
  <w:abstractNum w:abstractNumId="144">
    <w:nsid w:val="4C2A7166"/>
    <w:multiLevelType w:val="hybridMultilevel"/>
    <w:lvl w:ilvl="0">
      <w:lvlJc w:val="left"/>
      <w:lvlText w:val="(%1)"/>
      <w:numFmt w:val="lowerLetter"/>
      <w:start w:val="2"/>
    </w:lvl>
  </w:abstractNum>
  <w:abstractNum w:abstractNumId="145">
    <w:nsid w:val="2E534A82"/>
    <w:multiLevelType w:val="hybridMultilevel"/>
    <w:lvl w:ilvl="0">
      <w:lvlJc w:val="left"/>
      <w:lvlText w:val="(%1)"/>
      <w:numFmt w:val="lowerLetter"/>
      <w:start w:val="2"/>
    </w:lvl>
  </w:abstractNum>
  <w:abstractNum w:abstractNumId="146">
    <w:nsid w:val="26F2D364"/>
    <w:multiLevelType w:val="hybridMultilevel"/>
    <w:lvl w:ilvl="0">
      <w:lvlJc w:val="left"/>
      <w:lvlText w:val="(%1)"/>
      <w:numFmt w:val="lowerLetter"/>
      <w:start w:val="4"/>
    </w:lvl>
  </w:abstractNum>
  <w:abstractNum w:abstractNumId="147">
    <w:nsid w:val="71C1AF98"/>
    <w:multiLevelType w:val="hybridMultilevel"/>
    <w:lvl w:ilvl="0">
      <w:lvlJc w:val="left"/>
      <w:lvlText w:val="(%1)"/>
      <w:numFmt w:val="lowerLetter"/>
      <w:start w:val="2"/>
    </w:lvl>
  </w:abstractNum>
  <w:abstractNum w:abstractNumId="148">
    <w:nsid w:val="3D00B9D9"/>
    <w:multiLevelType w:val="hybridMultilevel"/>
    <w:lvl w:ilvl="0">
      <w:lvlJc w:val="left"/>
      <w:lvlText w:val="(%1)"/>
      <w:numFmt w:val="lowerLetter"/>
      <w:start w:val="2"/>
    </w:lvl>
  </w:abstractNum>
  <w:abstractNum w:abstractNumId="149">
    <w:nsid w:val="15BCABA8"/>
    <w:multiLevelType w:val="hybridMultilevel"/>
    <w:lvl w:ilvl="0">
      <w:lvlJc w:val="left"/>
      <w:lvlText w:val="(%1)"/>
      <w:numFmt w:val="lowerLetter"/>
      <w:start w:val="35"/>
    </w:lvl>
    <w:lvl w:ilvl="1">
      <w:lvlJc w:val="left"/>
      <w:lvlText w:val="(%2)"/>
      <w:numFmt w:val="lowerLetter"/>
      <w:start w:val="2"/>
    </w:lvl>
  </w:abstractNum>
  <w:abstractNum w:abstractNumId="150">
    <w:nsid w:val="4E0B9A87"/>
    <w:multiLevelType w:val="hybridMultilevel"/>
    <w:lvl w:ilvl="0">
      <w:lvlJc w:val="left"/>
      <w:lvlText w:val="(%1)"/>
      <w:numFmt w:val="lowerLetter"/>
      <w:start w:val="6"/>
    </w:lvl>
  </w:abstractNum>
  <w:abstractNum w:abstractNumId="151">
    <w:nsid w:val="434BAE75"/>
    <w:multiLevelType w:val="hybridMultilevel"/>
    <w:lvl w:ilvl="0">
      <w:lvlJc w:val="left"/>
      <w:lvlText w:val="(%1)"/>
      <w:numFmt w:val="lowerLetter"/>
      <w:start w:val="2"/>
    </w:lvl>
  </w:abstractNum>
  <w:abstractNum w:abstractNumId="152">
    <w:nsid w:val="4F38F265"/>
    <w:multiLevelType w:val="hybridMultilevel"/>
    <w:lvl w:ilvl="0">
      <w:lvlJc w:val="left"/>
      <w:lvlText w:val="(%1)"/>
      <w:numFmt w:val="lowerRoman"/>
      <w:start w:val="1"/>
    </w:lvl>
  </w:abstractNum>
  <w:abstractNum w:abstractNumId="153">
    <w:nsid w:val="4C502870"/>
    <w:multiLevelType w:val="hybridMultilevel"/>
    <w:lvl w:ilvl="0">
      <w:lvlJc w:val="left"/>
      <w:lvlText w:val="(%1)"/>
      <w:numFmt w:val="lowerLetter"/>
      <w:start w:val="2"/>
    </w:lvl>
  </w:abstractNum>
  <w:abstractNum w:abstractNumId="154">
    <w:nsid w:val="1DE8725A"/>
    <w:multiLevelType w:val="hybridMultilevel"/>
    <w:lvl w:ilvl="0">
      <w:lvlJc w:val="left"/>
      <w:lvlText w:val="(%1)"/>
      <w:numFmt w:val="lowerLetter"/>
      <w:start w:val="3"/>
    </w:lvl>
  </w:abstractNum>
  <w:abstractNum w:abstractNumId="155">
    <w:nsid w:val="6A37288A"/>
    <w:multiLevelType w:val="hybridMultilevel"/>
    <w:lvl w:ilvl="0">
      <w:lvlJc w:val="left"/>
      <w:lvlText w:val="(%1)"/>
      <w:numFmt w:val="lowerLetter"/>
      <w:start w:val="2"/>
    </w:lvl>
  </w:abstractNum>
  <w:abstractNum w:abstractNumId="156">
    <w:nsid w:val="8F8B73F"/>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57">
    <w:nsid w:val="CA6B462"/>
    <w:multiLevelType w:val="hybridMultilevel"/>
    <w:lvl w:ilvl="0">
      <w:lvlJc w:val="left"/>
      <w:lvlText w:val="%1"/>
      <w:numFmt w:val="upperLetter"/>
      <w:start w:val="1"/>
    </w:lvl>
    <w:lvl w:ilvl="1">
      <w:lvlJc w:val="left"/>
      <w:lvlText w:val="(%2)"/>
      <w:numFmt w:val="decimal"/>
      <w:start w:val="4"/>
    </w:lvl>
  </w:abstractNum>
  <w:abstractNum w:abstractNumId="158">
    <w:nsid w:val="763CB680"/>
    <w:multiLevelType w:val="hybridMultilevel"/>
    <w:lvl w:ilvl="0">
      <w:lvlJc w:val="left"/>
      <w:lvlText w:val="(%1)"/>
      <w:numFmt w:val="upperLetter"/>
      <w:start w:val="3"/>
    </w:lvl>
    <w:lvl w:ilvl="1">
      <w:lvlJc w:val="left"/>
      <w:lvlText w:val="%2"/>
      <w:numFmt w:val="decimal"/>
      <w:start w:val="1"/>
    </w:lvl>
  </w:abstractNum>
  <w:abstractNum w:abstractNumId="159">
    <w:nsid w:val="15B71329"/>
    <w:multiLevelType w:val="hybridMultilevel"/>
    <w:lvl w:ilvl="0">
      <w:lvlJc w:val="left"/>
      <w:lvlText w:val="(%1)"/>
      <w:numFmt w:val="lowerLetter"/>
      <w:start w:val="7"/>
    </w:lvl>
  </w:abstractNum>
  <w:abstractNum w:abstractNumId="160">
    <w:nsid w:val="3DA97044"/>
    <w:multiLevelType w:val="hybridMultilevel"/>
    <w:lvl w:ilvl="0">
      <w:lvlJc w:val="left"/>
      <w:lvlText w:val="(%1)"/>
      <w:numFmt w:val="lowerLetter"/>
      <w:start w:val="8"/>
    </w:lvl>
  </w:abstractNum>
  <w:abstractNum w:abstractNumId="161">
    <w:nsid w:val="1CDCE2DE"/>
    <w:multiLevelType w:val="hybridMultilevel"/>
    <w:lvl w:ilvl="0">
      <w:lvlJc w:val="left"/>
      <w:lvlText w:val="(%1)"/>
      <w:numFmt w:val="lowerLetter"/>
      <w:start w:val="2"/>
    </w:lvl>
  </w:abstractNum>
  <w:abstractNum w:abstractNumId="162">
    <w:nsid w:val="69D3947C"/>
    <w:multiLevelType w:val="hybridMultilevel"/>
    <w:lvl w:ilvl="0">
      <w:lvlJc w:val="left"/>
      <w:lvlText w:val="(%1)"/>
      <w:numFmt w:val="lowerLetter"/>
      <w:start w:val="3"/>
    </w:lvl>
  </w:abstractNum>
  <w:abstractNum w:abstractNumId="163">
    <w:nsid w:val="2539DFA5"/>
    <w:multiLevelType w:val="hybridMultilevel"/>
    <w:lvl w:ilvl="0">
      <w:lvlJc w:val="left"/>
      <w:lvlText w:val="(%1)"/>
      <w:numFmt w:val="lowerLetter"/>
      <w:start w:val="2"/>
    </w:lvl>
  </w:abstractNum>
  <w:abstractNum w:abstractNumId="164">
    <w:nsid w:val="2DB88089"/>
    <w:multiLevelType w:val="hybridMultilevel"/>
    <w:lvl w:ilvl="0">
      <w:lvlJc w:val="left"/>
      <w:lvlText w:val="(%1)"/>
      <w:numFmt w:val="lowerRoman"/>
      <w:start w:val="1"/>
    </w:lvl>
    <w:lvl w:ilvl="1">
      <w:lvlJc w:val="left"/>
      <w:lvlText w:val="(%2)"/>
      <w:numFmt w:val="upperLetter"/>
      <w:start w:val="1"/>
    </w:lvl>
  </w:abstractNum>
  <w:abstractNum w:abstractNumId="165">
    <w:nsid w:val="706B67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66">
    <w:nsid w:val="2C106A5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7">
    <w:nsid w:val="684EED5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8">
    <w:nsid w:val="545EE5D3"/>
    <w:multiLevelType w:val="hybridMultilevel"/>
    <w:lvl w:ilvl="0">
      <w:lvlJc w:val="left"/>
      <w:lvlText w:val="(%1)"/>
      <w:numFmt w:val="lowerLetter"/>
      <w:start w:val="1"/>
    </w:lvl>
    <w:lvl w:ilvl="1">
      <w:lvlJc w:val="left"/>
      <w:lvlText w:val="(%2)"/>
      <w:numFmt w:val="upperLetter"/>
      <w:start w:val="1"/>
    </w:lvl>
  </w:abstractNum>
  <w:abstractNum w:abstractNumId="169">
    <w:nsid w:val="4A66051"/>
    <w:multiLevelType w:val="hybridMultilevel"/>
    <w:lvl w:ilvl="0">
      <w:lvlJc w:val="left"/>
      <w:lvlText w:val="%1"/>
      <w:numFmt w:val="lowerLetter"/>
      <w:start w:val="1"/>
    </w:lvl>
    <w:lvl w:ilvl="1">
      <w:lvlJc w:val="left"/>
      <w:lvlText w:val="(%2)"/>
      <w:numFmt w:val="upperLetter"/>
      <w:start w:val="4"/>
    </w:lvl>
  </w:abstractNum>
  <w:abstractNum w:abstractNumId="170">
    <w:nsid w:val="20F4BDAD"/>
    <w:multiLevelType w:val="hybridMultilevel"/>
    <w:lvl w:ilvl="0">
      <w:lvlJc w:val="left"/>
      <w:lvlText w:val="(%1)"/>
      <w:numFmt w:val="lowerLetter"/>
      <w:start w:val="4"/>
    </w:lvl>
    <w:lvl w:ilvl="1">
      <w:lvlJc w:val="left"/>
      <w:lvlText w:val="%2"/>
      <w:numFmt w:val="upperLetter"/>
      <w:start w:val="1"/>
    </w:lvl>
  </w:abstractNum>
  <w:abstractNum w:abstractNumId="171">
    <w:nsid w:val="639DEFAC"/>
    <w:multiLevelType w:val="hybridMultilevel"/>
    <w:lvl w:ilvl="0">
      <w:lvlJc w:val="left"/>
      <w:lvlText w:val="(%1)"/>
      <w:numFmt w:val="lowerLetter"/>
      <w:start w:val="1"/>
    </w:lvl>
  </w:abstractNum>
  <w:abstractNum w:abstractNumId="172">
    <w:nsid w:val="501F9786"/>
    <w:multiLevelType w:val="hybridMultilevel"/>
    <w:lvl w:ilvl="0">
      <w:lvlJc w:val="left"/>
      <w:lvlText w:val="(%1)"/>
      <w:numFmt w:val="lowerLetter"/>
      <w:start w:val="4"/>
    </w:lvl>
  </w:abstractNum>
  <w:abstractNum w:abstractNumId="173">
    <w:nsid w:val="6B057295"/>
    <w:multiLevelType w:val="hybridMultilevel"/>
    <w:lvl w:ilvl="0">
      <w:lvlJc w:val="left"/>
      <w:lvlText w:val="(%1)"/>
      <w:numFmt w:val="lowerLetter"/>
      <w:start w:val="1"/>
    </w:lvl>
  </w:abstractNum>
  <w:abstractNum w:abstractNumId="174">
    <w:nsid w:val="2771AC80"/>
    <w:multiLevelType w:val="hybridMultilevel"/>
    <w:lvl w:ilvl="0">
      <w:lvlJc w:val="left"/>
      <w:lvlText w:val="(%1)"/>
      <w:numFmt w:val="lowerLetter"/>
      <w:start w:val="5"/>
    </w:lvl>
    <w:lvl w:ilvl="1">
      <w:lvlJc w:val="left"/>
      <w:lvlText w:val="(%2)"/>
      <w:numFmt w:val="lowerLetter"/>
      <w:start w:val="9"/>
    </w:lvl>
  </w:abstractNum>
  <w:abstractNum w:abstractNumId="175">
    <w:nsid w:val="1C4A08EC"/>
    <w:multiLevelType w:val="hybridMultilevel"/>
    <w:lvl w:ilvl="0">
      <w:lvlJc w:val="left"/>
      <w:lvlText w:val="(%1)"/>
      <w:numFmt w:val="upperLetter"/>
      <w:start w:val="2"/>
    </w:lvl>
  </w:abstractNum>
  <w:abstractNum w:abstractNumId="176">
    <w:nsid w:val="1958BD17"/>
    <w:multiLevelType w:val="hybridMultilevel"/>
    <w:lvl w:ilvl="0">
      <w:lvlJc w:val="left"/>
      <w:lvlText w:val="(%1)"/>
      <w:numFmt w:val="lowerRoman"/>
      <w:start w:val="2"/>
    </w:lvl>
    <w:lvl w:ilvl="1">
      <w:lvlJc w:val="left"/>
      <w:lvlText w:val="(%2)"/>
      <w:numFmt w:val="upperLetter"/>
      <w:start w:val="1"/>
    </w:lvl>
  </w:abstractNum>
  <w:abstractNum w:abstractNumId="177">
    <w:nsid w:val="4E647FE4"/>
    <w:multiLevelType w:val="hybridMultilevel"/>
    <w:lvl w:ilvl="0">
      <w:lvlJc w:val="left"/>
      <w:lvlText w:val="(%1)"/>
      <w:numFmt w:val="lowerLetter"/>
      <w:start w:val="6"/>
    </w:lvl>
  </w:abstractNum>
  <w:abstractNum w:abstractNumId="178">
    <w:nsid w:val="E0BB885"/>
    <w:multiLevelType w:val="hybridMultilevel"/>
    <w:lvl w:ilvl="0">
      <w:lvlJc w:val="left"/>
      <w:lvlText w:val="(%1)"/>
      <w:numFmt w:val="lowerRoman"/>
      <w:start w:val="1"/>
    </w:lvl>
  </w:abstractNum>
  <w:abstractNum w:abstractNumId="179">
    <w:nsid w:val="565976F1"/>
    <w:multiLevelType w:val="hybridMultilevel"/>
    <w:lvl w:ilvl="0">
      <w:lvlJc w:val="left"/>
      <w:lvlText w:val="(%1)"/>
      <w:numFmt w:val="upperLetter"/>
      <w:start w:val="1"/>
    </w:lvl>
  </w:abstractNum>
  <w:abstractNum w:abstractNumId="180">
    <w:nsid w:val="64212B8C"/>
    <w:multiLevelType w:val="hybridMultilevel"/>
    <w:lvl w:ilvl="0">
      <w:lvlJc w:val="left"/>
      <w:lvlText w:val="(%1)"/>
      <w:numFmt w:val="lowerRoman"/>
      <w:start w:val="2"/>
    </w:lvl>
  </w:abstractNum>
  <w:abstractNum w:abstractNumId="181">
    <w:nsid w:val="5C17530C"/>
    <w:multiLevelType w:val="hybridMultilevel"/>
    <w:lvl w:ilvl="0">
      <w:lvlJc w:val="left"/>
      <w:lvlText w:val="(%1)"/>
      <w:numFmt w:val="lowerRoman"/>
      <w:start w:val="3"/>
    </w:lvl>
  </w:abstractNum>
  <w:abstractNum w:abstractNumId="182">
    <w:nsid w:val="19A525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3">
    <w:nsid w:val="335A1DF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84">
    <w:nsid w:val="28677B7C"/>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85">
    <w:nsid w:val="378D97C0"/>
    <w:multiLevelType w:val="hybridMultilevel"/>
    <w:lvl w:ilvl="0">
      <w:lvlJc w:val="left"/>
      <w:lvlText w:val="(%1)"/>
      <w:numFmt w:val="decimal"/>
      <w:start w:val="1"/>
    </w:lvl>
  </w:abstractNum>
  <w:abstractNum w:abstractNumId="186">
    <w:nsid w:val="1D91467C"/>
    <w:multiLevelType w:val="hybridMultilevel"/>
    <w:lvl w:ilvl="0">
      <w:lvlJc w:val="left"/>
      <w:lvlText w:val="(%1)"/>
      <w:numFmt w:val="decimal"/>
      <w:start w:val="1"/>
    </w:lvl>
  </w:abstractNum>
  <w:abstractNum w:abstractNumId="187">
    <w:nsid w:val="316032BB"/>
    <w:multiLevelType w:val="hybridMultilevel"/>
    <w:lvl w:ilvl="0">
      <w:lvlJc w:val="left"/>
      <w:lvlText w:val="(%1)"/>
      <w:numFmt w:val="lowerLetter"/>
      <w:start w:val="24"/>
    </w:lvl>
  </w:abstractNum>
  <w:abstractNum w:abstractNumId="188">
    <w:nsid w:val="44344C22"/>
    <w:multiLevelType w:val="hybridMultilevel"/>
    <w:lvl w:ilvl="0">
      <w:lvlJc w:val="left"/>
      <w:lvlText w:val="(%1)"/>
      <w:numFmt w:val="decimal"/>
      <w:start w:val="2"/>
    </w:lvl>
  </w:abstractNum>
  <w:abstractNum w:abstractNumId="189">
    <w:nsid w:val="13CDFCFC"/>
    <w:multiLevelType w:val="hybridMultilevel"/>
    <w:lvl w:ilvl="0">
      <w:lvlJc w:val="left"/>
      <w:lvlText w:val="(%1)"/>
      <w:numFmt w:val="lowerLetter"/>
      <w:start w:val="1"/>
    </w:lvl>
  </w:abstractNum>
  <w:abstractNum w:abstractNumId="190">
    <w:nsid w:val="471745E4"/>
    <w:multiLevelType w:val="hybridMultilevel"/>
    <w:lvl w:ilvl="0">
      <w:lvlJc w:val="left"/>
      <w:lvlText w:val="(%1)"/>
      <w:numFmt w:val="decimal"/>
      <w:start w:val="1"/>
    </w:lvl>
  </w:abstractNum>
  <w:abstractNum w:abstractNumId="191">
    <w:nsid w:val="1DDBC66"/>
    <w:multiLevelType w:val="hybridMultilevel"/>
    <w:lvl w:ilvl="0">
      <w:lvlJc w:val="left"/>
      <w:lvlText w:val="(%1)"/>
      <w:numFmt w:val="decimal"/>
      <w:start w:val="2"/>
    </w:lvl>
  </w:abstractNum>
  <w:abstractNum w:abstractNumId="192">
    <w:nsid w:val="30AADFDA"/>
    <w:multiLevelType w:val="hybridMultilevel"/>
    <w:lvl w:ilvl="0">
      <w:lvlJc w:val="left"/>
      <w:lvlText w:val="(%1)"/>
      <w:numFmt w:val="lowerLetter"/>
      <w:start w:val="2"/>
    </w:lvl>
  </w:abstractNum>
  <w:abstractNum w:abstractNumId="193">
    <w:nsid w:val="30EADA61"/>
    <w:multiLevelType w:val="hybridMultilevel"/>
    <w:lvl w:ilvl="0">
      <w:lvlJc w:val="left"/>
      <w:lvlText w:val="(%1)"/>
      <w:numFmt w:val="lowerLetter"/>
      <w:start w:val="2"/>
    </w:lvl>
  </w:abstractNum>
  <w:abstractNum w:abstractNumId="194">
    <w:nsid w:val="27179C0B"/>
    <w:multiLevelType w:val="hybridMultilevel"/>
    <w:lvl w:ilvl="0">
      <w:lvlJc w:val="left"/>
      <w:lvlText w:val="(%1)"/>
      <w:numFmt w:val="lowerLetter"/>
      <w:start w:val="2"/>
    </w:lvl>
  </w:abstractNum>
  <w:abstractNum w:abstractNumId="195">
    <w:nsid w:val="5E636063"/>
    <w:multiLevelType w:val="hybridMultilevel"/>
    <w:lvl w:ilvl="0">
      <w:lvlJc w:val="left"/>
      <w:lvlText w:val="(%1)"/>
      <w:numFmt w:val="lowerLetter"/>
      <w:start w:val="2"/>
    </w:lvl>
  </w:abstractNum>
  <w:abstractNum w:abstractNumId="196">
    <w:nsid w:val="215641AF"/>
    <w:multiLevelType w:val="hybridMultilevel"/>
    <w:lvl w:ilvl="0">
      <w:lvlJc w:val="left"/>
      <w:lvlText w:val="(%1)"/>
      <w:numFmt w:val="lowerLetter"/>
      <w:start w:val="1"/>
    </w:lvl>
  </w:abstractNum>
  <w:abstractNum w:abstractNumId="197">
    <w:nsid w:val="53280662"/>
    <w:multiLevelType w:val="hybridMultilevel"/>
    <w:lvl w:ilvl="0">
      <w:lvlJc w:val="left"/>
      <w:lvlText w:val="(%1)"/>
      <w:numFmt w:val="lowerLetter"/>
      <w:start w:val="1"/>
    </w:lvl>
  </w:abstractNum>
  <w:abstractNum w:abstractNumId="198">
    <w:nsid w:val="46B24DBC"/>
    <w:multiLevelType w:val="hybridMultilevel"/>
    <w:lvl w:ilvl="0">
      <w:lvlJc w:val="left"/>
      <w:lvlText w:val="(%1)"/>
      <w:numFmt w:val="lowerLetter"/>
      <w:start w:val="2"/>
    </w:lvl>
    <w:lvl w:ilvl="1">
      <w:lvlJc w:val="left"/>
      <w:lvlText w:val="(%2)"/>
      <w:numFmt w:val="lowerRoman"/>
      <w:start w:val="1"/>
    </w:lvl>
  </w:abstractNum>
  <w:abstractNum w:abstractNumId="199">
    <w:nsid w:val="75B52783"/>
    <w:multiLevelType w:val="hybridMultilevel"/>
    <w:lvl w:ilvl="0">
      <w:lvlJc w:val="left"/>
      <w:lvlText w:val="(%1)"/>
      <w:numFmt w:val="lowerLetter"/>
      <w:start w:val="6"/>
    </w:lvl>
  </w:abstractNum>
  <w:abstractNum w:abstractNumId="200">
    <w:nsid w:val="57CE66B4"/>
    <w:multiLevelType w:val="hybridMultilevel"/>
    <w:lvl w:ilvl="0">
      <w:lvlJc w:val="left"/>
      <w:lvlText w:val="(%1)"/>
      <w:numFmt w:val="lowerLetter"/>
      <w:start w:val="1"/>
    </w:lvl>
  </w:abstractNum>
  <w:abstractNum w:abstractNumId="201">
    <w:nsid w:val="67A70B69"/>
    <w:multiLevelType w:val="hybridMultilevel"/>
    <w:lvl w:ilvl="0">
      <w:lvlJc w:val="left"/>
      <w:lvlText w:val="(%1)"/>
      <w:numFmt w:val="lowerLetter"/>
      <w:start w:val="1"/>
    </w:lvl>
  </w:abstractNum>
  <w:abstractNum w:abstractNumId="202">
    <w:nsid w:val="5953172F"/>
    <w:multiLevelType w:val="hybridMultilevel"/>
    <w:lvl w:ilvl="0">
      <w:lvlJc w:val="left"/>
      <w:lvlText w:val="(%1)"/>
      <w:numFmt w:val="lowerLetter"/>
      <w:start w:val="3"/>
    </w:lvl>
  </w:abstractNum>
  <w:abstractNum w:abstractNumId="203">
    <w:nsid w:val="27EDFE3A"/>
    <w:multiLevelType w:val="hybridMultilevel"/>
    <w:lvl w:ilvl="0">
      <w:lvlJc w:val="left"/>
      <w:lvlText w:val="(%1)"/>
      <w:numFmt w:val="lowerLetter"/>
      <w:start w:val="1"/>
    </w:lvl>
  </w:abstractNum>
  <w:abstractNum w:abstractNumId="204">
    <w:nsid w:val="52AC7DFF"/>
    <w:multiLevelType w:val="hybridMultilevel"/>
    <w:lvl w:ilvl="0">
      <w:lvlJc w:val="left"/>
      <w:lvlText w:val="(%1)"/>
      <w:numFmt w:val="lowerLetter"/>
      <w:start w:val="1"/>
    </w:lvl>
  </w:abstractNum>
  <w:abstractNum w:abstractNumId="205">
    <w:nsid w:val="C4C3AF"/>
    <w:multiLevelType w:val="hybridMultilevel"/>
    <w:lvl w:ilvl="0">
      <w:lvlJc w:val="left"/>
      <w:lvlText w:val="(%1)"/>
      <w:numFmt w:val="lowerLetter"/>
      <w:start w:val="1"/>
    </w:lvl>
  </w:abstractNum>
  <w:abstractNum w:abstractNumId="206">
    <w:nsid w:val="44380727"/>
    <w:multiLevelType w:val="hybridMultilevel"/>
    <w:lvl w:ilvl="0">
      <w:lvlJc w:val="left"/>
      <w:lvlText w:val="(%1)"/>
      <w:numFmt w:val="lowerLetter"/>
      <w:start w:val="2"/>
    </w:lvl>
  </w:abstractNum>
  <w:abstractNum w:abstractNumId="207">
    <w:nsid w:val="6C053B16"/>
    <w:multiLevelType w:val="hybridMultilevel"/>
    <w:lvl w:ilvl="0">
      <w:lvlJc w:val="left"/>
      <w:lvlText w:val="%1"/>
      <w:numFmt w:val="lowerLetter"/>
      <w:start w:val="1"/>
    </w:lvl>
    <w:lvl w:ilvl="1">
      <w:lvlJc w:val="left"/>
      <w:lvlText w:val="(%2)"/>
      <w:numFmt w:val="lowerLetter"/>
      <w:start w:val="1"/>
    </w:lvl>
  </w:abstractNum>
  <w:abstractNum w:abstractNumId="208">
    <w:nsid w:val="4F294393"/>
    <w:multiLevelType w:val="hybridMultilevel"/>
    <w:lvl w:ilvl="0">
      <w:lvlJc w:val="left"/>
      <w:lvlText w:val="(%1)"/>
      <w:numFmt w:val="lowerLetter"/>
      <w:start w:val="26"/>
    </w:lvl>
    <w:lvl w:ilvl="1">
      <w:lvlJc w:val="left"/>
      <w:lvlText w:val="(%2)"/>
      <w:numFmt w:val="lowerLetter"/>
      <w:start w:val="2"/>
    </w:lvl>
  </w:abstractNum>
  <w:abstractNum w:abstractNumId="209">
    <w:nsid w:val="5243BFAC"/>
    <w:multiLevelType w:val="hybridMultilevel"/>
    <w:lvl w:ilvl="0">
      <w:lvlJc w:val="left"/>
      <w:lvlText w:val="(%1)"/>
      <w:numFmt w:val="lowerLetter"/>
      <w:start w:val="3"/>
    </w:lvl>
  </w:abstractNum>
  <w:abstractNum w:abstractNumId="210">
    <w:nsid w:val="425EB207"/>
    <w:multiLevelType w:val="hybridMultilevel"/>
    <w:lvl w:ilvl="0">
      <w:lvlJc w:val="left"/>
      <w:lvlText w:val="%1"/>
      <w:numFmt w:val="upperLetter"/>
      <w:start w:val="1"/>
    </w:lvl>
    <w:lvl w:ilvl="1">
      <w:lvlJc w:val="left"/>
      <w:lvlText w:val="(%2)"/>
      <w:numFmt w:val="lowerLetter"/>
      <w:start w:val="1"/>
    </w:lvl>
  </w:abstractNum>
  <w:abstractNum w:abstractNumId="211">
    <w:nsid w:val="334A6F1F"/>
    <w:multiLevelType w:val="hybridMultilevel"/>
    <w:lvl w:ilvl="0">
      <w:lvlJc w:val="left"/>
      <w:lvlText w:val="(%1)"/>
      <w:numFmt w:val="upperLetter"/>
      <w:start w:val="3"/>
    </w:lvl>
    <w:lvl w:ilvl="1">
      <w:lvlJc w:val="left"/>
      <w:lvlText w:val="(%2)"/>
      <w:numFmt w:val="lowerLetter"/>
      <w:start w:val="4"/>
    </w:lvl>
  </w:abstractNum>
  <w:abstractNum w:abstractNumId="212">
    <w:nsid w:val="2E5B12B8"/>
    <w:multiLevelType w:val="hybridMultilevel"/>
    <w:lvl w:ilvl="0">
      <w:lvlJc w:val="left"/>
      <w:lvlText w:val="(%1)"/>
      <w:numFmt w:val="lowerLetter"/>
      <w:start w:val="7"/>
    </w:lvl>
  </w:abstractNum>
  <w:abstractNum w:abstractNumId="213">
    <w:nsid w:val="5C03D76D"/>
    <w:multiLevelType w:val="hybridMultilevel"/>
    <w:lvl w:ilvl="0">
      <w:lvlJc w:val="left"/>
      <w:lvlText w:val="(%1)"/>
      <w:numFmt w:val="lowerLetter"/>
      <w:start w:val="1"/>
    </w:lvl>
  </w:abstractNum>
  <w:abstractNum w:abstractNumId="214">
    <w:nsid w:val="66A48D11"/>
    <w:multiLevelType w:val="hybridMultilevel"/>
    <w:lvl w:ilvl="0">
      <w:lvlJc w:val="left"/>
      <w:lvlText w:val="(%1)"/>
      <w:numFmt w:val="lowerLetter"/>
      <w:start w:val="6"/>
    </w:lvl>
  </w:abstractNum>
  <w:abstractNum w:abstractNumId="215">
    <w:nsid w:val="56C28E34"/>
    <w:multiLevelType w:val="hybridMultilevel"/>
    <w:lvl w:ilvl="0">
      <w:lvlJc w:val="left"/>
      <w:lvlText w:val="(%1)"/>
      <w:numFmt w:val="lowerLetter"/>
      <w:start w:val="1"/>
    </w:lvl>
  </w:abstractNum>
  <w:abstractNum w:abstractNumId="216">
    <w:nsid w:val="13916F2D"/>
    <w:multiLevelType w:val="hybridMultilevel"/>
    <w:lvl w:ilvl="0">
      <w:lvlJc w:val="left"/>
      <w:lvlText w:val="(%1)"/>
      <w:numFmt w:val="lowerLetter"/>
      <w:start w:val="1"/>
    </w:lvl>
  </w:abstractNum>
  <w:abstractNum w:abstractNumId="217">
    <w:nsid w:val="435D38D"/>
    <w:multiLevelType w:val="hybridMultilevel"/>
    <w:lvl w:ilvl="0">
      <w:lvlJc w:val="left"/>
      <w:lvlText w:val="(%1)"/>
      <w:numFmt w:val="lowerLetter"/>
      <w:start w:val="1"/>
    </w:lvl>
  </w:abstractNum>
  <w:abstractNum w:abstractNumId="218">
    <w:nsid w:val="822C0EF"/>
    <w:multiLevelType w:val="hybridMultilevel"/>
    <w:lvl w:ilvl="0">
      <w:lvlJc w:val="left"/>
      <w:lvlText w:val="(%1)"/>
      <w:numFmt w:val="lowerLetter"/>
      <w:start w:val="6"/>
    </w:lvl>
  </w:abstractNum>
  <w:abstractNum w:abstractNumId="219">
    <w:nsid w:val="57C5BB4F"/>
    <w:multiLevelType w:val="hybridMultilevel"/>
    <w:lvl w:ilvl="0">
      <w:lvlJc w:val="left"/>
      <w:lvlText w:val="(%1)"/>
      <w:numFmt w:val="lowerLetter"/>
      <w:start w:val="1"/>
    </w:lvl>
  </w:abstractNum>
  <w:abstractNum w:abstractNumId="220">
    <w:nsid w:val="1803D089"/>
    <w:multiLevelType w:val="hybridMultilevel"/>
    <w:lvl w:ilvl="0">
      <w:lvlJc w:val="left"/>
      <w:lvlText w:val="(%1)"/>
      <w:numFmt w:val="lowerLetter"/>
      <w:start w:val="1"/>
    </w:lvl>
  </w:abstractNum>
  <w:abstractNum w:abstractNumId="221">
    <w:nsid w:val="4F3A06D4"/>
    <w:multiLevelType w:val="hybridMultilevel"/>
    <w:lvl w:ilvl="0">
      <w:lvlJc w:val="left"/>
      <w:lvlText w:val="(%1)"/>
      <w:numFmt w:val="lowerLetter"/>
      <w:start w:val="2"/>
    </w:lvl>
  </w:abstractNum>
  <w:abstractNum w:abstractNumId="222">
    <w:nsid w:val="59A377B6"/>
    <w:multiLevelType w:val="hybridMultilevel"/>
    <w:lvl w:ilvl="0">
      <w:lvlJc w:val="left"/>
      <w:lvlText w:val="(%1)"/>
      <w:numFmt w:val="upperLetter"/>
      <w:start w:val="2"/>
    </w:lvl>
    <w:lvl w:ilvl="1">
      <w:lvlJc w:val="left"/>
      <w:lvlText w:val="(%2)"/>
      <w:numFmt w:val="lowerLetter"/>
      <w:start w:val="4"/>
    </w:lvl>
  </w:abstractNum>
  <w:abstractNum w:abstractNumId="223">
    <w:nsid w:val="48AEB063"/>
    <w:multiLevelType w:val="hybridMultilevel"/>
    <w:lvl w:ilvl="0">
      <w:lvlJc w:val="left"/>
      <w:lvlText w:val="(%1)"/>
      <w:numFmt w:val="lowerLetter"/>
      <w:start w:val="7"/>
    </w:lvl>
  </w:abstractNum>
  <w:abstractNum w:abstractNumId="224">
    <w:nsid w:val="24E135"/>
    <w:multiLevelType w:val="hybridMultilevel"/>
    <w:lvl w:ilvl="0">
      <w:lvlJc w:val="left"/>
      <w:lvlText w:val="(%1)"/>
      <w:numFmt w:val="lowerLetter"/>
      <w:start w:val="1"/>
    </w:lvl>
  </w:abstractNum>
  <w:abstractNum w:abstractNumId="225">
    <w:nsid w:val="BB13C1"/>
    <w:multiLevelType w:val="hybridMultilevel"/>
    <w:lvl w:ilvl="0">
      <w:lvlJc w:val="left"/>
      <w:lvlText w:val="(%1)"/>
      <w:numFmt w:val="lowerLetter"/>
      <w:start w:val="2"/>
    </w:lvl>
    <w:lvl w:ilvl="1">
      <w:lvlJc w:val="left"/>
      <w:lvlText w:val="(%2)"/>
      <w:numFmt w:val="lowerRoman"/>
      <w:start w:val="1"/>
    </w:lvl>
  </w:abstractNum>
  <w:abstractNum w:abstractNumId="226">
    <w:nsid w:val="271210C7"/>
    <w:multiLevelType w:val="hybridMultilevel"/>
    <w:lvl w:ilvl="0">
      <w:lvlJc w:val="left"/>
      <w:lvlText w:val="(%1)"/>
      <w:numFmt w:val="lowerLetter"/>
      <w:start w:val="3"/>
    </w:lvl>
    <w:lvl w:ilvl="1">
      <w:lvlJc w:val="left"/>
      <w:lvlText w:val="(%2)"/>
      <w:numFmt w:val="lowerLetter"/>
      <w:start w:val="9"/>
    </w:lvl>
  </w:abstractNum>
  <w:abstractNum w:abstractNumId="227">
    <w:nsid w:val="217B22E4"/>
    <w:multiLevelType w:val="hybridMultilevel"/>
    <w:lvl w:ilvl="0">
      <w:lvlJc w:val="left"/>
      <w:lvlText w:val="%1"/>
      <w:numFmt w:val="lowerLetter"/>
      <w:start w:val="1"/>
    </w:lvl>
    <w:lvl w:ilvl="1">
      <w:lvlJc w:val="left"/>
      <w:lvlText w:val="(%2)"/>
      <w:numFmt w:val="lowerLetter"/>
      <w:start w:val="35"/>
    </w:lvl>
  </w:abstractNum>
  <w:abstractNum w:abstractNumId="228">
    <w:nsid w:val="53E31A24"/>
    <w:multiLevelType w:val="hybridMultilevel"/>
    <w:lvl w:ilvl="0">
      <w:lvlJc w:val="left"/>
      <w:lvlText w:val="(%1)"/>
      <w:numFmt w:val="lowerLetter"/>
      <w:start w:val="4"/>
    </w:lvl>
    <w:lvl w:ilvl="1">
      <w:lvlJc w:val="left"/>
      <w:lvlText w:val="%2"/>
      <w:numFmt w:val="lowerLetter"/>
      <w:start w:val="1"/>
    </w:lvl>
  </w:abstractNum>
  <w:abstractNum w:abstractNumId="229">
    <w:nsid w:val="6DC45E83"/>
    <w:multiLevelType w:val="hybridMultilevel"/>
    <w:lvl w:ilvl="0">
      <w:lvlJc w:val="left"/>
      <w:lvlText w:val="(%1)"/>
      <w:numFmt w:val="lowerLetter"/>
      <w:start w:val="7"/>
    </w:lvl>
  </w:abstractNum>
  <w:abstractNum w:abstractNumId="230">
    <w:nsid w:val="17304A67"/>
    <w:multiLevelType w:val="hybridMultilevel"/>
    <w:lvl w:ilvl="0">
      <w:lvlJc w:val="left"/>
      <w:lvlText w:val="(%1)"/>
      <w:numFmt w:val="lowerLetter"/>
      <w:start w:val="1"/>
    </w:lvl>
  </w:abstractNum>
  <w:abstractNum w:abstractNumId="231">
    <w:nsid w:val="2BB180D8"/>
    <w:multiLevelType w:val="hybridMultilevel"/>
    <w:lvl w:ilvl="0">
      <w:lvlJc w:val="left"/>
      <w:lvlText w:val="(%1)"/>
      <w:numFmt w:val="lowerLetter"/>
      <w:start w:val="7"/>
    </w:lvl>
  </w:abstractNum>
  <w:abstractNum w:abstractNumId="232">
    <w:nsid w:val="556B69ED"/>
    <w:multiLevelType w:val="hybridMultilevel"/>
    <w:lvl w:ilvl="0">
      <w:lvlJc w:val="left"/>
      <w:lvlText w:val="(%1)"/>
      <w:numFmt w:val="lowerRoman"/>
      <w:start w:val="1"/>
    </w:lvl>
  </w:abstractNum>
  <w:abstractNum w:abstractNumId="233">
    <w:nsid w:val="70836196"/>
    <w:multiLevelType w:val="hybridMultilevel"/>
    <w:lvl w:ilvl="0">
      <w:lvlJc w:val="left"/>
      <w:lvlText w:val="(%1)"/>
      <w:numFmt w:val="lowerLetter"/>
      <w:start w:val="2"/>
    </w:lvl>
  </w:abstractNum>
  <w:abstractNum w:abstractNumId="234">
    <w:nsid w:val="539F7F12"/>
    <w:multiLevelType w:val="hybridMultilevel"/>
    <w:lvl w:ilvl="0">
      <w:lvlJc w:val="left"/>
      <w:lvlText w:val="(%1)"/>
      <w:numFmt w:val="lowerLetter"/>
      <w:start w:val="3"/>
    </w:lvl>
    <w:lvl w:ilvl="1">
      <w:lvlJc w:val="left"/>
      <w:lvlText w:val="(%2)"/>
      <w:numFmt w:val="lowerRoman"/>
      <w:start w:val="1"/>
    </w:lvl>
  </w:abstractNum>
  <w:abstractNum w:abstractNumId="235">
    <w:nsid w:val="2817E7EC"/>
    <w:multiLevelType w:val="hybridMultilevel"/>
    <w:lvl w:ilvl="0">
      <w:lvlJc w:val="left"/>
      <w:lvlText w:val="(%1)"/>
      <w:numFmt w:val="lowerLetter"/>
      <w:start w:val="2"/>
    </w:lvl>
  </w:abstractNum>
  <w:abstractNum w:abstractNumId="236">
    <w:nsid w:val="71482545"/>
    <w:multiLevelType w:val="hybridMultilevel"/>
    <w:lvl w:ilvl="0">
      <w:lvlJc w:val="left"/>
      <w:lvlText w:val="(%1)"/>
      <w:numFmt w:val="lowerLetter"/>
      <w:start w:val="2"/>
    </w:lvl>
  </w:abstractNum>
  <w:abstractNum w:abstractNumId="237">
    <w:nsid w:val="17D78639"/>
    <w:multiLevelType w:val="hybridMultilevel"/>
    <w:lvl w:ilvl="0">
      <w:lvlJc w:val="left"/>
      <w:lvlText w:val="(%1)"/>
      <w:numFmt w:val="lowerLetter"/>
      <w:start w:val="3"/>
    </w:lvl>
  </w:abstractNum>
  <w:abstractNum w:abstractNumId="238">
    <w:nsid w:val="141D2302"/>
    <w:multiLevelType w:val="hybridMultilevel"/>
    <w:lvl w:ilvl="0">
      <w:lvlJc w:val="left"/>
      <w:lvlText w:val="(%1)"/>
      <w:numFmt w:val="lowerLetter"/>
      <w:start w:val="2"/>
    </w:lvl>
    <w:lvl w:ilvl="1">
      <w:lvlJc w:val="left"/>
      <w:lvlText w:val="(%2)"/>
      <w:numFmt w:val="lowerLetter"/>
      <w:start w:val="34"/>
    </w:lvl>
    <w:lvl w:ilvl="2">
      <w:lvlJc w:val="left"/>
      <w:lvlText w:val="(%3)"/>
      <w:numFmt w:val="upperLetter"/>
      <w:start w:val="1"/>
    </w:lvl>
  </w:abstractNum>
  <w:abstractNum w:abstractNumId="239">
    <w:nsid w:val="407168D8"/>
    <w:multiLevelType w:val="hybridMultilevel"/>
    <w:lvl w:ilvl="0">
      <w:lvlJc w:val="left"/>
      <w:lvlText w:val="(%1)"/>
      <w:numFmt w:val="lowerLetter"/>
      <w:start w:val="8"/>
    </w:lvl>
    <w:lvl w:ilvl="1">
      <w:lvlJc w:val="left"/>
      <w:lvlText w:val="%2"/>
      <w:numFmt w:val="lowerLetter"/>
      <w:start w:val="1"/>
    </w:lvl>
    <w:lvl w:ilvl="2">
      <w:lvlJc w:val="left"/>
      <w:lvlText w:val="(%3)"/>
      <w:numFmt w:val="upperLetter"/>
      <w:start w:val="2"/>
    </w:lvl>
  </w:abstractNum>
  <w:abstractNum w:abstractNumId="240">
    <w:nsid w:val="6A1B45E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41">
    <w:nsid w:val="567BD50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42">
    <w:nsid w:val="73BBD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43">
    <w:nsid w:val="1876589D"/>
    <w:multiLevelType w:val="hybridMultilevel"/>
    <w:lvl w:ilvl="0">
      <w:lvlJc w:val="left"/>
      <w:lvlText w:val="(%1)"/>
      <w:numFmt w:val="lowerLetter"/>
      <w:start w:val="4"/>
    </w:lvl>
  </w:abstractNum>
  <w:abstractNum w:abstractNumId="244">
    <w:nsid w:val="327FAC77"/>
    <w:multiLevelType w:val="hybridMultilevel"/>
    <w:lvl w:ilvl="0">
      <w:lvlJc w:val="left"/>
      <w:lvlText w:val="(%1)"/>
      <w:numFmt w:val="lowerLetter"/>
      <w:start w:val="2"/>
    </w:lvl>
  </w:abstractNum>
  <w:abstractNum w:abstractNumId="245">
    <w:nsid w:val="5A606509"/>
    <w:multiLevelType w:val="hybridMultilevel"/>
    <w:lvl w:ilvl="0">
      <w:lvlJc w:val="left"/>
      <w:lvlText w:val="(%1)"/>
      <w:numFmt w:val="lowerLetter"/>
      <w:start w:val="2"/>
    </w:lvl>
  </w:abstractNum>
  <w:abstractNum w:abstractNumId="246">
    <w:nsid w:val="6F38E6D1"/>
    <w:multiLevelType w:val="hybridMultilevel"/>
    <w:lvl w:ilvl="0">
      <w:lvlJc w:val="left"/>
      <w:lvlText w:val="(%1)"/>
      <w:numFmt w:val="lowerLetter"/>
      <w:start w:val="5"/>
    </w:lvl>
  </w:abstractNum>
  <w:abstractNum w:abstractNumId="247">
    <w:nsid w:val="46111BA5"/>
    <w:multiLevelType w:val="hybridMultilevel"/>
    <w:lvl w:ilvl="0">
      <w:lvlJc w:val="left"/>
      <w:lvlText w:val="(%1)"/>
      <w:numFmt w:val="upperLetter"/>
      <w:start w:val="1"/>
    </w:lvl>
  </w:abstractNum>
  <w:abstractNum w:abstractNumId="248">
    <w:nsid w:val="5E963896"/>
    <w:multiLevelType w:val="hybridMultilevel"/>
    <w:lvl w:ilvl="0">
      <w:lvlJc w:val="left"/>
      <w:lvlText w:val="(%1)"/>
      <w:numFmt w:val="lowerLetter"/>
      <w:start w:val="1"/>
    </w:lvl>
  </w:abstractNum>
  <w:abstractNum w:abstractNumId="249">
    <w:nsid w:val="775BA7C1"/>
    <w:multiLevelType w:val="hybridMultilevel"/>
    <w:lvl w:ilvl="0">
      <w:lvlJc w:val="left"/>
      <w:lvlText w:val="(%1)"/>
      <w:numFmt w:val="lowerLetter"/>
      <w:start w:val="2"/>
    </w:lvl>
  </w:abstractNum>
  <w:abstractNum w:abstractNumId="250">
    <w:nsid w:val="1DD6D6F4"/>
    <w:multiLevelType w:val="hybridMultilevel"/>
    <w:lvl w:ilvl="0">
      <w:lvlJc w:val="left"/>
      <w:lvlText w:val="(%1)"/>
      <w:numFmt w:val="lowerLetter"/>
      <w:start w:val="1"/>
    </w:lvl>
    <w:lvl w:ilvl="1">
      <w:lvlJc w:val="left"/>
      <w:lvlText w:val="(%2)"/>
      <w:numFmt w:val="lowerRoman"/>
      <w:start w:val="1"/>
    </w:lvl>
  </w:abstractNum>
  <w:abstractNum w:abstractNumId="251">
    <w:nsid w:val="769A091F"/>
    <w:multiLevelType w:val="hybridMultilevel"/>
    <w:lvl w:ilvl="0">
      <w:lvlJc w:val="left"/>
      <w:lvlText w:val="(%1)"/>
      <w:numFmt w:val="lowerLetter"/>
      <w:start w:val="1"/>
    </w:lvl>
  </w:abstractNum>
  <w:abstractNum w:abstractNumId="252">
    <w:nsid w:val="4695AE95"/>
    <w:multiLevelType w:val="hybridMultilevel"/>
    <w:lvl w:ilvl="0">
      <w:lvlJc w:val="left"/>
      <w:lvlText w:val="(%1)"/>
      <w:numFmt w:val="lowerRoman"/>
      <w:start w:val="1"/>
    </w:lvl>
  </w:abstractNum>
  <w:abstractNum w:abstractNumId="253">
    <w:nsid w:val="777A4EAA"/>
    <w:multiLevelType w:val="hybridMultilevel"/>
    <w:lvl w:ilvl="0">
      <w:lvlJc w:val="left"/>
      <w:lvlText w:val="(%1)"/>
      <w:numFmt w:val="lowerLetter"/>
      <w:start w:val="1"/>
    </w:lvl>
  </w:abstractNum>
  <w:abstractNum w:abstractNumId="254">
    <w:nsid w:val="3F48B982"/>
    <w:multiLevelType w:val="hybridMultilevel"/>
    <w:lvl w:ilvl="0">
      <w:lvlJc w:val="left"/>
      <w:lvlText w:val="%1."/>
      <w:numFmt w:val="decimal"/>
      <w:start w:val="1"/>
    </w:lvl>
    <w:lvl w:ilvl="1">
      <w:lvlJc w:val="left"/>
      <w:lvlText w:val="(%2)"/>
      <w:numFmt w:val="lowerLetter"/>
      <w:start w:val="1"/>
    </w:lvl>
  </w:abstractNum>
  <w:abstractNum w:abstractNumId="255">
    <w:nsid w:val="46BA8FCA"/>
    <w:multiLevelType w:val="hybridMultilevel"/>
    <w:lvl w:ilvl="0">
      <w:lvlJc w:val="left"/>
      <w:lvlText w:val="%1."/>
      <w:numFmt w:val="decimal"/>
      <w:start w:val="5"/>
    </w:lvl>
  </w:abstractNum>
  <w:abstractNum w:abstractNumId="256">
    <w:nsid w:val="7835626C"/>
    <w:multiLevelType w:val="hybridMultilevel"/>
    <w:lvl w:ilvl="0">
      <w:lvlJc w:val="left"/>
      <w:lvlText w:val="%1."/>
      <w:numFmt w:val="decimal"/>
      <w:start w:val="1"/>
    </w:lvl>
    <w:lvl w:ilvl="1">
      <w:lvlJc w:val="left"/>
      <w:lvlText w:val="%2."/>
      <w:numFmt w:val="lowerLetter"/>
      <w:start w:val="1"/>
    </w:lvl>
  </w:abstractNum>
  <w:abstractNum w:abstractNumId="257">
    <w:nsid w:val="665ACA49"/>
    <w:multiLevelType w:val="hybridMultilevel"/>
    <w:lvl w:ilvl="0">
      <w:lvlJc w:val="left"/>
      <w:lvlText w:val="%1."/>
      <w:numFmt w:val="decimal"/>
      <w:start w:val="1"/>
    </w:lvl>
    <w:lvl w:ilvl="1">
      <w:lvlJc w:val="left"/>
      <w:lvlText w:val="%2."/>
      <w:numFmt w:val="lowerLetter"/>
      <w:start w:val="1"/>
    </w:lvl>
  </w:abstractNum>
  <w:abstractNum w:abstractNumId="258">
    <w:nsid w:val="6835B2AE"/>
    <w:multiLevelType w:val="hybridMultilevel"/>
    <w:lvl w:ilvl="0">
      <w:lvlJc w:val="left"/>
      <w:lvlText w:val="•"/>
      <w:numFmt w:val="bullet"/>
      <w:start w:val="1"/>
    </w:lvl>
  </w:abstractNum>
  <w:abstractNum w:abstractNumId="259">
    <w:nsid w:val="4C187C9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43" Type="http://schemas.openxmlformats.org/officeDocument/2006/relationships/hyperlink" Target="http://www.sec.gov/Archives/edgar/data/711404/000071140422000058/a2023incentivepayment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2023-03-03T16:07:18Z</dcterms:created>
  <dcterms:modified xsi:type="dcterms:W3CDTF">2023-03-03T16:07:18Z</dcterms:modified>
</cp:coreProperties>
</file>