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w:t>
      </w:r>
    </w:p>
    <w:p>
      <w:pPr>
        <w:pStyle w:val="TextBody"/>
        <w:bidi w:val="0"/>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w:t>
      </w:r>
    </w:p>
    <w:tbl>
      <w:tblPr>
        <w:tblW w:w="9191" w:type="dxa"/>
        <w:jc w:val="center"/>
        <w:tblInd w:w="0" w:type="dxa"/>
        <w:tblLayout w:type="fixed"/>
        <w:tblCellMar>
          <w:top w:w="28" w:type="dxa"/>
          <w:left w:w="28" w:type="dxa"/>
          <w:bottom w:w="28" w:type="dxa"/>
          <w:right w:w="28" w:type="dxa"/>
        </w:tblCellMar>
      </w:tblPr>
      <w:tblGrid>
        <w:gridCol w:w="124"/>
        <w:gridCol w:w="109"/>
        <w:gridCol w:w="109"/>
        <w:gridCol w:w="2587"/>
        <w:gridCol w:w="2587"/>
        <w:gridCol w:w="36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36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January 31, 2024</w:t>
      </w:r>
    </w:p>
    <w:tbl>
      <w:tblPr>
        <w:tblW w:w="9222" w:type="dxa"/>
        <w:jc w:val="center"/>
        <w:tblInd w:w="0" w:type="dxa"/>
        <w:tblLayout w:type="fixed"/>
        <w:tblCellMar>
          <w:top w:w="28" w:type="dxa"/>
          <w:left w:w="28" w:type="dxa"/>
          <w:bottom w:w="28" w:type="dxa"/>
          <w:right w:w="28" w:type="dxa"/>
        </w:tblCellMar>
      </w:tblPr>
      <w:tblGrid>
        <w:gridCol w:w="124"/>
        <w:gridCol w:w="109"/>
        <w:gridCol w:w="109"/>
        <w:gridCol w:w="2601"/>
        <w:gridCol w:w="2601"/>
        <w:gridCol w:w="36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1-8597 </w:t>
      </w:r>
    </w:p>
    <w:p>
      <w:pPr>
        <w:pStyle w:val="TextBody"/>
        <w:bidi w:val="0"/>
        <w:spacing w:lineRule="auto" w:line="288" w:before="60" w:after="6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The Cooper Companies, Inc.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w:t>
      </w:r>
    </w:p>
    <w:tbl>
      <w:tblPr>
        <w:tblW w:w="3854" w:type="dxa"/>
        <w:jc w:val="center"/>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94-2657368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6101 Bollinger Canyon Road, Suite 500,</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San Ramon, California 94583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(925) 460-3600 </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 xml:space="preserve">(Registrant’s telephone number, including area code) </w:t>
      </w:r>
    </w:p>
    <w:p>
      <w:pPr>
        <w:pStyle w:val="TextBody"/>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w:t>
      </w:r>
    </w:p>
    <w:p>
      <w:pPr>
        <w:pStyle w:val="TextBody"/>
        <w:bidi w:val="0"/>
        <w:spacing w:lineRule="auto" w:line="417"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602" w:type="dxa"/>
        <w:jc w:val="center"/>
        <w:tblInd w:w="0" w:type="dxa"/>
        <w:tblLayout w:type="fixed"/>
        <w:tblCellMar>
          <w:top w:w="28" w:type="dxa"/>
          <w:left w:w="28" w:type="dxa"/>
          <w:bottom w:w="28" w:type="dxa"/>
          <w:right w:w="28" w:type="dxa"/>
        </w:tblCellMar>
      </w:tblPr>
      <w:tblGrid>
        <w:gridCol w:w="948"/>
        <w:gridCol w:w="833"/>
        <w:gridCol w:w="843"/>
        <w:gridCol w:w="109"/>
        <w:gridCol w:w="109"/>
        <w:gridCol w:w="109"/>
        <w:gridCol w:w="499"/>
        <w:gridCol w:w="499"/>
        <w:gridCol w:w="501"/>
        <w:gridCol w:w="109"/>
        <w:gridCol w:w="109"/>
        <w:gridCol w:w="109"/>
        <w:gridCol w:w="1118"/>
        <w:gridCol w:w="1118"/>
        <w:gridCol w:w="1589"/>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$.10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tbl>
      <w:tblPr>
        <w:tblW w:w="5662"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2024, 198,756,284 shares of Common Stock, $0.10 par value,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INDEX</w:t>
      </w:r>
    </w:p>
    <w:p>
      <w:pPr>
        <w:pStyle w:val="TextBody"/>
        <w:bidi w:val="0"/>
        <w:spacing w:lineRule="auto" w:line="288" w:before="0" w:after="0"/>
        <w:jc w:val="left"/>
        <w:rPr>
          <w:color w:val="000000"/>
        </w:rPr>
      </w:pPr>
      <w:r>
        <w:rPr>
          <w:color w:val="000000"/>
        </w:rPr>
        <w:t> </w:t>
      </w:r>
    </w:p>
    <w:tbl>
      <w:tblPr>
        <w:tblW w:w="9062" w:type="dxa"/>
        <w:jc w:val="left"/>
        <w:tblInd w:w="0" w:type="dxa"/>
        <w:tblLayout w:type="fixed"/>
        <w:tblCellMar>
          <w:top w:w="28" w:type="dxa"/>
          <w:left w:w="28" w:type="dxa"/>
          <w:bottom w:w="28" w:type="dxa"/>
          <w:right w:w="28" w:type="dxa"/>
        </w:tblCellMar>
      </w:tblPr>
      <w:tblGrid>
        <w:gridCol w:w="298"/>
        <w:gridCol w:w="263"/>
        <w:gridCol w:w="265"/>
        <w:gridCol w:w="2453"/>
        <w:gridCol w:w="2453"/>
        <w:gridCol w:w="2459"/>
        <w:gridCol w:w="255"/>
        <w:gridCol w:w="255"/>
        <w:gridCol w:w="361"/>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Page No.</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PART 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13">
              <w:r>
                <w:rPr>
                  <w:rStyle w:val="InternetLink"/>
                  <w:rFonts w:ascii="Times New Roman;sans-serif" w:hAnsi="Times New Roman;sans-serif"/>
                  <w:b w:val="false"/>
                  <w:color w:val="0000FF"/>
                  <w:sz w:val="19"/>
                  <w:u w:val="single"/>
                </w:rPr>
                <w:t>FINANCIAL INFORMATION</w:t>
              </w:r>
            </w:hyperlink>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16">
              <w:r>
                <w:rPr>
                  <w:rStyle w:val="InternetLink"/>
                  <w:rFonts w:ascii="Times New Roman;sans-serif" w:hAnsi="Times New Roman;sans-serif"/>
                  <w:b w:val="false"/>
                  <w:color w:val="0000FF"/>
                  <w:sz w:val="19"/>
                  <w:u w:val="single"/>
                </w:rPr>
                <w:t>Unaudited Financial Statements</w:t>
              </w:r>
            </w:hyperlink>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19">
              <w:r>
                <w:rPr>
                  <w:rStyle w:val="InternetLink"/>
                  <w:rFonts w:ascii="Times New Roman;sans-serif" w:hAnsi="Times New Roman;sans-serif"/>
                  <w:b w:val="false"/>
                  <w:color w:val="0000FF"/>
                  <w:sz w:val="19"/>
                  <w:u w:val="single"/>
                </w:rPr>
                <w:t>Consolidated Condensed Statements of Income and Comprehensive Income</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025580ef2e473292f803bd66085c91_19">
              <w:r>
                <w:rPr>
                  <w:rStyle w:val="InternetLink"/>
                  <w:rFonts w:ascii="Times New Roman;sans-serif" w:hAnsi="Times New Roman;sans-serif"/>
                  <w:b w:val="false"/>
                  <w:color w:val="0000FF"/>
                  <w:sz w:val="19"/>
                  <w:u w:val="single"/>
                </w:rPr>
                <w:t>3</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22">
              <w:r>
                <w:rPr>
                  <w:rStyle w:val="InternetLink"/>
                  <w:rFonts w:ascii="Times New Roman;sans-serif" w:hAnsi="Times New Roman;sans-serif"/>
                  <w:b w:val="false"/>
                  <w:color w:val="0000FF"/>
                  <w:sz w:val="19"/>
                  <w:u w:val="single"/>
                </w:rPr>
                <w:t>Consolidated Condensed Balance Sheets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025580ef2e473292f803bd66085c91_22">
              <w:r>
                <w:rPr>
                  <w:rStyle w:val="InternetLink"/>
                  <w:rFonts w:ascii="Times New Roman;sans-serif" w:hAnsi="Times New Roman;sans-serif"/>
                  <w:b w:val="false"/>
                  <w:color w:val="0000FF"/>
                  <w:sz w:val="19"/>
                  <w:u w:val="single"/>
                </w:rPr>
                <w:t>4</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25">
              <w:r>
                <w:rPr>
                  <w:rStyle w:val="InternetLink"/>
                  <w:rFonts w:ascii="Times New Roman;sans-serif" w:hAnsi="Times New Roman;sans-serif"/>
                  <w:b w:val="false"/>
                  <w:color w:val="0000FF"/>
                  <w:sz w:val="19"/>
                  <w:u w:val="single"/>
                </w:rPr>
                <w:t>Consolidated Condensed Statements of Stockholders' Equity</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025580ef2e473292f803bd66085c91_25">
              <w:r>
                <w:rPr>
                  <w:rStyle w:val="InternetLink"/>
                  <w:rFonts w:ascii="Times New Roman;sans-serif" w:hAnsi="Times New Roman;sans-serif"/>
                  <w:b w:val="false"/>
                  <w:color w:val="0000FF"/>
                  <w:sz w:val="19"/>
                  <w:u w:val="single"/>
                </w:rPr>
                <w:t>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28">
              <w:r>
                <w:rPr>
                  <w:rStyle w:val="InternetLink"/>
                  <w:rFonts w:ascii="Times New Roman;sans-serif" w:hAnsi="Times New Roman;sans-serif"/>
                  <w:b w:val="false"/>
                  <w:color w:val="0000FF"/>
                  <w:sz w:val="19"/>
                  <w:u w:val="single"/>
                </w:rPr>
                <w:t>Consolidated Condensed Statements of Cash Flows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025580ef2e473292f803bd66085c91_28">
              <w:r>
                <w:rPr>
                  <w:rStyle w:val="InternetLink"/>
                  <w:rFonts w:ascii="Times New Roman;sans-serif" w:hAnsi="Times New Roman;sans-serif"/>
                  <w:b w:val="false"/>
                  <w:color w:val="0000FF"/>
                  <w:sz w:val="19"/>
                  <w:u w:val="single"/>
                </w:rPr>
                <w:t>6</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34">
              <w:r>
                <w:rPr>
                  <w:rStyle w:val="InternetLink"/>
                  <w:rFonts w:ascii="Times New Roman;sans-serif" w:hAnsi="Times New Roman;sans-serif"/>
                  <w:b w:val="false"/>
                  <w:color w:val="0000FF"/>
                  <w:sz w:val="19"/>
                  <w:u w:val="single"/>
                </w:rPr>
                <w:t>Notes to Consolidated Condensed Financial Statements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025580ef2e473292f803bd66085c91_34">
              <w:r>
                <w:rPr>
                  <w:rStyle w:val="InternetLink"/>
                  <w:rFonts w:ascii="Times New Roman;sans-serif" w:hAnsi="Times New Roman;sans-serif"/>
                  <w:b w:val="false"/>
                  <w:color w:val="0000FF"/>
                  <w:sz w:val="19"/>
                  <w:u w:val="single"/>
                </w:rPr>
                <w:t>7</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70">
              <w:r>
                <w:rPr>
                  <w:rStyle w:val="InternetLink"/>
                  <w:rFonts w:ascii="Times New Roman;sans-serif" w:hAnsi="Times New Roman;sans-serif"/>
                  <w:b w:val="false"/>
                  <w:color w:val="0000FF"/>
                  <w:sz w:val="19"/>
                  <w:u w:val="single"/>
                </w:rPr>
                <w:t>Management’s Discussion and Analysis of Financial Condition and Results of Operations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025580ef2e473292f803bd66085c91_70">
              <w:r>
                <w:rPr>
                  <w:rStyle w:val="InternetLink"/>
                  <w:rFonts w:ascii="Times New Roman;sans-serif" w:hAnsi="Times New Roman;sans-serif"/>
                  <w:b w:val="false"/>
                  <w:color w:val="0000FF"/>
                  <w:sz w:val="19"/>
                  <w:u w:val="single"/>
                </w:rPr>
                <w:t>14</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85">
              <w:r>
                <w:rPr>
                  <w:rStyle w:val="InternetLink"/>
                  <w:rFonts w:ascii="Times New Roman;sans-serif" w:hAnsi="Times New Roman;sans-serif"/>
                  <w:b w:val="false"/>
                  <w:color w:val="0000FF"/>
                  <w:sz w:val="19"/>
                  <w:u w:val="single"/>
                </w:rPr>
                <w:t>Quantitative and Qualitative Disclosure About Market Risk</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025580ef2e473292f803bd66085c91_85">
              <w:r>
                <w:rPr>
                  <w:rStyle w:val="InternetLink"/>
                  <w:rFonts w:ascii="Times New Roman;sans-serif" w:hAnsi="Times New Roman;sans-serif"/>
                  <w:b w:val="false"/>
                  <w:color w:val="0000FF"/>
                  <w:sz w:val="19"/>
                  <w:u w:val="single"/>
                </w:rPr>
                <w:t>24</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88">
              <w:r>
                <w:rPr>
                  <w:rStyle w:val="InternetLink"/>
                  <w:rFonts w:ascii="Times New Roman;sans-serif" w:hAnsi="Times New Roman;sans-serif"/>
                  <w:b w:val="false"/>
                  <w:color w:val="0000FF"/>
                  <w:sz w:val="19"/>
                  <w:u w:val="single"/>
                </w:rPr>
                <w:t>Controls and Procedures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025580ef2e473292f803bd66085c91_88">
              <w:r>
                <w:rPr>
                  <w:rStyle w:val="InternetLink"/>
                  <w:rFonts w:ascii="Times New Roman;sans-serif" w:hAnsi="Times New Roman;sans-serif"/>
                  <w:b w:val="false"/>
                  <w:color w:val="0000FF"/>
                  <w:sz w:val="19"/>
                  <w:u w:val="single"/>
                </w:rPr>
                <w:t>24</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PART II.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91">
              <w:r>
                <w:rPr>
                  <w:rStyle w:val="InternetLink"/>
                  <w:rFonts w:ascii="Times New Roman;sans-serif" w:hAnsi="Times New Roman;sans-serif"/>
                  <w:b w:val="false"/>
                  <w:color w:val="0000FF"/>
                  <w:sz w:val="19"/>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94">
              <w:r>
                <w:rPr>
                  <w:rStyle w:val="InternetLink"/>
                  <w:rFonts w:ascii="Times New Roman;sans-serif" w:hAnsi="Times New Roman;sans-serif"/>
                  <w:b w:val="false"/>
                  <w:color w:val="0000FF"/>
                  <w:sz w:val="19"/>
                  <w:u w:val="single"/>
                </w:rPr>
                <w:t>Legal Proceedings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025580ef2e473292f803bd66085c91_94">
              <w:r>
                <w:rPr>
                  <w:rStyle w:val="InternetLink"/>
                  <w:rFonts w:ascii="Times New Roman;sans-serif" w:hAnsi="Times New Roman;sans-serif"/>
                  <w:b w:val="false"/>
                  <w:color w:val="0000FF"/>
                  <w:sz w:val="19"/>
                  <w:u w:val="single"/>
                </w:rPr>
                <w:t>25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97">
              <w:r>
                <w:rPr>
                  <w:rStyle w:val="InternetLink"/>
                  <w:rFonts w:ascii="Times New Roman;sans-serif" w:hAnsi="Times New Roman;sans-serif"/>
                  <w:b w:val="false"/>
                  <w:color w:val="0000FF"/>
                  <w:sz w:val="19"/>
                  <w:u w:val="single"/>
                </w:rPr>
                <w:t>Risk Factors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025580ef2e473292f803bd66085c91_97">
              <w:r>
                <w:rPr>
                  <w:rStyle w:val="InternetLink"/>
                  <w:rFonts w:ascii="Times New Roman;sans-serif" w:hAnsi="Times New Roman;sans-serif"/>
                  <w:b w:val="false"/>
                  <w:color w:val="0000FF"/>
                  <w:sz w:val="19"/>
                  <w:u w:val="single"/>
                </w:rPr>
                <w:t>25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100">
              <w:r>
                <w:rPr>
                  <w:rStyle w:val="InternetLink"/>
                  <w:rFonts w:ascii="Times New Roman;sans-serif" w:hAnsi="Times New Roman;sans-serif"/>
                  <w:b w:val="false"/>
                  <w:color w:val="0000FF"/>
                  <w:sz w:val="19"/>
                  <w:u w:val="single"/>
                </w:rPr>
                <w:t>Unregistered Sales of Equity Securities and Use of Proceeds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025580ef2e473292f803bd66085c91_100">
              <w:r>
                <w:rPr>
                  <w:rStyle w:val="InternetLink"/>
                  <w:rFonts w:ascii="Times New Roman;sans-serif" w:hAnsi="Times New Roman;sans-serif"/>
                  <w:b w:val="false"/>
                  <w:color w:val="0000FF"/>
                  <w:sz w:val="19"/>
                  <w:u w:val="single"/>
                </w:rPr>
                <w:t>25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103">
              <w:r>
                <w:rPr>
                  <w:rStyle w:val="InternetLink"/>
                  <w:rFonts w:ascii="Times New Roman;sans-serif" w:hAnsi="Times New Roman;sans-serif"/>
                  <w:b w:val="false"/>
                  <w:color w:val="0000FF"/>
                  <w:sz w:val="19"/>
                  <w:u w:val="single"/>
                </w:rPr>
                <w:t>Defaults Upon Senior Securities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025580ef2e473292f803bd66085c91_103">
              <w:r>
                <w:rPr>
                  <w:rStyle w:val="InternetLink"/>
                  <w:rFonts w:ascii="Times New Roman;sans-serif" w:hAnsi="Times New Roman;sans-serif"/>
                  <w:b w:val="false"/>
                  <w:color w:val="0000FF"/>
                  <w:sz w:val="19"/>
                  <w:u w:val="single"/>
                </w:rPr>
                <w:t>25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106">
              <w:r>
                <w:rPr>
                  <w:rStyle w:val="InternetLink"/>
                  <w:rFonts w:ascii="Times New Roman;sans-serif" w:hAnsi="Times New Roman;sans-serif"/>
                  <w:b w:val="false"/>
                  <w:color w:val="0000FF"/>
                  <w:sz w:val="19"/>
                  <w:u w:val="single"/>
                </w:rPr>
                <w:t>Mine Safety Disclosures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025580ef2e473292f803bd66085c91_106">
              <w:r>
                <w:rPr>
                  <w:rStyle w:val="InternetLink"/>
                  <w:rFonts w:ascii="Times New Roman;sans-serif" w:hAnsi="Times New Roman;sans-serif"/>
                  <w:b w:val="false"/>
                  <w:color w:val="0000FF"/>
                  <w:sz w:val="19"/>
                  <w:u w:val="single"/>
                </w:rPr>
                <w:t>25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109">
              <w:r>
                <w:rPr>
                  <w:rStyle w:val="InternetLink"/>
                  <w:rFonts w:ascii="Times New Roman;sans-serif" w:hAnsi="Times New Roman;sans-serif"/>
                  <w:b w:val="false"/>
                  <w:color w:val="0000FF"/>
                  <w:sz w:val="19"/>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025580ef2e473292f803bd66085c91_109">
              <w:r>
                <w:rPr>
                  <w:rStyle w:val="InternetLink"/>
                  <w:rFonts w:ascii="Times New Roman;sans-serif" w:hAnsi="Times New Roman;sans-serif"/>
                  <w:b w:val="false"/>
                  <w:color w:val="0000FF"/>
                  <w:sz w:val="19"/>
                  <w:u w:val="single"/>
                </w:rPr>
                <w:t>25</w:t>
              </w:r>
            </w:hyperlink>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112">
              <w:r>
                <w:rPr>
                  <w:rStyle w:val="InternetLink"/>
                  <w:rFonts w:ascii="Times New Roman;sans-serif" w:hAnsi="Times New Roman;sans-serif"/>
                  <w:b w:val="false"/>
                  <w:color w:val="0000FF"/>
                  <w:sz w:val="19"/>
                  <w:u w:val="single"/>
                </w:rPr>
                <w:t>Exhibits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025580ef2e473292f803bd66085c91_112">
              <w:r>
                <w:rPr>
                  <w:rStyle w:val="InternetLink"/>
                  <w:rFonts w:ascii="Times New Roman;sans-serif" w:hAnsi="Times New Roman;sans-serif"/>
                  <w:b w:val="false"/>
                  <w:color w:val="0000FF"/>
                  <w:sz w:val="19"/>
                  <w:u w:val="single"/>
                </w:rPr>
                <w:t>26</w:t>
              </w:r>
            </w:hyperlink>
          </w:p>
        </w:tc>
      </w:tr>
      <w:tr>
        <w:trPr/>
        <w:tc>
          <w:tcPr>
            <w:tcW w:w="81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25580ef2e473292f803bd66085c91_115">
              <w:r>
                <w:rPr>
                  <w:rStyle w:val="InternetLink"/>
                  <w:rFonts w:ascii="Times New Roman;sans-serif" w:hAnsi="Times New Roman;sans-serif"/>
                  <w:b w:val="false"/>
                  <w:color w:val="0000FF"/>
                  <w:sz w:val="19"/>
                  <w:u w:val="single"/>
                </w:rPr>
                <w:t>Signatures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025580ef2e473292f803bd66085c91_115">
              <w:r>
                <w:rPr>
                  <w:rStyle w:val="InternetLink"/>
                  <w:rFonts w:ascii="Times New Roman;sans-serif" w:hAnsi="Times New Roman;sans-serif"/>
                  <w:b w:val="false"/>
                  <w:color w:val="0000FF"/>
                  <w:sz w:val="19"/>
                  <w:u w:val="singl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COOPER COMPANIES, INC. AND SUBSIDIARIES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Consolidated Condensed Statements of Income and Comprehensive Income</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 xml:space="preserve">Three months ended January 31, </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(In millions, except for earnings per share)</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(Unaudited)</w:t>
      </w:r>
    </w:p>
    <w:tbl>
      <w:tblPr>
        <w:tblW w:w="7239" w:type="dxa"/>
        <w:jc w:val="left"/>
        <w:tblInd w:w="0" w:type="dxa"/>
        <w:tblLayout w:type="fixed"/>
        <w:tblCellMar>
          <w:top w:w="28" w:type="dxa"/>
          <w:left w:w="28" w:type="dxa"/>
          <w:bottom w:w="28" w:type="dxa"/>
          <w:right w:w="28" w:type="dxa"/>
        </w:tblCellMar>
      </w:tblPr>
      <w:tblGrid>
        <w:gridCol w:w="1954"/>
        <w:gridCol w:w="1292"/>
        <w:gridCol w:w="1313"/>
        <w:gridCol w:w="211"/>
        <w:gridCol w:w="616"/>
        <w:gridCol w:w="109"/>
        <w:gridCol w:w="109"/>
        <w:gridCol w:w="109"/>
        <w:gridCol w:w="109"/>
        <w:gridCol w:w="211"/>
        <w:gridCol w:w="616"/>
        <w:gridCol w:w="109"/>
        <w:gridCol w:w="109"/>
        <w:gridCol w:w="109"/>
        <w:gridCol w:w="109"/>
        <w:gridCol w:w="154"/>
      </w:tblGrid>
      <w:tr>
        <w:trPr/>
        <w:tc>
          <w:tcPr>
            <w:tcW w:w="195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intangibles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income taxes (Note 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Net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Earnings per share (Note 7)*:</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Number of shares used to compute earnings per share*:</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 net of tax:</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 hedges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currency translation adjustment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*All periods presented have been adjusted to reflect the four-for-one stock split effected on February 16, 2024. Refer to Note 1. General for further information.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accompanying notes are an integral part of these Consolidated Condensed Financial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COOPER COMPANIES, INC. AND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Consolidated Condensed Balance Sheets</w:t>
      </w:r>
    </w:p>
    <w:p>
      <w:pPr>
        <w:pStyle w:val="TextBody"/>
        <w:bidi w:val="0"/>
        <w:spacing w:lineRule="auto" w:line="288" w:before="0" w:after="120"/>
        <w:jc w:val="left"/>
        <w:rPr>
          <w:rFonts w:ascii="Times New Roman;sans-serif" w:hAnsi="Times New Roman;sans-serif"/>
          <w:b/>
          <w:color w:val="000000"/>
          <w:sz w:val="19"/>
        </w:rPr>
      </w:pPr>
      <w:r>
        <w:rPr>
          <w:rFonts w:ascii="Times New Roman;sans-serif" w:hAnsi="Times New Roman;sans-serif"/>
          <w:b/>
          <w:color w:val="000000"/>
          <w:sz w:val="19"/>
        </w:rPr>
        <w:t>(In millions, unaudited)</w:t>
      </w:r>
    </w:p>
    <w:tbl>
      <w:tblPr>
        <w:tblW w:w="10205" w:type="dxa"/>
        <w:jc w:val="left"/>
        <w:tblInd w:w="0" w:type="dxa"/>
        <w:tblLayout w:type="fixed"/>
        <w:tblCellMar>
          <w:top w:w="28" w:type="dxa"/>
          <w:left w:w="28" w:type="dxa"/>
          <w:bottom w:w="28" w:type="dxa"/>
          <w:right w:w="28" w:type="dxa"/>
        </w:tblCellMar>
      </w:tblPr>
      <w:tblGrid>
        <w:gridCol w:w="2903"/>
        <w:gridCol w:w="2127"/>
        <w:gridCol w:w="2100"/>
        <w:gridCol w:w="240"/>
        <w:gridCol w:w="992"/>
        <w:gridCol w:w="123"/>
        <w:gridCol w:w="109"/>
        <w:gridCol w:w="109"/>
        <w:gridCol w:w="109"/>
        <w:gridCol w:w="237"/>
        <w:gridCol w:w="979"/>
        <w:gridCol w:w="177"/>
      </w:tblGrid>
      <w:tr>
        <w:trPr/>
        <w:tc>
          <w:tcPr>
            <w:tcW w:w="290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October 31, 2023</w:t>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receivable, net of allowance for credit losses of $34.7 at January 31, 2024, and $31.3 at October 31, 2023</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609.7 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Inventories (Note 3)</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735.6 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 and other current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238.8 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1,793.9 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1,704.9 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plant and equipment, net</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1,682.2 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1,632.6 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Goodwill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3,624.5 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Other intangibles, net (Note 4)</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2,349.5 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12,032.6 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11,658.9 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 AND STOCKHOLDERS’ EQUITY</w:t>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 (Note 5)</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Employee compensation and benefits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363.3 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964.9 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969.0 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 (Note 5)</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tax payable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Other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239.2 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4,337.3 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4,107.9 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Contingencies (Note 10)</w:t>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$10 cents par value, 1.0 shares authorized, zero shares issued or outstanding</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$10 cents par value, 480.0 shares authorized, 216.4 issued and 198.7 outstanding at January 31, 2024, and 215.8 issued and 198.1 outstanding at October 31, 2023</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 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1,847.4 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1,817.2 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loss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(422.0)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Retained earnings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6,957.3 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6,876.1 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Treasury stock at cost: 17.7 shares at January 31, 2024, and 17.7 shares at October 31, 2023</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(709.2)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(710.3)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Cooper stockholders’ equity</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7,695.1 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7,550.8 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Noncontrolling interests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 (Note 9)</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7,695.3 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7,551.0 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stockholders’ equity</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12,032.6 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11,658.9 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30"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*All periods presented have been adjusted to reflect the four-for-one stock split effected on February 16, 2024. Refer to Note 1. General for further information.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ans-serif" w:hAnsi="Times New Roman;sans-serif"/>
          <w:b/>
          <w:color w:val="000000"/>
          <w:sz w:val="22"/>
        </w:rPr>
      </w:pPr>
      <w:r>
        <w:rPr>
          <w:rFonts w:ascii="Times New Roman;sans-serif" w:hAnsi="Times New Roman;sans-serif"/>
          <w:b/>
          <w:color w:val="000000"/>
          <w:sz w:val="22"/>
        </w:rPr>
        <w:t>THE COOPER COMPANIES, INC. AND SUBSIDIARIES</w:t>
      </w:r>
    </w:p>
    <w:p>
      <w:pPr>
        <w:pStyle w:val="TextBody"/>
        <w:bidi w:val="0"/>
        <w:spacing w:before="0" w:after="0"/>
        <w:jc w:val="center"/>
        <w:rPr/>
      </w:pPr>
      <w:r>
        <w:rPr/>
      </w:r>
    </w:p>
    <w:p>
      <w:pPr>
        <w:pStyle w:val="TextBody"/>
        <w:bidi w:val="0"/>
        <w:spacing w:lineRule="auto" w:line="288" w:before="0" w:after="60"/>
        <w:jc w:val="left"/>
        <w:rPr>
          <w:rFonts w:ascii="Times New Roman;sans-serif" w:hAnsi="Times New Roman;sans-serif"/>
          <w:b/>
          <w:color w:val="000000"/>
          <w:sz w:val="19"/>
        </w:rPr>
      </w:pPr>
      <w:r>
        <w:rPr>
          <w:rFonts w:ascii="Times New Roman;sans-serif" w:hAnsi="Times New Roman;sans-serif"/>
          <w:b/>
          <w:color w:val="000000"/>
          <w:sz w:val="19"/>
        </w:rPr>
        <w:t>Consolidated Condensed Statements of Stockholders' Equity</w:t>
      </w:r>
    </w:p>
    <w:p>
      <w:pPr>
        <w:pStyle w:val="TextBody"/>
        <w:bidi w:val="0"/>
        <w:spacing w:lineRule="auto" w:line="288" w:before="0" w:after="120"/>
        <w:jc w:val="left"/>
        <w:rPr>
          <w:rFonts w:ascii="Times New Roman;sans-serif" w:hAnsi="Times New Roman;sans-serif"/>
          <w:b/>
          <w:color w:val="000000"/>
          <w:sz w:val="19"/>
        </w:rPr>
      </w:pPr>
      <w:r>
        <w:rPr>
          <w:rFonts w:ascii="Times New Roman;sans-serif" w:hAnsi="Times New Roman;sans-serif"/>
          <w:b/>
          <w:color w:val="000000"/>
          <w:sz w:val="19"/>
        </w:rPr>
        <w:t>(In millions, unaudited)</w:t>
      </w:r>
    </w:p>
    <w:tbl>
      <w:tblPr>
        <w:tblW w:w="14041" w:type="dxa"/>
        <w:jc w:val="left"/>
        <w:tblInd w:w="0" w:type="dxa"/>
        <w:tblLayout w:type="fixed"/>
        <w:tblCellMar>
          <w:top w:w="28" w:type="dxa"/>
          <w:left w:w="28" w:type="dxa"/>
          <w:bottom w:w="28" w:type="dxa"/>
          <w:right w:w="28" w:type="dxa"/>
        </w:tblCellMar>
      </w:tblPr>
      <w:tblGrid>
        <w:gridCol w:w="738"/>
        <w:gridCol w:w="306"/>
        <w:gridCol w:w="307"/>
        <w:gridCol w:w="308"/>
        <w:gridCol w:w="308"/>
        <w:gridCol w:w="196"/>
        <w:gridCol w:w="109"/>
        <w:gridCol w:w="109"/>
        <w:gridCol w:w="109"/>
        <w:gridCol w:w="211"/>
        <w:gridCol w:w="511"/>
        <w:gridCol w:w="109"/>
        <w:gridCol w:w="109"/>
        <w:gridCol w:w="109"/>
        <w:gridCol w:w="109"/>
        <w:gridCol w:w="255"/>
        <w:gridCol w:w="256"/>
        <w:gridCol w:w="196"/>
        <w:gridCol w:w="109"/>
        <w:gridCol w:w="109"/>
        <w:gridCol w:w="109"/>
        <w:gridCol w:w="211"/>
        <w:gridCol w:w="406"/>
        <w:gridCol w:w="109"/>
        <w:gridCol w:w="109"/>
        <w:gridCol w:w="109"/>
        <w:gridCol w:w="109"/>
        <w:gridCol w:w="211"/>
        <w:gridCol w:w="766"/>
        <w:gridCol w:w="109"/>
        <w:gridCol w:w="109"/>
        <w:gridCol w:w="109"/>
        <w:gridCol w:w="109"/>
        <w:gridCol w:w="269"/>
        <w:gridCol w:w="806"/>
        <w:gridCol w:w="141"/>
        <w:gridCol w:w="109"/>
        <w:gridCol w:w="109"/>
        <w:gridCol w:w="109"/>
        <w:gridCol w:w="211"/>
        <w:gridCol w:w="766"/>
        <w:gridCol w:w="109"/>
        <w:gridCol w:w="109"/>
        <w:gridCol w:w="109"/>
        <w:gridCol w:w="109"/>
        <w:gridCol w:w="211"/>
        <w:gridCol w:w="631"/>
        <w:gridCol w:w="109"/>
        <w:gridCol w:w="109"/>
        <w:gridCol w:w="109"/>
        <w:gridCol w:w="109"/>
        <w:gridCol w:w="349"/>
        <w:gridCol w:w="671"/>
        <w:gridCol w:w="181"/>
        <w:gridCol w:w="109"/>
        <w:gridCol w:w="109"/>
        <w:gridCol w:w="109"/>
        <w:gridCol w:w="211"/>
        <w:gridCol w:w="766"/>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November 1, 2022*</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(466.8)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7,174.7 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common stock for stock plans, net and employee stock purchase plan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Dividends on common stock ($0.03 per share)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compensation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January 31, 2023*</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(403.8)</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7,335.7 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3127" w:type="dxa"/>
        <w:jc w:val="left"/>
        <w:tblInd w:w="0" w:type="dxa"/>
        <w:tblLayout w:type="fixed"/>
        <w:tblCellMar>
          <w:top w:w="28" w:type="dxa"/>
          <w:left w:w="28" w:type="dxa"/>
          <w:bottom w:w="28" w:type="dxa"/>
          <w:right w:w="28" w:type="dxa"/>
        </w:tblCellMar>
      </w:tblPr>
      <w:tblGrid>
        <w:gridCol w:w="738"/>
        <w:gridCol w:w="306"/>
        <w:gridCol w:w="307"/>
        <w:gridCol w:w="308"/>
        <w:gridCol w:w="308"/>
        <w:gridCol w:w="109"/>
        <w:gridCol w:w="109"/>
        <w:gridCol w:w="109"/>
        <w:gridCol w:w="109"/>
        <w:gridCol w:w="211"/>
        <w:gridCol w:w="511"/>
        <w:gridCol w:w="109"/>
        <w:gridCol w:w="109"/>
        <w:gridCol w:w="109"/>
        <w:gridCol w:w="109"/>
        <w:gridCol w:w="255"/>
        <w:gridCol w:w="256"/>
        <w:gridCol w:w="109"/>
        <w:gridCol w:w="109"/>
        <w:gridCol w:w="109"/>
        <w:gridCol w:w="109"/>
        <w:gridCol w:w="211"/>
        <w:gridCol w:w="406"/>
        <w:gridCol w:w="109"/>
        <w:gridCol w:w="109"/>
        <w:gridCol w:w="109"/>
        <w:gridCol w:w="109"/>
        <w:gridCol w:w="211"/>
        <w:gridCol w:w="766"/>
        <w:gridCol w:w="109"/>
        <w:gridCol w:w="109"/>
        <w:gridCol w:w="109"/>
        <w:gridCol w:w="109"/>
        <w:gridCol w:w="211"/>
        <w:gridCol w:w="631"/>
        <w:gridCol w:w="109"/>
        <w:gridCol w:w="109"/>
        <w:gridCol w:w="109"/>
        <w:gridCol w:w="109"/>
        <w:gridCol w:w="211"/>
        <w:gridCol w:w="766"/>
        <w:gridCol w:w="109"/>
        <w:gridCol w:w="109"/>
        <w:gridCol w:w="109"/>
        <w:gridCol w:w="109"/>
        <w:gridCol w:w="211"/>
        <w:gridCol w:w="631"/>
        <w:gridCol w:w="109"/>
        <w:gridCol w:w="109"/>
        <w:gridCol w:w="109"/>
        <w:gridCol w:w="109"/>
        <w:gridCol w:w="211"/>
        <w:gridCol w:w="406"/>
        <w:gridCol w:w="109"/>
        <w:gridCol w:w="109"/>
        <w:gridCol w:w="109"/>
        <w:gridCol w:w="109"/>
        <w:gridCol w:w="211"/>
        <w:gridCol w:w="766"/>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2511"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9" w:type="dxa"/>
            <w:gridSpan w:val="39"/>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November 1, 2023*</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Net income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comprehensive income,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common stock for stock plans, net and employee stock purchase plan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compensation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January 31, 2024*</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6,957.3 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7,695.3 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*All periods presented have been adjusted to reflect the four-for-one stock split effected on February 16, 2024. Refer to Note 1. General for further information.</w:t>
      </w:r>
    </w:p>
    <w:p>
      <w:pPr>
        <w:pStyle w:val="TextBody"/>
        <w:bidi w:val="0"/>
        <w:spacing w:before="0" w:after="0"/>
        <w:jc w:val="left"/>
        <w:rPr/>
      </w:pPr>
      <w:r>
        <w:rPr/>
      </w:r>
    </w:p>
    <w:p>
      <w:pPr>
        <w:pStyle w:val="TextBody"/>
        <w:bidi w:val="0"/>
        <w:spacing w:lineRule="auto" w:line="288" w:before="0" w:after="120"/>
        <w:jc w:val="center"/>
        <w:rPr>
          <w:rFonts w:ascii="Times New Roman;sans-serif" w:hAnsi="Times New Roman;sans-serif"/>
          <w:b w:val="false"/>
          <w:color w:val="000000"/>
          <w:sz w:val="19"/>
        </w:rPr>
      </w:pPr>
      <w:r>
        <w:rPr>
          <w:rFonts w:ascii="Times New Roman;sans-serif" w:hAnsi="Times New Roman;sans-serif"/>
          <w:b w:val="false"/>
          <w:color w:val="000000"/>
          <w:sz w:val="19"/>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THE COOPER COMPANIES, INC. AND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Consolidated Condensed Statements of Cash Flows</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 xml:space="preserve">Three Months Ended January 31, </w:t>
      </w:r>
    </w:p>
    <w:p>
      <w:pPr>
        <w:pStyle w:val="TextBody"/>
        <w:bidi w:val="0"/>
        <w:spacing w:lineRule="auto" w:line="288" w:before="0" w:after="120"/>
        <w:jc w:val="left"/>
        <w:rPr>
          <w:rFonts w:ascii="Times New Roman;sans-serif" w:hAnsi="Times New Roman;sans-serif"/>
          <w:b/>
          <w:color w:val="000000"/>
          <w:sz w:val="19"/>
        </w:rPr>
      </w:pPr>
      <w:r>
        <w:rPr>
          <w:rFonts w:ascii="Times New Roman;sans-serif" w:hAnsi="Times New Roman;sans-serif"/>
          <w:b/>
          <w:color w:val="000000"/>
          <w:sz w:val="19"/>
        </w:rPr>
        <w:t>(In millions, unaudited)</w:t>
      </w:r>
    </w:p>
    <w:tbl>
      <w:tblPr>
        <w:tblW w:w="8574" w:type="dxa"/>
        <w:jc w:val="left"/>
        <w:tblInd w:w="0" w:type="dxa"/>
        <w:tblLayout w:type="fixed"/>
        <w:tblCellMar>
          <w:top w:w="28" w:type="dxa"/>
          <w:left w:w="28" w:type="dxa"/>
          <w:bottom w:w="28" w:type="dxa"/>
          <w:right w:w="28" w:type="dxa"/>
        </w:tblCellMar>
      </w:tblPr>
      <w:tblGrid>
        <w:gridCol w:w="2289"/>
        <w:gridCol w:w="2013"/>
        <w:gridCol w:w="2028"/>
        <w:gridCol w:w="211"/>
        <w:gridCol w:w="616"/>
        <w:gridCol w:w="109"/>
        <w:gridCol w:w="109"/>
        <w:gridCol w:w="109"/>
        <w:gridCol w:w="109"/>
        <w:gridCol w:w="211"/>
        <w:gridCol w:w="616"/>
        <w:gridCol w:w="154"/>
      </w:tblGrid>
      <w:tr>
        <w:trPr/>
        <w:tc>
          <w:tcPr>
            <w:tcW w:w="228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contingent consideration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changes in operating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non-cash items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Acquisitions of businesses and assets, net of cash acquired,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long-term debt, net of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Repayments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proceeds from (repayments of) short-term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proceeds (payments) related to share-based compensation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Issuance of common stock for employee stock purchase plan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exchange rate changes on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 (decrease) in cash, cash equivalents, and restricted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Reconciliation of cash flow information:</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cash included in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The accompanying notes are an integral part of these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rFonts w:ascii="Times New Roman;sans-serif" w:hAnsi="Times New Roman;sans-serif"/>
          <w:b/>
          <w:color w:val="000000"/>
          <w:sz w:val="19"/>
          <w:u w:val="single"/>
        </w:rPr>
      </w:pPr>
      <w:r>
        <w:rPr>
          <w:rFonts w:ascii="Times New Roman;sans-serif" w:hAnsi="Times New Roman;sans-serif"/>
          <w:b/>
          <w:color w:val="000000"/>
          <w:sz w:val="19"/>
          <w:u w:val="single"/>
        </w:rPr>
        <w:t>Note 1. General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accompanying Consolidated Condensed Financial Statements of The Cooper Companies, Inc. and its subsidiaries have been prepared in accordance with generally accepted accounting principles in the United States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accompanying Consolidated Condensed Financial Statements and related notes are unaudited and should be read in conjunction with the audited Consolidated Financial Statements of the Company and related notes as contained in the Company’s Annual Report on Form 10-K for the fiscal year ended October 31, 2023. The Consolidated Condensed Financial Statements include all adjustments (consisting only of normal recurring adjustments) and accruals necessary in the judgment of management for a fair presentation of the results for the interim periods presented.</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Accounting Policies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9"/>
        </w:rPr>
        <w:t>There have been no material changes to our significant accounting policies</w:t>
      </w: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9"/>
        </w:rPr>
        <w:t>described in our Annual Report on Form 10-K for the fiscal year ended October 31, 2023.</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Stock Split</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On February 16, 2024, the Company effected a four-for-one stock split of its outstanding shares of common stock. The par value of the common stock remains at $0.10 cents per share. Accordingly, an amount equal to the par value of the increased shares resulting from the stock split was reclassified from "Additional paid-in capital" to "Common stock". All share and per share information has been retroactively adjusted to reflect the stock split for all periods presented.</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Accounting Pronouncements Issued But Not Yet Adopted</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19"/>
        </w:rPr>
        <w:t xml:space="preserve">In December 2023, the Financial Accounting Standards Board (FASB) issued ASU 2023-09, </w:t>
      </w:r>
      <w:r>
        <w:rPr>
          <w:rFonts w:ascii="Times New Roman;sans-serif" w:hAnsi="Times New Roman;sans-serif"/>
          <w:b w:val="false"/>
          <w:i/>
          <w:color w:val="000000"/>
          <w:sz w:val="19"/>
        </w:rPr>
        <w:t>Income Taxes (Topic 740): Improvements to Income Tax Disclosures.</w:t>
      </w:r>
      <w:r>
        <w:rPr>
          <w:color w:val="000000"/>
        </w:rPr>
        <w:t xml:space="preserve"> </w:t>
      </w:r>
      <w:r>
        <w:rPr>
          <w:rFonts w:ascii="Times New Roman;sans-serif" w:hAnsi="Times New Roman;sans-serif"/>
          <w:b w:val="false"/>
          <w:color w:val="000000"/>
          <w:sz w:val="19"/>
        </w:rPr>
        <w:t>This ASU requires public entities to disclose specific categories in the effective tax rate reconciliation and additional information for reconciling items that exceed a quantitative threshold. The guidance also requires all disaggregated information pertaining to taxes paid, net of refunds received, for federal, state and foreign income taxes. The new guidance is effective for fiscal years beginning after December 15, 2024, with the option to apply prospectively or retrospectively. Early adoption is permitted. We are currently evaluating the impact that the adoption of this guidance will have on our consolidated financial statements and disclosures.</w:t>
      </w:r>
    </w:p>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19"/>
        </w:rPr>
        <w:t xml:space="preserve">In November 2023, the FASB issued ASU 2023-07, </w:t>
      </w:r>
      <w:r>
        <w:rPr>
          <w:rFonts w:ascii="Times New Roman;sans-serif" w:hAnsi="Times New Roman;sans-serif"/>
          <w:b w:val="false"/>
          <w:i/>
          <w:color w:val="000000"/>
          <w:sz w:val="19"/>
        </w:rPr>
        <w:t>Segment Reporting (Topic 280): Improvements to Reportable Segment Disclosures</w:t>
      </w:r>
      <w:r>
        <w:rPr>
          <w:rFonts w:ascii="Times New Roman;sans-serif" w:hAnsi="Times New Roman;sans-serif"/>
          <w:b w:val="false"/>
          <w:color w:val="000000"/>
          <w:sz w:val="19"/>
        </w:rPr>
        <w:t xml:space="preserve">, which enhances the disclosures required for operating segments in our annual and interim consolidated financial statements. The ASU is effective for us beginning on November 1, 2024, and will be applied retrospectively. Early adoption is permitted. We are currently evaluating the impact of adopting this ASU on our consolidated financial statements and disclosures.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9"/>
          <w:u w:val="single"/>
        </w:rPr>
      </w:pPr>
      <w:r>
        <w:rPr>
          <w:rFonts w:ascii="Times New Roman;sans-serif" w:hAnsi="Times New Roman;sans-serif"/>
          <w:b/>
          <w:color w:val="000000"/>
          <w:sz w:val="19"/>
          <w:u w:val="single"/>
        </w:rPr>
        <w:t>Note 2. Acquisitions and Joint Venture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All acquisitions were funded by cash generated from operations or facility borrowings.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 November 1, 2023, CooperSurgical completed the acquisition of select Cook Medical assets focused primarily on the obstetrics, doppler monitoring, and gynecology surgery markets. The purchase price of the acquisition was $300.0 million, with $200.0 million paid at closing and two cash payments of $50.0 million each to be paid on November 1, 2024 and November 1, 2025. The present value of the acquisition purchase price was $291.6 million, which is included in the Company's balance sheet. Based upon preliminary valuations, assets acquired primarily comprised of $157.9 million of technologies, $26.6 million of </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4"/>
        </w:rPr>
        <w:t>To further clarify the policy detailed in our Annual Report on Form 10-K for the fiscal year ended October 31, 2023, the current portion of the deferred revenue balances at the beginning of each period presented were generally fully recognized in a ratable manner in the subsequent 12-month period. We recognized revenue of approximately $31.0 million and $23.0 million for the three months ended January 31, 2024, and 2023, respectively, that was included in the deferred revenue balance at October 31, 2023 and October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customer relationship related intangibles, and $107.2 million of goodwill. The goodwill is deductible for tax purposes. The purchase price allocation is preliminary, and the Company is in the process of finalizing purchase accounting information.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Joint Venture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and Essilor International SAS (Essilor) executed a Contribution Agreement and a Stock Purchase Agreement (the “Agreements”) in March 2022 to form a joint venture in SightGlass Vision, Inc. (SGV), which is a medical device company developing spectacle lenses for myopia management. Essilor paid CooperVision $52.1 million in exchange for a 50% interest in SGV and their proportionate share of the revenue payments. As part of the Agreements, each party contributed their interest in SGV and $10 million in cash. Prior to March 2022, CooperVision owned 100% of SGV.</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Further information regarding the joint venture is included in the notes to our consolidated financial statements in our Annual Report on Form 10-K for the fiscal year ended October 31, 2023.</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9"/>
          <w:u w:val="single"/>
        </w:rPr>
      </w:pPr>
      <w:r>
        <w:rPr>
          <w:rFonts w:ascii="Times New Roman;sans-serif" w:hAnsi="Times New Roman;sans-serif"/>
          <w:b/>
          <w:color w:val="000000"/>
          <w:sz w:val="19"/>
          <w:u w:val="single"/>
        </w:rPr>
        <w:t>Note 3. Inventories</w:t>
      </w:r>
    </w:p>
    <w:tbl>
      <w:tblPr>
        <w:tblW w:w="5037" w:type="dxa"/>
        <w:jc w:val="left"/>
        <w:tblInd w:w="0" w:type="dxa"/>
        <w:tblLayout w:type="fixed"/>
        <w:tblCellMar>
          <w:top w:w="28" w:type="dxa"/>
          <w:left w:w="28" w:type="dxa"/>
          <w:bottom w:w="28" w:type="dxa"/>
          <w:right w:w="28" w:type="dxa"/>
        </w:tblCellMar>
      </w:tblPr>
      <w:tblGrid>
        <w:gridCol w:w="599"/>
        <w:gridCol w:w="456"/>
        <w:gridCol w:w="460"/>
        <w:gridCol w:w="358"/>
        <w:gridCol w:w="1047"/>
        <w:gridCol w:w="185"/>
        <w:gridCol w:w="109"/>
        <w:gridCol w:w="109"/>
        <w:gridCol w:w="109"/>
        <w:gridCol w:w="345"/>
        <w:gridCol w:w="1008"/>
        <w:gridCol w:w="252"/>
      </w:tblGrid>
      <w:tr>
        <w:trPr/>
        <w:tc>
          <w:tcPr>
            <w:tcW w:w="59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October 31, 2023</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Raw materials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207.3 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Work-in-process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Finished goods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509.3 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inventories</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747.5 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735.6 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9"/>
          <w:u w:val="single"/>
        </w:rPr>
      </w:pPr>
      <w:r>
        <w:rPr>
          <w:rFonts w:ascii="Times New Roman;sans-serif" w:hAnsi="Times New Roman;sans-serif"/>
          <w:b/>
          <w:color w:val="000000"/>
          <w:sz w:val="19"/>
          <w:u w:val="single"/>
        </w:rPr>
        <w:t>Note 4.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Intangible assets consisted of the following:</w:t>
      </w:r>
    </w:p>
    <w:tbl>
      <w:tblPr>
        <w:tblW w:w="10205" w:type="dxa"/>
        <w:jc w:val="left"/>
        <w:tblInd w:w="0" w:type="dxa"/>
        <w:tblLayout w:type="fixed"/>
        <w:tblCellMar>
          <w:top w:w="28" w:type="dxa"/>
          <w:left w:w="28" w:type="dxa"/>
          <w:bottom w:w="28" w:type="dxa"/>
          <w:right w:w="28" w:type="dxa"/>
        </w:tblCellMar>
      </w:tblPr>
      <w:tblGrid>
        <w:gridCol w:w="861"/>
        <w:gridCol w:w="563"/>
        <w:gridCol w:w="548"/>
        <w:gridCol w:w="211"/>
        <w:gridCol w:w="766"/>
        <w:gridCol w:w="109"/>
        <w:gridCol w:w="109"/>
        <w:gridCol w:w="109"/>
        <w:gridCol w:w="109"/>
        <w:gridCol w:w="242"/>
        <w:gridCol w:w="878"/>
        <w:gridCol w:w="126"/>
        <w:gridCol w:w="109"/>
        <w:gridCol w:w="109"/>
        <w:gridCol w:w="109"/>
        <w:gridCol w:w="211"/>
        <w:gridCol w:w="766"/>
        <w:gridCol w:w="109"/>
        <w:gridCol w:w="109"/>
        <w:gridCol w:w="109"/>
        <w:gridCol w:w="109"/>
        <w:gridCol w:w="242"/>
        <w:gridCol w:w="878"/>
        <w:gridCol w:w="126"/>
        <w:gridCol w:w="109"/>
        <w:gridCol w:w="109"/>
        <w:gridCol w:w="109"/>
        <w:gridCol w:w="661"/>
        <w:gridCol w:w="661"/>
        <w:gridCol w:w="939"/>
      </w:tblGrid>
      <w:tr>
        <w:trPr/>
        <w:tc>
          <w:tcPr>
            <w:tcW w:w="8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October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Gross </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Gross </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Weighted-Average Amortization Period</w:t>
            </w:r>
          </w:p>
          <w:p>
            <w:pPr>
              <w:pStyle w:val="TableContents"/>
              <w:bidi w:val="0"/>
              <w:spacing w:lineRule="auto" w:line="288" w:before="0" w:after="200"/>
              <w:jc w:val="center"/>
              <w:rPr>
                <w:rFonts w:ascii="Times New Roman;sans-serif" w:hAnsi="Times New Roman;sans-serif"/>
                <w:b/>
                <w:color w:val="000000"/>
                <w:sz w:val="19"/>
              </w:rPr>
            </w:pPr>
            <w:r>
              <w:rPr>
                <w:rFonts w:ascii="Times New Roman;sans-serif" w:hAnsi="Times New Roman;sans-serif"/>
                <w:b/>
                <w:color w:val="000000"/>
                <w:sz w:val="19"/>
              </w:rPr>
              <w:t>(in years)</w:t>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1"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with definite lives: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Composite intangible asset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w:t>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Technology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Trademarks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w:t>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License and distribution rights and other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1,253.7 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1,215.1 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accumulated amortization and translation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with definite lives, net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Intangible assets with indefinite lives, net </w:t>
            </w:r>
            <w:r>
              <w:rPr>
                <w:rFonts w:ascii="Times New Roman;sans-serif" w:hAnsi="Times New Roman;sans-serif"/>
                <w:b w:val="false"/>
                <w:color w:val="000000"/>
                <w:sz w:val="12"/>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intangibles,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val="false"/>
          <w:i/>
          <w:color w:val="000000"/>
          <w:sz w:val="12"/>
        </w:rPr>
        <w:t xml:space="preserve">(1) </w:t>
      </w:r>
      <w:r>
        <w:rPr>
          <w:rFonts w:ascii="Times New Roman;sans-serif" w:hAnsi="Times New Roman;sans-serif"/>
          <w:b w:val="false"/>
          <w:i/>
          <w:color w:val="000000"/>
          <w:sz w:val="19"/>
        </w:rPr>
        <w:t>Intangible assets with indefinite lives include technology and trademarks.</w:t>
      </w:r>
    </w:p>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Balances include foreign currency translation adjustments.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As of January 31, 2024, the estimate of future amortization expenses for intangible assets with definite lives is as follows:</w:t>
      </w:r>
    </w:p>
    <w:tbl>
      <w:tblPr>
        <w:tblW w:w="6869" w:type="dxa"/>
        <w:jc w:val="left"/>
        <w:tblInd w:w="0" w:type="dxa"/>
        <w:tblLayout w:type="fixed"/>
        <w:tblCellMar>
          <w:top w:w="28" w:type="dxa"/>
          <w:left w:w="28" w:type="dxa"/>
          <w:bottom w:w="28" w:type="dxa"/>
          <w:right w:w="28" w:type="dxa"/>
        </w:tblCellMar>
      </w:tblPr>
      <w:tblGrid>
        <w:gridCol w:w="2052"/>
        <w:gridCol w:w="1811"/>
        <w:gridCol w:w="1821"/>
        <w:gridCol w:w="221"/>
        <w:gridCol w:w="803"/>
        <w:gridCol w:w="161"/>
      </w:tblGrid>
      <w:tr>
        <w:trPr/>
        <w:tc>
          <w:tcPr>
            <w:tcW w:w="2052"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Fiscal Years:</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(In millions)</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Remainder of 2024</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147.7 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2025</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2026</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2027</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2028</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Thereafter</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remaining amortization for intangible assets with definite lives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1,838.8 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There was no impairment of goodwill or intangible assets recorded in the three months ended January 31, 2024. </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9"/>
          <w:u w:val="single"/>
        </w:rPr>
      </w:pPr>
      <w:r>
        <w:rPr>
          <w:rFonts w:ascii="Times New Roman;sans-serif" w:hAnsi="Times New Roman;sans-serif"/>
          <w:b/>
          <w:color w:val="000000"/>
          <w:sz w:val="19"/>
          <w:u w:val="single"/>
        </w:rPr>
        <w:t>Note 5. Financing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Company had outstanding debt as follows:</w:t>
      </w:r>
    </w:p>
    <w:tbl>
      <w:tblPr>
        <w:tblW w:w="7165" w:type="dxa"/>
        <w:jc w:val="left"/>
        <w:tblInd w:w="0" w:type="dxa"/>
        <w:tblLayout w:type="fixed"/>
        <w:tblCellMar>
          <w:top w:w="28" w:type="dxa"/>
          <w:left w:w="28" w:type="dxa"/>
          <w:bottom w:w="28" w:type="dxa"/>
          <w:right w:w="28" w:type="dxa"/>
        </w:tblCellMar>
      </w:tblPr>
      <w:tblGrid>
        <w:gridCol w:w="1322"/>
        <w:gridCol w:w="1158"/>
        <w:gridCol w:w="1164"/>
        <w:gridCol w:w="309"/>
        <w:gridCol w:w="1122"/>
        <w:gridCol w:w="159"/>
        <w:gridCol w:w="109"/>
        <w:gridCol w:w="109"/>
        <w:gridCol w:w="109"/>
        <w:gridCol w:w="299"/>
        <w:gridCol w:w="1087"/>
        <w:gridCol w:w="218"/>
      </w:tblGrid>
      <w:tr>
        <w:trPr/>
        <w:tc>
          <w:tcPr>
            <w:tcW w:w="132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October 31, 2023</w:t>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 excluding financing leases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Financing lease liabilities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Revolving credit</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172.6 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Term loans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2,350.0 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Less: unamortized debt issuance cost</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 excluding financing leases</w:t>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2,520.4 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Financing lease liabilities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2,726.2 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2,523.8 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debt</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2,772.3 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2,569.2 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Additional information regarding our indebtedness is included in our notes to our consolidated financial statements in our Annual Report on Form 10-K for the fiscal year ended October 31, 2023, which was filed with the Securities and Exchange Commission on December 8, 2023. The carrying value of the Company's revolving credit facility and term loans approximates fair value based on current market rates (Level 2). As of January 31, 2024, the Company was in compliance with all debt covenants.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Term Loan Agreement on December 17, 2021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 billion, which, unless terminated earlier, matures on December 17, 2026.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On January 31, 2024, the Company had $1.5 billion outstanding under the 2021 Term Loan Facility and the interest rate was 6.45%.</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19"/>
        </w:rPr>
      </w:pPr>
      <w:r>
        <w:rPr>
          <w:rFonts w:ascii="Times New Roman;sans-serif" w:hAnsi="Times New Roman;sans-serif"/>
          <w:b/>
          <w:color w:val="000000"/>
          <w:sz w:val="19"/>
        </w:rPr>
        <w:t>Revolving Credit and Term Loan Agreement on April 1, 2020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million, each of which, unless terminated earlier, mature on April 1, 2025. The Company has an uncommitted option to increase the revolving credit facility or establish a new term loan in an aggregate amount up to $1.605 billion.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On January 31, 2024, the Company had $850.0 million outstanding under the 2020 Term Loan Facility and $375.0 million outstanding under the 2020 Revolving Credit Facility. The interest rate on the 2020 Term Loan Facility and the weighted-average interest rate on the 2020 Revolving Credit Facility was 6.45% at January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9"/>
          <w:u w:val="single"/>
        </w:rPr>
      </w:pPr>
      <w:r>
        <w:rPr>
          <w:rFonts w:ascii="Times New Roman;sans-serif" w:hAnsi="Times New Roman;sans-serif"/>
          <w:b/>
          <w:color w:val="000000"/>
          <w:sz w:val="19"/>
          <w:u w:val="single"/>
        </w:rPr>
        <w:t>Note 6. Income Taxes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effective tax rates for the three months ended January 31, 2024, and January 31, 2023, were 32.4% and 30.7%, respectively. The increase was primarily due to changes in the geographic composition of pre-tax earnings and an increase in the UK statutory tax rate from 19% to 25%, partially offset by an increase in excess tax benefits from share-based compensation.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19"/>
          <w:u w:val="single"/>
        </w:rPr>
      </w:pPr>
      <w:r>
        <w:rPr>
          <w:rFonts w:ascii="Times New Roman;sans-serif" w:hAnsi="Times New Roman;sans-serif"/>
          <w:b/>
          <w:color w:val="000000"/>
          <w:sz w:val="19"/>
          <w:u w:val="single"/>
        </w:rPr>
        <w:t>Note 7. Earnings Per Share</w:t>
      </w:r>
    </w:p>
    <w:tbl>
      <w:tblPr>
        <w:tblW w:w="5979" w:type="dxa"/>
        <w:jc w:val="left"/>
        <w:tblInd w:w="0" w:type="dxa"/>
        <w:tblLayout w:type="fixed"/>
        <w:tblCellMar>
          <w:top w:w="28" w:type="dxa"/>
          <w:left w:w="28" w:type="dxa"/>
          <w:bottom w:w="28" w:type="dxa"/>
          <w:right w:w="28" w:type="dxa"/>
        </w:tblCellMar>
      </w:tblPr>
      <w:tblGrid>
        <w:gridCol w:w="1269"/>
        <w:gridCol w:w="1119"/>
        <w:gridCol w:w="1121"/>
        <w:gridCol w:w="211"/>
        <w:gridCol w:w="511"/>
        <w:gridCol w:w="109"/>
        <w:gridCol w:w="109"/>
        <w:gridCol w:w="109"/>
        <w:gridCol w:w="109"/>
        <w:gridCol w:w="211"/>
        <w:gridCol w:w="511"/>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 Ended January 31,</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 except per share amounts)</w:t>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Basic:</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Weighted-average common shares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 earnings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Diluted:</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Weighted-average common shares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dilutive stock plans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Diluted weighted-average common shares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Diluted earnings per share </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table sets forth stock options to purchase our common stock and restricted stock units that were not included in the diluted earnings per share calculation because their effect would have been antidilutive for the periods presented:</w:t>
      </w:r>
    </w:p>
    <w:tbl>
      <w:tblPr>
        <w:tblW w:w="7133" w:type="dxa"/>
        <w:jc w:val="left"/>
        <w:tblInd w:w="0" w:type="dxa"/>
        <w:tblLayout w:type="fixed"/>
        <w:tblCellMar>
          <w:top w:w="28" w:type="dxa"/>
          <w:left w:w="28" w:type="dxa"/>
          <w:bottom w:w="28" w:type="dxa"/>
          <w:right w:w="28" w:type="dxa"/>
        </w:tblCellMar>
      </w:tblPr>
      <w:tblGrid>
        <w:gridCol w:w="1166"/>
        <w:gridCol w:w="1028"/>
        <w:gridCol w:w="1031"/>
        <w:gridCol w:w="582"/>
        <w:gridCol w:w="582"/>
        <w:gridCol w:w="335"/>
        <w:gridCol w:w="143"/>
        <w:gridCol w:w="143"/>
        <w:gridCol w:w="143"/>
        <w:gridCol w:w="582"/>
        <w:gridCol w:w="582"/>
        <w:gridCol w:w="335"/>
        <w:gridCol w:w="109"/>
        <w:gridCol w:w="109"/>
        <w:gridCol w:w="109"/>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 Ended January 31,</w:t>
            </w:r>
          </w:p>
        </w:tc>
        <w:tc>
          <w:tcPr>
            <w:tcW w:w="3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thousands, except exercise prices)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 option shares excluded</w:t>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1,245 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2,056 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Exercise prices</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9"/>
              </w:rPr>
            </w:pPr>
            <w:r>
              <w:rPr>
                <w:rFonts w:ascii="Times New Roman;sans-serif" w:hAnsi="Times New Roman;sans-serif"/>
                <w:b w:val="false"/>
                <w:color w:val="000000"/>
                <w:sz w:val="19"/>
              </w:rPr>
              <w:t>$82.46 - $101.54</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9"/>
              </w:rPr>
            </w:pPr>
            <w:r>
              <w:rPr>
                <w:rFonts w:ascii="Times New Roman;sans-serif" w:hAnsi="Times New Roman;sans-serif"/>
                <w:b w:val="false"/>
                <w:color w:val="000000"/>
                <w:sz w:val="19"/>
              </w:rPr>
              <w:t>$75.03 - $101.54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stock units excluded</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852 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9"/>
          <w:u w:val="single"/>
        </w:rPr>
      </w:pPr>
      <w:r>
        <w:rPr>
          <w:rFonts w:ascii="Times New Roman;sans-serif" w:hAnsi="Times New Roman;sans-serif"/>
          <w:b/>
          <w:color w:val="000000"/>
          <w:sz w:val="19"/>
          <w:u w:val="single"/>
        </w:rPr>
        <w:t>Note 8. Share-Based Compensation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Company has several stock plans that are described in the Company’s Annual Report on Form 10</w:t>
        <w:noBreakHyphen/>
        <w:t>K for the fiscal year ended October 31, 2023. The compensation expense and related income tax benefit recognized in our Consolidated Condensed Statements of Income and Comprehensive Income for share-based awards, including the Employee Stock Purchase Plan, were as follows:</w:t>
      </w:r>
    </w:p>
    <w:tbl>
      <w:tblPr>
        <w:tblW w:w="6130" w:type="dxa"/>
        <w:jc w:val="left"/>
        <w:tblInd w:w="0" w:type="dxa"/>
        <w:tblLayout w:type="fixed"/>
        <w:tblCellMar>
          <w:top w:w="28" w:type="dxa"/>
          <w:left w:w="28" w:type="dxa"/>
          <w:bottom w:w="28" w:type="dxa"/>
          <w:right w:w="28" w:type="dxa"/>
        </w:tblCellMar>
      </w:tblPr>
      <w:tblGrid>
        <w:gridCol w:w="1323"/>
        <w:gridCol w:w="1167"/>
        <w:gridCol w:w="1170"/>
        <w:gridCol w:w="211"/>
        <w:gridCol w:w="511"/>
        <w:gridCol w:w="109"/>
        <w:gridCol w:w="109"/>
        <w:gridCol w:w="109"/>
        <w:gridCol w:w="109"/>
        <w:gridCol w:w="211"/>
        <w:gridCol w:w="511"/>
        <w:gridCol w:w="109"/>
        <w:gridCol w:w="109"/>
        <w:gridCol w:w="109"/>
        <w:gridCol w:w="109"/>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 Ended January 31,</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 expense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share-based compensation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Related income tax benefit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both"/>
        <w:rPr>
          <w:rFonts w:ascii="Times New Roman;sans-serif" w:hAnsi="Times New Roman;sans-serif"/>
          <w:b/>
          <w:color w:val="000000"/>
          <w:sz w:val="19"/>
          <w:u w:val="single"/>
        </w:rPr>
      </w:pPr>
      <w:r>
        <w:rPr>
          <w:rFonts w:ascii="Times New Roman;sans-serif" w:hAnsi="Times New Roman;sans-serif"/>
          <w:b/>
          <w:color w:val="000000"/>
          <w:sz w:val="19"/>
          <w:u w:val="single"/>
        </w:rPr>
        <w:t>Note 9. Stockholders' Equity</w:t>
      </w:r>
    </w:p>
    <w:p>
      <w:pPr>
        <w:pStyle w:val="TextBody"/>
        <w:bidi w:val="0"/>
        <w:spacing w:lineRule="auto" w:line="288" w:before="180" w:after="283"/>
        <w:jc w:val="both"/>
        <w:rPr>
          <w:rFonts w:ascii="Times New Roman;sans-serif" w:hAnsi="Times New Roman;sans-serif"/>
          <w:b/>
          <w:color w:val="000000"/>
          <w:sz w:val="19"/>
        </w:rPr>
      </w:pPr>
      <w:r>
        <w:rPr>
          <w:rFonts w:ascii="Times New Roman;sans-serif" w:hAnsi="Times New Roman;sans-serif"/>
          <w:b/>
          <w:color w:val="000000"/>
          <w:sz w:val="19"/>
        </w:rPr>
        <w:t>Analysis of Changes in Accumulated Other Comprehensive Loss:</w:t>
      </w:r>
    </w:p>
    <w:tbl>
      <w:tblPr>
        <w:tblW w:w="10205" w:type="dxa"/>
        <w:jc w:val="left"/>
        <w:tblInd w:w="0" w:type="dxa"/>
        <w:tblLayout w:type="fixed"/>
        <w:tblCellMar>
          <w:top w:w="28" w:type="dxa"/>
          <w:left w:w="28" w:type="dxa"/>
          <w:bottom w:w="28" w:type="dxa"/>
          <w:right w:w="28" w:type="dxa"/>
        </w:tblCellMar>
      </w:tblPr>
      <w:tblGrid>
        <w:gridCol w:w="666"/>
        <w:gridCol w:w="584"/>
        <w:gridCol w:w="586"/>
        <w:gridCol w:w="608"/>
        <w:gridCol w:w="1822"/>
        <w:gridCol w:w="316"/>
        <w:gridCol w:w="109"/>
        <w:gridCol w:w="109"/>
        <w:gridCol w:w="109"/>
        <w:gridCol w:w="539"/>
        <w:gridCol w:w="1076"/>
        <w:gridCol w:w="280"/>
        <w:gridCol w:w="109"/>
        <w:gridCol w:w="109"/>
        <w:gridCol w:w="109"/>
        <w:gridCol w:w="433"/>
        <w:gridCol w:w="1050"/>
        <w:gridCol w:w="224"/>
        <w:gridCol w:w="109"/>
        <w:gridCol w:w="109"/>
        <w:gridCol w:w="109"/>
        <w:gridCol w:w="211"/>
        <w:gridCol w:w="669"/>
        <w:gridCol w:w="160"/>
      </w:tblGrid>
      <w:tr>
        <w:trPr/>
        <w:tc>
          <w:tcPr>
            <w:tcW w:w="66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Foreign 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Minimum Pension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October 31, 2022</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(555.0)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(466.8)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change in value</w:t>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 effect</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31, 2023</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(471.0)</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73.4 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(403.8)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October 31, 2023</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change in value</w:t>
            </w:r>
          </w:p>
        </w:tc>
        <w:tc>
          <w:tcPr>
            <w:tcW w:w="2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(36.8)</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bookmarkStart w:id="0" w:name="ie53c64f89b974d95a756afb0b36cabd3_7-7-1-"/>
            <w:bookmarkEnd w:id="0"/>
            <w:r>
              <w:rPr>
                <w:rFonts w:ascii="Times New Roman;sans-serif" w:hAnsi="Times New Roman;sans-serif"/>
                <w:b w:val="false"/>
                <w:color w:val="000000"/>
                <w:sz w:val="19"/>
              </w:rPr>
              <w:t>23.0 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 effect</w:t>
            </w:r>
          </w:p>
        </w:tc>
        <w:tc>
          <w:tcPr>
            <w:tcW w:w="2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Balance at January 31, 2024</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(478.2)</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59.4 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(422.0)</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Share Repurchases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March 2017, the authorization under the 2012 Share Repurchase Program was increased to $1.0 billion by the Company's Board of Directors. As of January 31, 2024, $256.4 million remains authorized for repurchase.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During the three months ended January 31, 2024, and 2023, there were no share repurchases.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Dividends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December 2023, the Company's Board of Directors decided to end the declaration of the semiannual dividend.</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Company paid a semiannual dividend of approximately $1.5 million or 3 cents per share, on February 10, 2023, to stockholders of record on January 23, 2023. </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9"/>
          <w:u w:val="single"/>
        </w:rPr>
      </w:pPr>
      <w:r>
        <w:rPr>
          <w:rFonts w:ascii="Times New Roman;sans-serif" w:hAnsi="Times New Roman;sans-serif"/>
          <w:b/>
          <w:color w:val="000000"/>
          <w:sz w:val="19"/>
          <w:u w:val="single"/>
        </w:rPr>
        <w:t>Note 10. Contingencies and Commitments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9"/>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Times New Roman;sans-serif" w:hAnsi="Times New Roman;sans-serif"/>
          <w:b w:val="false"/>
          <w:i/>
          <w:color w:val="000000"/>
          <w:sz w:val="19"/>
        </w:rPr>
        <w:t>Contingencies</w:t>
      </w:r>
      <w:r>
        <w:rPr>
          <w:rFonts w:ascii="Times New Roman;sans-serif" w:hAnsi="Times New Roman;sans-serif"/>
          <w:b w:val="false"/>
          <w:color w:val="000000"/>
          <w:sz w:val="19"/>
        </w:rPr>
        <w:t>. Legal fees are expensed as incurred.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As of January 31, 2024, the Company entered into an additional lease that has not yet commenced in order to expand capacity. The undiscounted lease payments are estimated at $73.0 million for a lease that will commence beginning in fiscal 2025 for a term of 25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9"/>
          <w:u w:val="single"/>
        </w:rPr>
      </w:pPr>
      <w:r>
        <w:rPr>
          <w:rFonts w:ascii="Times New Roman;sans-serif" w:hAnsi="Times New Roman;sans-serif"/>
          <w:b/>
          <w:color w:val="000000"/>
          <w:sz w:val="19"/>
          <w:u w:val="single"/>
        </w:rPr>
        <w:t>Note 11. Business Segment Information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tables present revenue and other financial information by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Segment information:</w:t>
      </w:r>
    </w:p>
    <w:tbl>
      <w:tblPr>
        <w:tblW w:w="5874" w:type="dxa"/>
        <w:jc w:val="left"/>
        <w:tblInd w:w="0" w:type="dxa"/>
        <w:tblLayout w:type="fixed"/>
        <w:tblCellMar>
          <w:top w:w="28" w:type="dxa"/>
          <w:left w:w="28" w:type="dxa"/>
          <w:bottom w:w="28" w:type="dxa"/>
          <w:right w:w="28" w:type="dxa"/>
        </w:tblCellMar>
      </w:tblPr>
      <w:tblGrid>
        <w:gridCol w:w="1155"/>
        <w:gridCol w:w="1018"/>
        <w:gridCol w:w="1021"/>
        <w:gridCol w:w="211"/>
        <w:gridCol w:w="616"/>
        <w:gridCol w:w="109"/>
        <w:gridCol w:w="109"/>
        <w:gridCol w:w="109"/>
        <w:gridCol w:w="109"/>
        <w:gridCol w:w="211"/>
        <w:gridCol w:w="616"/>
        <w:gridCol w:w="109"/>
        <w:gridCol w:w="109"/>
        <w:gridCol w:w="109"/>
        <w:gridCol w:w="109"/>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 Ended January 31,</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net sales by category:</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Toric and multifocal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Sphere,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CooperVision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 net sales by category:</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Office and surgical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Fertility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 net sales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income (loss):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operating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Other expense, net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636" w:type="dxa"/>
        <w:jc w:val="left"/>
        <w:tblInd w:w="0" w:type="dxa"/>
        <w:tblLayout w:type="fixed"/>
        <w:tblCellMar>
          <w:top w:w="28" w:type="dxa"/>
          <w:left w:w="28" w:type="dxa"/>
          <w:bottom w:w="28" w:type="dxa"/>
          <w:right w:w="28" w:type="dxa"/>
        </w:tblCellMar>
      </w:tblPr>
      <w:tblGrid>
        <w:gridCol w:w="767"/>
        <w:gridCol w:w="672"/>
        <w:gridCol w:w="676"/>
        <w:gridCol w:w="281"/>
        <w:gridCol w:w="1163"/>
        <w:gridCol w:w="145"/>
        <w:gridCol w:w="109"/>
        <w:gridCol w:w="109"/>
        <w:gridCol w:w="109"/>
        <w:gridCol w:w="274"/>
        <w:gridCol w:w="1131"/>
        <w:gridCol w:w="200"/>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October 31, 2023</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identifiable assets:</w:t>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7,129.5 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7,044.0 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4,663.3 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4,351.8 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239.8 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263.1 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12,032.6 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11,658.9 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Geographic information:</w:t>
      </w:r>
    </w:p>
    <w:tbl>
      <w:tblPr>
        <w:tblW w:w="7539" w:type="dxa"/>
        <w:jc w:val="left"/>
        <w:tblInd w:w="0" w:type="dxa"/>
        <w:tblLayout w:type="fixed"/>
        <w:tblCellMar>
          <w:top w:w="28" w:type="dxa"/>
          <w:left w:w="28" w:type="dxa"/>
          <w:bottom w:w="28" w:type="dxa"/>
          <w:right w:w="28" w:type="dxa"/>
        </w:tblCellMar>
      </w:tblPr>
      <w:tblGrid>
        <w:gridCol w:w="1757"/>
        <w:gridCol w:w="1549"/>
        <w:gridCol w:w="1553"/>
        <w:gridCol w:w="211"/>
        <w:gridCol w:w="616"/>
        <w:gridCol w:w="109"/>
        <w:gridCol w:w="109"/>
        <w:gridCol w:w="109"/>
        <w:gridCol w:w="109"/>
        <w:gridCol w:w="211"/>
        <w:gridCol w:w="616"/>
        <w:gridCol w:w="109"/>
        <w:gridCol w:w="109"/>
        <w:gridCol w:w="109"/>
        <w:gridCol w:w="109"/>
        <w:gridCol w:w="154"/>
      </w:tblGrid>
      <w:tr>
        <w:trPr/>
        <w:tc>
          <w:tcPr>
            <w:tcW w:w="1757"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 Ended January 31,</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 to unaffiliated customers by country of domicile: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Europe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 of world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395" w:type="dxa"/>
        <w:jc w:val="left"/>
        <w:tblInd w:w="0" w:type="dxa"/>
        <w:tblLayout w:type="fixed"/>
        <w:tblCellMar>
          <w:top w:w="28" w:type="dxa"/>
          <w:left w:w="28" w:type="dxa"/>
          <w:bottom w:w="28" w:type="dxa"/>
          <w:right w:w="28" w:type="dxa"/>
        </w:tblCellMar>
      </w:tblPr>
      <w:tblGrid>
        <w:gridCol w:w="1768"/>
        <w:gridCol w:w="1549"/>
        <w:gridCol w:w="1557"/>
        <w:gridCol w:w="309"/>
        <w:gridCol w:w="1122"/>
        <w:gridCol w:w="159"/>
        <w:gridCol w:w="109"/>
        <w:gridCol w:w="109"/>
        <w:gridCol w:w="109"/>
        <w:gridCol w:w="299"/>
        <w:gridCol w:w="1087"/>
        <w:gridCol w:w="218"/>
      </w:tblGrid>
      <w:tr>
        <w:trPr/>
        <w:tc>
          <w:tcPr>
            <w:tcW w:w="176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October 31, 2023</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property, plant and equipment by country of domicile:</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United States</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1,027.6 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Europe</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325.9 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 of world</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1,682.2 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1,632.6 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color w:val="000000"/>
        </w:rPr>
      </w:pPr>
      <w:r>
        <w:rPr>
          <w:color w:val="000000"/>
        </w:rPr>
        <w:t> </w:t>
      </w:r>
    </w:p>
    <w:p>
      <w:pPr>
        <w:pStyle w:val="TextBody"/>
        <w:bidi w:val="0"/>
        <w:spacing w:before="100" w:after="283"/>
        <w:jc w:val="both"/>
        <w:rPr/>
      </w:pPr>
      <w:r>
        <w:rPr/>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 to Consolidated Condensed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Note 12. Financial Derivatives and Hedging</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 of January 31, 2024, the notional amount of outstanding foreign currency forward contracts was $59.3 million. The resulting impact on our Consolidated Financial Statements from currency hedging activities was not significant for the three months ended January 31, 2024, and January 31, 2023.</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 of January 31, 2024, the Company has 8 interest rate swap contracts that have a total notional amount of $1.6 billion and remaining maturities of four years or less.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table summarizes the amounts recognized with respect to our derivative instruments within the accompanying Consolidated Condensed Statements of Income and Comprehensive Income:</w:t>
      </w:r>
    </w:p>
    <w:tbl>
      <w:tblPr>
        <w:tblW w:w="10205" w:type="dxa"/>
        <w:jc w:val="left"/>
        <w:tblInd w:w="0" w:type="dxa"/>
        <w:tblLayout w:type="fixed"/>
        <w:tblCellMar>
          <w:top w:w="28" w:type="dxa"/>
          <w:left w:w="28" w:type="dxa"/>
          <w:bottom w:w="28" w:type="dxa"/>
          <w:right w:w="28" w:type="dxa"/>
        </w:tblCellMar>
      </w:tblPr>
      <w:tblGrid>
        <w:gridCol w:w="1242"/>
        <w:gridCol w:w="1067"/>
        <w:gridCol w:w="1070"/>
        <w:gridCol w:w="109"/>
        <w:gridCol w:w="109"/>
        <w:gridCol w:w="109"/>
        <w:gridCol w:w="1330"/>
        <w:gridCol w:w="1330"/>
        <w:gridCol w:w="1335"/>
        <w:gridCol w:w="211"/>
        <w:gridCol w:w="578"/>
        <w:gridCol w:w="109"/>
        <w:gridCol w:w="109"/>
        <w:gridCol w:w="109"/>
        <w:gridCol w:w="109"/>
        <w:gridCol w:w="211"/>
        <w:gridCol w:w="473"/>
        <w:gridCol w:w="109"/>
        <w:gridCol w:w="109"/>
        <w:gridCol w:w="109"/>
        <w:gridCol w:w="109"/>
        <w:gridCol w:w="159"/>
      </w:tblGrid>
      <w:tr>
        <w:trPr/>
        <w:tc>
          <w:tcPr>
            <w:tcW w:w="1242"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3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Derivatives designated as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Location of (Gain)/Loss Recognized on Derivatives</w:t>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5"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5"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5"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cumulative pre-tax impact of the gain on derivatives designated for hedge accounting is recognized in "Accumulated other comprehensive loss". The following table details the changes in the cumulative pre-tax impact of the gain on derivatives designated for hedge accounting: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57"/>
        <w:gridCol w:w="2267"/>
        <w:gridCol w:w="2273"/>
        <w:gridCol w:w="109"/>
        <w:gridCol w:w="109"/>
        <w:gridCol w:w="109"/>
        <w:gridCol w:w="211"/>
        <w:gridCol w:w="616"/>
        <w:gridCol w:w="109"/>
        <w:gridCol w:w="109"/>
        <w:gridCol w:w="109"/>
        <w:gridCol w:w="109"/>
        <w:gridCol w:w="211"/>
        <w:gridCol w:w="616"/>
        <w:gridCol w:w="109"/>
        <w:gridCol w:w="109"/>
        <w:gridCol w:w="109"/>
        <w:gridCol w:w="109"/>
        <w:gridCol w:w="155"/>
      </w:tblGrid>
      <w:tr>
        <w:trPr/>
        <w:tc>
          <w:tcPr>
            <w:tcW w:w="2657"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Beginning balance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Amount recognized in accumulated other comprehensive income on interest rate swap contracts,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Amount reclassified from accumulated other comprehensive income into earnings, gross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Ending balance gain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amount recognized in other comprehensive income on interest rate swap contracts was $(18.0) million and $(14.8) million, net of tax, for the three months ended January 31, 2024, and 2023, respectively.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amount reclassified from other comprehensive income into earnings was $(10.0) million and $(6.2) million, net of tax, for the three months ended January 31, 2024, and 2023, respectively.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Refer to Note 9. Stockholders' Equity for amounts presented net of the related tax impact in "Accumulated other comprehensive loss."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9"/>
        </w:rPr>
        <w:t>The Company expects th</w:t>
      </w:r>
      <w:r>
        <w:rPr>
          <w:rFonts w:ascii="Times New Roman;sans-serif" w:hAnsi="Times New Roman;sans-serif"/>
          <w:b w:val="false"/>
          <w:color w:val="000000"/>
          <w:sz w:val="19"/>
          <w:shd w:fill="FFFFFF" w:val="clear"/>
        </w:rPr>
        <w:t>a</w:t>
      </w:r>
      <w:r>
        <w:rPr>
          <w:rFonts w:ascii="Times New Roman;sans-serif" w:hAnsi="Times New Roman;sans-serif"/>
          <w:b w:val="false"/>
          <w:color w:val="000000"/>
          <w:sz w:val="19"/>
        </w:rPr>
        <w:t>t $(42.7) million recorded as a component of "Accumulated other comprehensive loss" will be realized in the Consolidated Condensed Statements of Income over the next twelve months and the amount will vary depending on prevailing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and Results of Operations</w:t>
      </w:r>
    </w:p>
    <w:p>
      <w:pPr>
        <w:pStyle w:val="TextBody"/>
        <w:bidi w:val="0"/>
        <w:spacing w:lineRule="auto" w:line="288" w:before="180" w:after="240"/>
        <w:jc w:val="left"/>
        <w:rPr>
          <w:rFonts w:ascii="Times New Roman;sans-serif" w:hAnsi="Times New Roman;sans-serif"/>
          <w:b w:val="false"/>
          <w:color w:val="000000"/>
          <w:sz w:val="19"/>
        </w:rPr>
      </w:pPr>
      <w:r>
        <w:rPr>
          <w:rFonts w:ascii="Times New Roman;sans-serif" w:hAnsi="Times New Roman;sans-serif"/>
          <w:b w:val="false"/>
          <w:color w:val="000000"/>
          <w:sz w:val="19"/>
        </w:rPr>
        <w:t>Note numbers refer to “Notes to Consolidated Condensed Financial Statements” in 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Forward-Looking Statements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statements regarding the expected impact of global macroeconomic conditions,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that are forward-looking. In addition, all statements regarding anticipated growth in our net sales, anticipated effects of any product recalls, anticipated market conditions, planned product launches, restructuring or business transition expectations, regulatory plans,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pStyle w:val="TextBody"/>
        <w:bidi w:val="0"/>
        <w:spacing w:lineRule="auto" w:line="288" w:before="180" w:after="283"/>
        <w:ind w:left="0" w:right="0" w:hanging="720"/>
        <w:jc w:val="left"/>
        <w:rPr/>
      </w:pPr>
      <w:r>
        <w:rPr>
          <w:color w:val="000000"/>
        </w:rPr>
        <w:t>•</w:t>
      </w:r>
      <w:r>
        <w:rPr>
          <w:rFonts w:ascii="Times New Roman;sans-serif" w:hAnsi="Times New Roman;sans-serif"/>
          <w:b w:val="false"/>
          <w:color w:val="000000"/>
          <w:sz w:val="19"/>
        </w:rPr>
        <w:t>Adverse changes in the global or regional general business, political and economic conditions, including the impact of continuing uncertainty and instability of certain countries, man-made or natural disasters and pandemic conditions, that could adversely affect our global markets, and the potential adverse economic impact and related uncertainty caused by these items.</w:t>
      </w:r>
    </w:p>
    <w:p>
      <w:pPr>
        <w:pStyle w:val="TextBody"/>
        <w:bidi w:val="0"/>
        <w:spacing w:lineRule="auto" w:line="256" w:before="0" w:after="0"/>
        <w:ind w:left="0" w:right="0" w:hanging="720"/>
        <w:jc w:val="left"/>
        <w:rPr/>
      </w:pPr>
      <w:r>
        <w:rPr>
          <w:color w:val="000000"/>
        </w:rPr>
        <w:t>•</w:t>
      </w:r>
      <w:r>
        <w:rPr>
          <w:rFonts w:ascii="Times New Roman;sans-serif" w:hAnsi="Times New Roman;sans-serif"/>
          <w:b w:val="false"/>
          <w:color w:val="000000"/>
          <w:sz w:val="19"/>
        </w:rPr>
        <w:t>The impact of international conflicts, such as Russia's invasion of Ukraine, and the global response to international conflicts on the global economy, European economy, financial markets, energy markets, currency rates and our ability to supply product to, or through, affected countries.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Our substantial and expanding international operations and the challenges of managing an organization spread throughout multiple countries and complying with a variety of legal, compliance and regulatory requirements.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Foreign currency exchange rate and interest rate fluctuations including the risk of fluctuations in the value of foreign currencies or interest rates that would decrease our net sales and earnings.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Our existing and future variable rate indebtedness and associated interest expense is impacted by rate increases, which could adversely affect our financial health or limit our ability to borrow additional funds.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 xml:space="preserve">Changes in tax laws, examinations by tax authorities, and changes in our geographic composition of income.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Compliance costs and potential liability in connection with U.S. and foreign laws and health care regulations pertaining to privacy and security of personal information, such as HIPAA and the California Consumer Privacy Act (CCPA) in the U.S. and the General Data Protection Regulation (GDPR) requirements in Europe, including but not limited to those resulting from data security breaches.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A major disruption in the operations of our manufacturing, accounting and financial reporting, research and development, distribution facilities or raw material supply chain due to challenges associated with integration of acquisitions, man-made or natural disasters, pandemic conditions, cybersecurity incidents or other causes.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Market consolidation of large customers globally through mergers or acquisitions resulting in a larger proportion or concentration of our business being derived from fewer customers.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Disruptions in supplies of raw materials, particularly components used to manufacture our silicone hydrogel lenses.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 xml:space="preserve">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and Results of Operations</w:t>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but not limited to the EU Medical Devices Regulation (MDR) and the EU In Vitro Diagnostic Medical Devices Regulation (IVDR).</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Legal costs, insurance expenses, settlement costs and the risk of an adverse decision, prohibitive injunction or settlement related to product liability, patent infringement, contractual disputes, or other litigation.</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Limitations on sales following product introductions due to poor market acceptance.</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New competitors, product innovations or technologies, including but not limited to, technological advances by competitors, new products and patents attained by competitors, and competitors' expansion through acquisitions.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Reduced sales, loss of customers and costs and expenses related to product recalls and warning letters.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Failure to receive, or delays in receiving, regulatory approvals or certifications for products.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Failure of our customers and end users to obtain adequate coverage and reimbursement from third-party payers for our products and services.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The requirement to provide for a significant liability or to write off, or accelerate depreciation on, a significant asset, including goodwill, other intangible assets and idle manufacturing facilities and equipment.</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The success of our research and development activities and other start-up projects.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Dilution to earnings per share from acquisitions or issuing stock.</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Impact and costs incurred from changes in accounting standards and policies.</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 xml:space="preserve">Risks related to environmental laws and requirements applicable to our facilities, products or manufacturing processes, including evolving regulations regarding the use of hazardous substances or chemicals in our products. </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Risks related to environmental, social and corporate governance (ESG) issues, including those related to climate change and sustainability.</w:t>
      </w:r>
    </w:p>
    <w:p>
      <w:pPr>
        <w:pStyle w:val="TextBody"/>
        <w:bidi w:val="0"/>
        <w:spacing w:lineRule="auto" w:line="288" w:before="0" w:after="0"/>
        <w:ind w:left="0" w:right="0" w:hanging="720"/>
        <w:jc w:val="left"/>
        <w:rPr/>
      </w:pPr>
      <w:r>
        <w:rPr>
          <w:color w:val="000000"/>
        </w:rPr>
        <w:t>•</w:t>
      </w:r>
      <w:r>
        <w:rPr>
          <w:rFonts w:ascii="Times New Roman;sans-serif" w:hAnsi="Times New Roman;sans-serif"/>
          <w:b w:val="false"/>
          <w:color w:val="000000"/>
          <w:sz w:val="19"/>
        </w:rPr>
        <w:t>Other events described in our Securities and Exchange Commission filings, including the “Business” and “Risk Factors” sections in our Annual Report on Form 10-K for the fiscal year ended October 31, 2023, as such Risk Factors may be updated in quarterly filings including updates made in this filing.</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caution investors that forward-looking statements reflect our analysis only on their stated date. We disclaim any intent to update them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and Results of Operations</w:t>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 this section, we discuss the results of our operations for the first quarter of fiscal 2024 ended January 31, 2024, compared with the same period of fiscal 2023.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Outlook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We are optimistic about the long-term prospects for the worldwide contact lens and general health care markets, and the resilience of and growth prospects for our businesses and products. However, we face significant risks and uncertainties in our global operating environment as further described in the Part II, Item 1A "Risk Factors" herein. These risks include uncertain global and regional business, political and economic conditions, including but not limited to those associated with man-made or natural disasters, pandemic conditions, inflation, foreign exchange rate fluctuations, regulatory developments, supply chain disruptions, and escalating global trade barriers. These risks and uncertainties have adversely affected our sales, cash flow and performance in the past and could further adversely affect our future sales, cash flow and performance.</w:t>
      </w:r>
    </w:p>
    <w:p>
      <w:pPr>
        <w:pStyle w:val="TextBody"/>
        <w:bidi w:val="0"/>
        <w:spacing w:lineRule="auto" w:line="288" w:before="180" w:after="283"/>
        <w:jc w:val="left"/>
        <w:rPr/>
      </w:pPr>
      <w:r>
        <w:rPr>
          <w:rFonts w:ascii="Times New Roman;sans-serif" w:hAnsi="Times New Roman;sans-serif"/>
          <w:b w:val="false"/>
          <w:i/>
          <w:color w:val="000000"/>
          <w:sz w:val="19"/>
        </w:rPr>
        <w:t>CooperVision</w:t>
      </w:r>
      <w:r>
        <w:rPr>
          <w:color w:val="000000"/>
        </w:rPr>
        <w:t xml:space="preserve"> </w:t>
      </w:r>
      <w:r>
        <w:rPr>
          <w:rFonts w:ascii="Times New Roman;sans-serif" w:hAnsi="Times New Roman;sans-serif"/>
          <w:b w:val="false"/>
          <w:color w:val="000000"/>
          <w:sz w:val="19"/>
        </w:rPr>
        <w:t xml:space="preserve">- We compete in the worldwide contact lens market with our spherical, toric, multifocal, and toric multifocal contact lenses offered in materials like silicone hydrogel Aquaform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contact lens markets with myopia management contact lenses using its ActivControl technology and with products such as orthokeratology (ortho-k) and scleral lenses. CooperVision has U.S. Food and Drug Administration (FDA) approval for its MiSight 1 day lens, which is the first and only FDA-approved product indicated to slow the progression of myopia in children with treatment initiated between the ages of 8-12. Further, CooperVision has Chinese National Medical Products Administration (NMPA) approval for its MiSight 1 day lens for use in China. CooperVision is focused on greater worldwide market penetration using recently introduced products, and we continue to expand our presence in existing and emerging markets, including through acquisitions. </w:t>
      </w:r>
    </w:p>
    <w:p>
      <w:pPr>
        <w:pStyle w:val="TextBody"/>
        <w:bidi w:val="0"/>
        <w:spacing w:lineRule="auto" w:line="288" w:before="180" w:after="283"/>
        <w:jc w:val="left"/>
        <w:rPr/>
      </w:pPr>
      <w:r>
        <w:rPr>
          <w:rFonts w:ascii="Times New Roman;sans-serif" w:hAnsi="Times New Roman;sans-serif"/>
          <w:b w:val="false"/>
          <w:color w:val="000000"/>
          <w:sz w:val="19"/>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 MyDay</w:t>
      </w:r>
      <w:r>
        <w:rPr>
          <w:color w:val="000000"/>
        </w:rPr>
        <w:t xml:space="preserve"> </w:t>
      </w:r>
      <w:r>
        <w:rPr>
          <w:rFonts w:ascii="Times New Roman;sans-serif" w:hAnsi="Times New Roman;sans-serif"/>
          <w:b w:val="false"/>
          <w:color w:val="000000"/>
          <w:sz w:val="19"/>
        </w:rPr>
        <w:t>and MyDay Energys remain a focus as we expect increasing demand for these products, as well as future single-use products, as the global contact lens market continues to shift to this modality. Outside of single-use, the Biofinity and Avaira Vitality product families comprise our focus in the FRP, or frequent replacement product, market which encompasses the monthly and two-week modalities. Included in this segment are unique products such as Biofinity Energys, which helps individuals with digital eye fatigue.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19"/>
        </w:rPr>
        <w:t>CooperSurgical -</w:t>
      </w:r>
      <w:r>
        <w:rPr>
          <w:color w:val="000000"/>
        </w:rPr>
        <w:t xml:space="preserve"> </w:t>
      </w:r>
      <w:r>
        <w:rPr>
          <w:rFonts w:ascii="Times New Roman;sans-serif" w:hAnsi="Times New Roman;sans-serif"/>
          <w:b w:val="false"/>
          <w:color w:val="000000"/>
          <w:sz w:val="19"/>
        </w:rPr>
        <w:t xml:space="preserve">Our CooperSurgical business competes in the fertility and women's health care market through its diversified portfolio of products and services, including fertility products and services, medical devices, cryostorage (such as cord blood and cord tissue storage) and contraception. CooperSurgical has established its market presence and distribution system by developing products and acquiring companies, products and services that complement its business model.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Competitive factors in the segments in which CooperSurgical competes include technological and scientific advances, product quality and availability, price and customer service (including response time and effective communication of product information to physicians, consumers, fertility clinics and hospitals). </w:t>
      </w:r>
    </w:p>
    <w:p>
      <w:pPr>
        <w:pStyle w:val="TextBody"/>
        <w:bidi w:val="0"/>
        <w:spacing w:lineRule="auto" w:line="26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protect our products through patents and trademark registrations, both in the United States and in international markets. We monitor competitive products trademark use worldwide and, when determined appropriate, we have enforced and plan to continue to enforce and defend our patent and trademark rights. We also rely upon trade secrets, licenses, technical know-how and continuing technological innovation to develop and maintain our competitive position.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CooperSurgical, and other trade names, trademarks or service marks of Cooper and its subsidiaries appearing in this report are the property of Cooper and its subsidiaries. Trade names, trademarks and service marks of the other companies appearing in this report are the property of their respective holders.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and Results of Operations</w:t>
      </w:r>
    </w:p>
    <w:p>
      <w:pPr>
        <w:pStyle w:val="TextBody"/>
        <w:bidi w:val="0"/>
        <w:spacing w:lineRule="auto" w:line="268" w:before="180" w:after="283"/>
        <w:jc w:val="left"/>
        <w:rPr>
          <w:rFonts w:ascii="Times New Roman;sans-serif" w:hAnsi="Times New Roman;sans-serif"/>
          <w:b/>
          <w:color w:val="000000"/>
          <w:sz w:val="19"/>
        </w:rPr>
      </w:pPr>
      <w:r>
        <w:rPr>
          <w:rFonts w:ascii="Times New Roman;sans-serif" w:hAnsi="Times New Roman;sans-serif"/>
          <w:b/>
          <w:color w:val="000000"/>
          <w:sz w:val="19"/>
        </w:rPr>
        <w:t>Net Sales</w:t>
      </w:r>
    </w:p>
    <w:p>
      <w:pPr>
        <w:pStyle w:val="TextBody"/>
        <w:bidi w:val="0"/>
        <w:spacing w:before="0" w:after="0"/>
        <w:jc w:val="center"/>
        <w:rPr/>
      </w:pPr>
      <w:r>
        <w:rPr/>
        <w:drawing>
          <wp:inline distT="0" distB="0" distL="0" distR="0">
            <wp:extent cx="3095625" cy="2419350"/>
            <wp:effectExtent l="0" t="0" r="0" b="0"/>
            <wp:docPr id="1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 descr=""/>
                    <pic:cNvPicPr>
                      <a:picLocks noChangeAspect="1" noChangeArrowheads="1"/>
                    </pic:cNvPicPr>
                  </pic:nvPicPr>
                  <pic:blipFill>
                    <a:blip r:embed="rId2"/>
                    <a:stretch>
                      <a:fillRect/>
                    </a:stretch>
                  </pic:blipFill>
                  <pic:spPr bwMode="auto">
                    <a:xfrm>
                      <a:off x="0" y="0"/>
                      <a:ext cx="3095625" cy="2419350"/>
                    </a:xfrm>
                    <a:prstGeom prst="rect">
                      <a:avLst/>
                    </a:prstGeom>
                  </pic:spPr>
                </pic:pic>
              </a:graphicData>
            </a:graphic>
          </wp:inline>
        </w:drawing>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CooperVision Net Sales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contact lens market has two major product categories: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Spherical lenses, including lenses that correct near- and farsightedness uncomplicated by more complex visual defects, myopia management lenses, which slow the progression of and correct myopia in age-appropriate children, and other specialty lenses.</w:t>
      </w:r>
    </w:p>
    <w:p>
      <w:pPr>
        <w:pStyle w:val="TextBody"/>
        <w:bidi w:val="0"/>
        <w:spacing w:lineRule="auto" w:line="288" w:before="180" w:after="283"/>
        <w:jc w:val="left"/>
        <w:rPr>
          <w:rFonts w:ascii="Times New Roman;sans-serif" w:hAnsi="Times New Roman;sans-serif"/>
          <w:b/>
          <w:color w:val="000000"/>
          <w:sz w:val="19"/>
          <w:shd w:fill="FFFFFF" w:val="clear"/>
        </w:rPr>
      </w:pPr>
      <w:r>
        <w:rPr>
          <w:rFonts w:ascii="Times New Roman;sans-serif" w:hAnsi="Times New Roman;sans-serif"/>
          <w:b/>
          <w:color w:val="000000"/>
          <w:sz w:val="19"/>
          <w:shd w:fill="FFFFFF" w:val="clear"/>
        </w:rPr>
        <w:t>CooperVision Net Sales by Category</w:t>
      </w:r>
    </w:p>
    <w:p>
      <w:pPr>
        <w:pStyle w:val="TextBody"/>
        <w:bidi w:val="0"/>
        <w:spacing w:before="0" w:after="0"/>
        <w:jc w:val="center"/>
        <w:rPr/>
      </w:pPr>
      <w:r>
        <w:rPr/>
        <w:drawing>
          <wp:inline distT="0" distB="0" distL="0" distR="0">
            <wp:extent cx="2857500" cy="2724150"/>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2857500" cy="2724150"/>
                    </a:xfrm>
                    <a:prstGeom prst="rect">
                      <a:avLst/>
                    </a:prstGeom>
                  </pic:spPr>
                </pic:pic>
              </a:graphicData>
            </a:graphic>
          </wp:inline>
        </w:drawing>
      </w:r>
      <w:r>
        <w:rPr/>
        <w:drawing>
          <wp:inline distT="0" distB="0" distL="0" distR="0">
            <wp:extent cx="2857500" cy="272415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2857500" cy="2724150"/>
                    </a:xfrm>
                    <a:prstGeom prst="rect">
                      <a:avLst/>
                    </a:prstGeom>
                  </pic:spPr>
                </pic:pic>
              </a:graphicData>
            </a:graphic>
          </wp:inline>
        </w:drawing>
      </w:r>
    </w:p>
    <w:p>
      <w:pPr>
        <w:pStyle w:val="TextBody"/>
        <w:bidi w:val="0"/>
        <w:spacing w:before="100" w:after="283"/>
        <w:jc w:val="left"/>
        <w:rPr/>
      </w:pPr>
      <w:r>
        <w:rPr/>
      </w:r>
    </w:p>
    <w:tbl>
      <w:tblPr>
        <w:tblW w:w="6957" w:type="dxa"/>
        <w:jc w:val="center"/>
        <w:tblInd w:w="0" w:type="dxa"/>
        <w:tblLayout w:type="fixed"/>
        <w:tblCellMar>
          <w:top w:w="28" w:type="dxa"/>
          <w:left w:w="28" w:type="dxa"/>
          <w:bottom w:w="28" w:type="dxa"/>
          <w:right w:w="28" w:type="dxa"/>
        </w:tblCellMar>
      </w:tblPr>
      <w:tblGrid>
        <w:gridCol w:w="1068"/>
        <w:gridCol w:w="941"/>
        <w:gridCol w:w="945"/>
        <w:gridCol w:w="109"/>
        <w:gridCol w:w="211"/>
        <w:gridCol w:w="616"/>
        <w:gridCol w:w="109"/>
        <w:gridCol w:w="109"/>
        <w:gridCol w:w="109"/>
        <w:gridCol w:w="109"/>
        <w:gridCol w:w="109"/>
        <w:gridCol w:w="211"/>
        <w:gridCol w:w="616"/>
        <w:gridCol w:w="109"/>
        <w:gridCol w:w="109"/>
        <w:gridCol w:w="109"/>
        <w:gridCol w:w="109"/>
        <w:gridCol w:w="256"/>
        <w:gridCol w:w="256"/>
        <w:gridCol w:w="747"/>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January 31,</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 vs 2023</w:t>
              <w:br/>
              <w:t>% Change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Toric and multifocal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Sphere, other</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and Results of Operations</w:t>
      </w:r>
    </w:p>
    <w:tbl>
      <w:tblPr>
        <w:tblW w:w="22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 the three months ended January 31, 2024, the growth experienced across most categories was positively impacted by favorable foreign exchange rate fluctuations of approximately $4.4 million.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Toric and multifocal grew primarily through the success of MyDay and Biofinity.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Sphere, other grew primarily through MyDay and MiSight lenses.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19"/>
        </w:rPr>
        <w:t xml:space="preserve">"Other" products represented approximately 1% of net sales in the three months ended January 31, 2024, and 2023, respectively.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CooperVision Net Sales by Geography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 competes in the worldwide soft contact lens market and services in three primary regions: the Americas, EMEA (Europe, Middle East and Africa) and Asia Pacific.</w:t>
      </w:r>
    </w:p>
    <w:tbl>
      <w:tblPr>
        <w:tblW w:w="7106" w:type="dxa"/>
        <w:jc w:val="left"/>
        <w:tblInd w:w="0" w:type="dxa"/>
        <w:tblLayout w:type="fixed"/>
        <w:tblCellMar>
          <w:top w:w="28" w:type="dxa"/>
          <w:left w:w="28" w:type="dxa"/>
          <w:bottom w:w="28" w:type="dxa"/>
          <w:right w:w="28" w:type="dxa"/>
        </w:tblCellMar>
      </w:tblPr>
      <w:tblGrid>
        <w:gridCol w:w="846"/>
        <w:gridCol w:w="746"/>
        <w:gridCol w:w="748"/>
        <w:gridCol w:w="109"/>
        <w:gridCol w:w="109"/>
        <w:gridCol w:w="109"/>
        <w:gridCol w:w="211"/>
        <w:gridCol w:w="616"/>
        <w:gridCol w:w="109"/>
        <w:gridCol w:w="109"/>
        <w:gridCol w:w="109"/>
        <w:gridCol w:w="109"/>
        <w:gridCol w:w="211"/>
        <w:gridCol w:w="616"/>
        <w:gridCol w:w="109"/>
        <w:gridCol w:w="109"/>
        <w:gridCol w:w="109"/>
        <w:gridCol w:w="109"/>
        <w:gridCol w:w="269"/>
        <w:gridCol w:w="269"/>
        <w:gridCol w:w="676"/>
        <w:gridCol w:w="109"/>
        <w:gridCol w:w="109"/>
        <w:gridCol w:w="109"/>
        <w:gridCol w:w="109"/>
        <w:gridCol w:w="109"/>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 vs 2023</w:t>
              <w:b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Americas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581.3 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CooperVision's growth in net sales across all regions was primarily attributable to market gains of silicone hydrogel contact lenses. Refer to CooperVision Net Sales by Category above for further discussion.</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 xml:space="preserve">CooperSurgical Net Sales by Category </w:t>
      </w:r>
    </w:p>
    <w:p>
      <w:pPr>
        <w:pStyle w:val="TextBody"/>
        <w:bidi w:val="0"/>
        <w:spacing w:lineRule="auto" w:line="288" w:before="180" w:after="283"/>
        <w:jc w:val="left"/>
        <w:rPr/>
      </w:pPr>
      <w:r>
        <w:rPr>
          <w:rFonts w:ascii="Times New Roman;sans-serif" w:hAnsi="Times New Roman;sans-serif"/>
          <w:b w:val="false"/>
          <w:color w:val="000000"/>
          <w:sz w:val="19"/>
        </w:rPr>
        <w:t>CooperSurgical supplies the fertility and women's heal</w:t>
      </w:r>
      <w:r>
        <w:rPr>
          <w:rFonts w:ascii="Times New Roman;sans-serif" w:hAnsi="Times New Roman;sans-serif"/>
          <w:b w:val="false"/>
          <w:color w:val="000000"/>
          <w:sz w:val="19"/>
          <w:shd w:fill="FFFFFF" w:val="clear"/>
        </w:rPr>
        <w:t>th care market with a diversified portfolio of products and services. Our office and surgical offerings include products that facilitate surgical and non-surgical procedures that are commonly performed primarily by obstetricians and gynecologists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pStyle w:val="TextBody"/>
        <w:bidi w:val="0"/>
        <w:spacing w:lineRule="auto" w:line="288" w:before="180" w:after="283"/>
        <w:jc w:val="left"/>
        <w:rPr>
          <w:rFonts w:ascii="Times New Roman;sans-serif" w:hAnsi="Times New Roman;sans-serif"/>
          <w:b w:val="false"/>
          <w:color w:val="000000"/>
          <w:sz w:val="19"/>
          <w:shd w:fill="FFFFFF" w:val="clear"/>
        </w:rPr>
      </w:pPr>
      <w:r>
        <w:rPr>
          <w:rFonts w:ascii="Times New Roman;sans-serif" w:hAnsi="Times New Roman;sans-serif"/>
          <w:b w:val="false"/>
          <w:color w:val="000000"/>
          <w:sz w:val="19"/>
          <w:shd w:fill="FFFFFF" w:val="clear"/>
        </w:rPr>
        <w:t>The chart below shows the percentage of net sales of office and surgical and fertility.</w:t>
      </w:r>
    </w:p>
    <w:p>
      <w:pPr>
        <w:pStyle w:val="TextBody"/>
        <w:bidi w:val="0"/>
        <w:spacing w:before="180" w:after="283"/>
        <w:jc w:val="center"/>
        <w:rPr/>
      </w:pPr>
      <w:r>
        <w:rPr/>
        <w:drawing>
          <wp:inline distT="0" distB="0" distL="0" distR="0">
            <wp:extent cx="3009900" cy="2828925"/>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3009900" cy="2828925"/>
                    </a:xfrm>
                    <a:prstGeom prst="rect">
                      <a:avLst/>
                    </a:prstGeom>
                  </pic:spPr>
                </pic:pic>
              </a:graphicData>
            </a:graphic>
          </wp:inline>
        </w:drawing>
      </w:r>
      <w:r>
        <w:rPr/>
        <w:drawing>
          <wp:inline distT="0" distB="0" distL="0" distR="0">
            <wp:extent cx="3009900" cy="2828925"/>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3009900" cy="28289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and Results of Operations</w:t>
      </w:r>
    </w:p>
    <w:p>
      <w:pPr>
        <w:pStyle w:val="TextBody"/>
        <w:bidi w:val="0"/>
        <w:spacing w:lineRule="auto" w:line="288" w:before="100" w:after="283"/>
        <w:jc w:val="left"/>
        <w:rPr/>
      </w:pPr>
      <w:r>
        <w:rPr>
          <w:rFonts w:ascii="Times New Roman;sans-serif" w:hAnsi="Times New Roman;sans-serif"/>
          <w:b/>
          <w:color w:val="000000"/>
          <w:sz w:val="19"/>
        </w:rPr>
        <w:t>Office and surgical</w:t>
      </w:r>
      <w:r>
        <w:rPr>
          <w:color w:val="000000"/>
        </w:rPr>
        <w:t xml:space="preserve"> – </w:t>
      </w:r>
      <w:r>
        <w:rPr>
          <w:rFonts w:ascii="Times New Roman;sans-serif" w:hAnsi="Times New Roman;sans-serif"/>
          <w:b w:val="false"/>
          <w:color w:val="000000"/>
          <w:sz w:val="19"/>
        </w:rPr>
        <w:t>This includes medical devices, cryostorage (such as cord blood and cord tissue storage), and contraception.</w:t>
      </w:r>
    </w:p>
    <w:p>
      <w:pPr>
        <w:pStyle w:val="TextBody"/>
        <w:bidi w:val="0"/>
        <w:spacing w:lineRule="auto" w:line="288" w:before="0" w:after="0"/>
        <w:jc w:val="left"/>
        <w:rPr/>
      </w:pPr>
      <w:r>
        <w:rPr>
          <w:rFonts w:ascii="Times New Roman;sans-serif" w:hAnsi="Times New Roman;sans-serif"/>
          <w:b/>
          <w:color w:val="000000"/>
          <w:sz w:val="19"/>
        </w:rPr>
        <w:t>Fertility</w:t>
      </w:r>
      <w:r>
        <w:rPr>
          <w:color w:val="000000"/>
        </w:rPr>
        <w:t xml:space="preserve"> – </w:t>
      </w:r>
      <w:r>
        <w:rPr>
          <w:rFonts w:ascii="Times New Roman;sans-serif" w:hAnsi="Times New Roman;sans-serif"/>
          <w:b w:val="false"/>
          <w:color w:val="000000"/>
          <w:sz w:val="19"/>
        </w:rPr>
        <w:t>This includes fertility consumables and equipment, donor gamete services, and genomic services (including genetic testing).</w:t>
      </w:r>
    </w:p>
    <w:p>
      <w:pPr>
        <w:pStyle w:val="TextBody"/>
        <w:bidi w:val="0"/>
        <w:spacing w:before="0" w:after="0"/>
        <w:jc w:val="left"/>
        <w:rPr/>
      </w:pPr>
      <w:r>
        <w:rPr/>
      </w:r>
    </w:p>
    <w:tbl>
      <w:tblPr>
        <w:tblW w:w="6957" w:type="dxa"/>
        <w:jc w:val="left"/>
        <w:tblInd w:w="0" w:type="dxa"/>
        <w:tblLayout w:type="fixed"/>
        <w:tblCellMar>
          <w:top w:w="28" w:type="dxa"/>
          <w:left w:w="28" w:type="dxa"/>
          <w:bottom w:w="28" w:type="dxa"/>
          <w:right w:w="28" w:type="dxa"/>
        </w:tblCellMar>
      </w:tblPr>
      <w:tblGrid>
        <w:gridCol w:w="1068"/>
        <w:gridCol w:w="941"/>
        <w:gridCol w:w="945"/>
        <w:gridCol w:w="109"/>
        <w:gridCol w:w="211"/>
        <w:gridCol w:w="616"/>
        <w:gridCol w:w="109"/>
        <w:gridCol w:w="109"/>
        <w:gridCol w:w="109"/>
        <w:gridCol w:w="109"/>
        <w:gridCol w:w="211"/>
        <w:gridCol w:w="616"/>
        <w:gridCol w:w="109"/>
        <w:gridCol w:w="109"/>
        <w:gridCol w:w="109"/>
        <w:gridCol w:w="109"/>
        <w:gridCol w:w="269"/>
        <w:gridCol w:w="269"/>
        <w:gridCol w:w="676"/>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January 31,</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 vs 2023</w:t>
              <w:br/>
              <w: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Office and surgical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Fertility</w:t>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54" w:type="dxa"/>
            <w:tcBorders/>
            <w:vAlign w:val="center"/>
          </w:tcPr>
          <w:p>
            <w:pPr>
              <w:pStyle w:val="TableContents"/>
              <w:bidi w:val="0"/>
              <w:spacing w:before="0" w:after="283"/>
              <w:jc w:val="left"/>
              <w:rPr>
                <w:sz w:val="4"/>
                <w:szCs w:val="4"/>
              </w:rPr>
            </w:pPr>
            <w:r>
              <w:rPr>
                <w:sz w:val="4"/>
                <w:szCs w:val="4"/>
              </w:rPr>
            </w:r>
          </w:p>
        </w:tc>
      </w:tr>
    </w:tbl>
    <w:tbl>
      <w:tblPr>
        <w:tblW w:w="22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the three months ended January 31, 2024, office and surgical net sales increased primarily due to the addition of Cook Medical on November 1, 2023, and an increase in revenue from products such as Uterine Manipulators and Paragard. Fertility net sales increased due to an increase in revenue from consumable products and genomic services.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 above growth experienced across all categories was partially offset by unfavorable foreign exchange rate fluctuations of approximately $2.7 million for the three months ended January 31, 2024.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Gross Margin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Consolidated gross margin increased in the three months ended January 31, 2024, to 67% compared to 65% in the three months ended January 31, 2023, primarily driven by efficiency gains and price. </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19"/>
        </w:rPr>
      </w:pPr>
      <w:r>
        <w:rPr>
          <w:rFonts w:ascii="Times New Roman;sans-serif" w:hAnsi="Times New Roman;sans-serif"/>
          <w:b/>
          <w:color w:val="000000"/>
          <w:sz w:val="19"/>
        </w:rPr>
        <w:t xml:space="preserve">Selling, General and Administrative (SGA) Expenses </w:t>
      </w:r>
    </w:p>
    <w:tbl>
      <w:tblPr>
        <w:tblW w:w="9940" w:type="dxa"/>
        <w:jc w:val="left"/>
        <w:tblInd w:w="0" w:type="dxa"/>
        <w:tblLayout w:type="fixed"/>
        <w:tblCellMar>
          <w:top w:w="28" w:type="dxa"/>
          <w:left w:w="28" w:type="dxa"/>
          <w:bottom w:w="28" w:type="dxa"/>
          <w:right w:w="28" w:type="dxa"/>
        </w:tblCellMar>
      </w:tblPr>
      <w:tblGrid>
        <w:gridCol w:w="1068"/>
        <w:gridCol w:w="941"/>
        <w:gridCol w:w="945"/>
        <w:gridCol w:w="109"/>
        <w:gridCol w:w="109"/>
        <w:gridCol w:w="109"/>
        <w:gridCol w:w="211"/>
        <w:gridCol w:w="616"/>
        <w:gridCol w:w="109"/>
        <w:gridCol w:w="109"/>
        <w:gridCol w:w="109"/>
        <w:gridCol w:w="109"/>
        <w:gridCol w:w="246"/>
        <w:gridCol w:w="246"/>
        <w:gridCol w:w="618"/>
        <w:gridCol w:w="109"/>
        <w:gridCol w:w="109"/>
        <w:gridCol w:w="109"/>
        <w:gridCol w:w="211"/>
        <w:gridCol w:w="616"/>
        <w:gridCol w:w="109"/>
        <w:gridCol w:w="109"/>
        <w:gridCol w:w="109"/>
        <w:gridCol w:w="109"/>
        <w:gridCol w:w="246"/>
        <w:gridCol w:w="246"/>
        <w:gridCol w:w="618"/>
        <w:gridCol w:w="109"/>
        <w:gridCol w:w="109"/>
        <w:gridCol w:w="109"/>
        <w:gridCol w:w="256"/>
        <w:gridCol w:w="256"/>
        <w:gridCol w:w="747"/>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 vs 2023</w:t>
              <w:br/>
              <w:t>% Change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380.9 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330.9 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CooperVision's SGA expenses increased in the three months ended January 31, 2024, compared to the three months ended January 31, 2023, primarily due to $31.8 million release of contingent consideration liability associated with SightGlass Vision's regulatory approval milestone in the three months ended January 31, 2023.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CooperSurgical's SGA expenses increased in the three months ended January 31, 2024, compared to the three months ended January 31, 2023, primarily due to acquisition and integration expenses.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 SGA expenses increased in the three months ended January 31, 2024, compared to the three months ended January 31, 2023, primarily due to share-based compensation related expenses.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 xml:space="preserve">Research and Development (R&amp;D) Expenses </w:t>
      </w:r>
    </w:p>
    <w:tbl>
      <w:tblPr>
        <w:tblW w:w="9730" w:type="dxa"/>
        <w:jc w:val="left"/>
        <w:tblInd w:w="0" w:type="dxa"/>
        <w:tblLayout w:type="fixed"/>
        <w:tblCellMar>
          <w:top w:w="28" w:type="dxa"/>
          <w:left w:w="28" w:type="dxa"/>
          <w:bottom w:w="28" w:type="dxa"/>
          <w:right w:w="28" w:type="dxa"/>
        </w:tblCellMar>
      </w:tblPr>
      <w:tblGrid>
        <w:gridCol w:w="1068"/>
        <w:gridCol w:w="941"/>
        <w:gridCol w:w="945"/>
        <w:gridCol w:w="109"/>
        <w:gridCol w:w="109"/>
        <w:gridCol w:w="109"/>
        <w:gridCol w:w="211"/>
        <w:gridCol w:w="511"/>
        <w:gridCol w:w="109"/>
        <w:gridCol w:w="109"/>
        <w:gridCol w:w="109"/>
        <w:gridCol w:w="109"/>
        <w:gridCol w:w="246"/>
        <w:gridCol w:w="246"/>
        <w:gridCol w:w="618"/>
        <w:gridCol w:w="109"/>
        <w:gridCol w:w="109"/>
        <w:gridCol w:w="109"/>
        <w:gridCol w:w="211"/>
        <w:gridCol w:w="511"/>
        <w:gridCol w:w="109"/>
        <w:gridCol w:w="109"/>
        <w:gridCol w:w="109"/>
        <w:gridCol w:w="109"/>
        <w:gridCol w:w="246"/>
        <w:gridCol w:w="246"/>
        <w:gridCol w:w="618"/>
        <w:gridCol w:w="109"/>
        <w:gridCol w:w="109"/>
        <w:gridCol w:w="109"/>
        <w:gridCol w:w="256"/>
        <w:gridCol w:w="256"/>
        <w:gridCol w:w="747"/>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 vs 2023</w:t>
              <w:br/>
              <w:t>% Change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27 </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CooperVision's R&amp;D expenses increased in the three months ended January 31, 2024, compared to the three months ended January 31, 2023, primarily due to myopia management programs and timing of R&amp;D projects. CooperVision's R&amp;D activities are primarily focused on the development of contact lenses, manufacturing technology and process enhancements.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and Results of Operations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CooperSurgical's R&amp;D expenses increased in the three months ended January 31, 2024, compared to the three months ended January 31, 2023, mainly due to project spend and European Medical Device Regulation costs. CooperSurgical's R&amp;D activities are focused on developing and refining diagnostic and therapeutic products including medical interventions, surgical devices and fertility solutions.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Amortization Expense</w:t>
      </w:r>
    </w:p>
    <w:tbl>
      <w:tblPr>
        <w:tblW w:w="9403" w:type="dxa"/>
        <w:jc w:val="left"/>
        <w:tblInd w:w="0" w:type="dxa"/>
        <w:tblLayout w:type="fixed"/>
        <w:tblCellMar>
          <w:top w:w="28" w:type="dxa"/>
          <w:left w:w="28" w:type="dxa"/>
          <w:bottom w:w="28" w:type="dxa"/>
          <w:right w:w="28" w:type="dxa"/>
        </w:tblCellMar>
      </w:tblPr>
      <w:tblGrid>
        <w:gridCol w:w="1068"/>
        <w:gridCol w:w="941"/>
        <w:gridCol w:w="945"/>
        <w:gridCol w:w="211"/>
        <w:gridCol w:w="511"/>
        <w:gridCol w:w="109"/>
        <w:gridCol w:w="109"/>
        <w:gridCol w:w="109"/>
        <w:gridCol w:w="109"/>
        <w:gridCol w:w="246"/>
        <w:gridCol w:w="246"/>
        <w:gridCol w:w="618"/>
        <w:gridCol w:w="109"/>
        <w:gridCol w:w="109"/>
        <w:gridCol w:w="109"/>
        <w:gridCol w:w="211"/>
        <w:gridCol w:w="511"/>
        <w:gridCol w:w="109"/>
        <w:gridCol w:w="109"/>
        <w:gridCol w:w="109"/>
        <w:gridCol w:w="109"/>
        <w:gridCol w:w="246"/>
        <w:gridCol w:w="246"/>
        <w:gridCol w:w="618"/>
        <w:gridCol w:w="109"/>
        <w:gridCol w:w="109"/>
        <w:gridCol w:w="109"/>
        <w:gridCol w:w="256"/>
        <w:gridCol w:w="256"/>
        <w:gridCol w:w="747"/>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January 31,</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 vs 2023</w:t>
              <w:br/>
              <w:t>% Change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CooperVision's amortization expense for the three months ended January 31, 2024, remained relatively flat year over year. CooperSurgical's amortization expense increased in the three months ended January 31, 2024, compared to the three months ended January 31, 2023, primarily due to the amortization of intangible assets recently acquired through acquisitions.</w:t>
      </w:r>
    </w:p>
    <w:p>
      <w:pPr>
        <w:pStyle w:val="TextBody"/>
        <w:bidi w:val="0"/>
        <w:spacing w:lineRule="auto" w:line="288" w:before="240" w:after="283"/>
        <w:jc w:val="left"/>
        <w:rPr>
          <w:rFonts w:ascii="Times New Roman;sans-serif" w:hAnsi="Times New Roman;sans-serif"/>
          <w:b/>
          <w:color w:val="000000"/>
          <w:sz w:val="19"/>
        </w:rPr>
      </w:pPr>
      <w:r>
        <w:rPr>
          <w:rFonts w:ascii="Times New Roman;sans-serif" w:hAnsi="Times New Roman;sans-serif"/>
          <w:b/>
          <w:color w:val="000000"/>
          <w:sz w:val="19"/>
        </w:rPr>
        <w:t xml:space="preserve">Operating Income </w:t>
      </w:r>
    </w:p>
    <w:tbl>
      <w:tblPr>
        <w:tblW w:w="9613" w:type="dxa"/>
        <w:jc w:val="left"/>
        <w:tblInd w:w="0" w:type="dxa"/>
        <w:tblLayout w:type="fixed"/>
        <w:tblCellMar>
          <w:top w:w="28" w:type="dxa"/>
          <w:left w:w="28" w:type="dxa"/>
          <w:bottom w:w="28" w:type="dxa"/>
          <w:right w:w="28" w:type="dxa"/>
        </w:tblCellMar>
      </w:tblPr>
      <w:tblGrid>
        <w:gridCol w:w="1068"/>
        <w:gridCol w:w="941"/>
        <w:gridCol w:w="945"/>
        <w:gridCol w:w="211"/>
        <w:gridCol w:w="616"/>
        <w:gridCol w:w="109"/>
        <w:gridCol w:w="109"/>
        <w:gridCol w:w="109"/>
        <w:gridCol w:w="109"/>
        <w:gridCol w:w="246"/>
        <w:gridCol w:w="246"/>
        <w:gridCol w:w="618"/>
        <w:gridCol w:w="109"/>
        <w:gridCol w:w="109"/>
        <w:gridCol w:w="109"/>
        <w:gridCol w:w="211"/>
        <w:gridCol w:w="616"/>
        <w:gridCol w:w="109"/>
        <w:gridCol w:w="109"/>
        <w:gridCol w:w="109"/>
        <w:gridCol w:w="109"/>
        <w:gridCol w:w="246"/>
        <w:gridCol w:w="246"/>
        <w:gridCol w:w="618"/>
        <w:gridCol w:w="109"/>
        <w:gridCol w:w="109"/>
        <w:gridCol w:w="109"/>
        <w:gridCol w:w="256"/>
        <w:gridCol w:w="256"/>
        <w:gridCol w:w="747"/>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January 31,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 vs 2023</w:t>
              <w:br/>
              <w:t>% Change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CooperSurgical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311 </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Corporate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57 </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CooperVision's operating income decreased in the three months ended January 31, 2024, compared to the three months ended January 31, 2023, primarily due to a net increase in operating expenses, partially offset by an increase in net sales.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CooperSurgical's operating income increased in the three months ended January 31, 2024, compared to the three months ended January 31, 2023, primarily due to an increase in net sales, partially offset by a net increase in operating expenses.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Corporate operating loss increased in the three months ended January 31, 2024, compared to the three months ended January 31, 2023, primarily due to higher share-based compensation expenses.</w:t>
      </w:r>
    </w:p>
    <w:p>
      <w:pPr>
        <w:pStyle w:val="TextBody"/>
        <w:bidi w:val="0"/>
        <w:spacing w:lineRule="auto" w:line="288" w:before="240" w:after="283"/>
        <w:jc w:val="left"/>
        <w:rPr>
          <w:rFonts w:ascii="Times New Roman;sans-serif" w:hAnsi="Times New Roman;sans-serif"/>
          <w:b/>
          <w:color w:val="000000"/>
          <w:sz w:val="19"/>
        </w:rPr>
      </w:pPr>
      <w:r>
        <w:rPr>
          <w:rFonts w:ascii="Times New Roman;sans-serif" w:hAnsi="Times New Roman;sans-serif"/>
          <w:b/>
          <w:color w:val="000000"/>
          <w:sz w:val="19"/>
        </w:rPr>
        <w:t>Interest Expense</w:t>
      </w:r>
    </w:p>
    <w:tbl>
      <w:tblPr>
        <w:tblW w:w="9403" w:type="dxa"/>
        <w:jc w:val="left"/>
        <w:tblInd w:w="0" w:type="dxa"/>
        <w:tblLayout w:type="fixed"/>
        <w:tblCellMar>
          <w:top w:w="28" w:type="dxa"/>
          <w:left w:w="28" w:type="dxa"/>
          <w:bottom w:w="28" w:type="dxa"/>
          <w:right w:w="28" w:type="dxa"/>
        </w:tblCellMar>
      </w:tblPr>
      <w:tblGrid>
        <w:gridCol w:w="1068"/>
        <w:gridCol w:w="941"/>
        <w:gridCol w:w="945"/>
        <w:gridCol w:w="211"/>
        <w:gridCol w:w="511"/>
        <w:gridCol w:w="109"/>
        <w:gridCol w:w="109"/>
        <w:gridCol w:w="109"/>
        <w:gridCol w:w="109"/>
        <w:gridCol w:w="246"/>
        <w:gridCol w:w="246"/>
        <w:gridCol w:w="618"/>
        <w:gridCol w:w="109"/>
        <w:gridCol w:w="109"/>
        <w:gridCol w:w="109"/>
        <w:gridCol w:w="211"/>
        <w:gridCol w:w="511"/>
        <w:gridCol w:w="109"/>
        <w:gridCol w:w="109"/>
        <w:gridCol w:w="109"/>
        <w:gridCol w:w="109"/>
        <w:gridCol w:w="246"/>
        <w:gridCol w:w="246"/>
        <w:gridCol w:w="618"/>
        <w:gridCol w:w="109"/>
        <w:gridCol w:w="109"/>
        <w:gridCol w:w="109"/>
        <w:gridCol w:w="256"/>
        <w:gridCol w:w="256"/>
        <w:gridCol w:w="747"/>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Three Months Ended January 31,</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 vs 2023</w:t>
              <w:br/>
              <w:t>% Change</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increased during the three months ended January 31, 2024, compared to the three months ended January 31, 2023, primarily due to higher interest rates.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Other Expense, Net</w:t>
      </w:r>
    </w:p>
    <w:tbl>
      <w:tblPr>
        <w:tblW w:w="5121" w:type="dxa"/>
        <w:jc w:val="left"/>
        <w:tblInd w:w="0" w:type="dxa"/>
        <w:tblLayout w:type="fixed"/>
        <w:tblCellMar>
          <w:top w:w="28" w:type="dxa"/>
          <w:left w:w="28" w:type="dxa"/>
          <w:bottom w:w="28" w:type="dxa"/>
          <w:right w:w="28" w:type="dxa"/>
        </w:tblCellMar>
      </w:tblPr>
      <w:tblGrid>
        <w:gridCol w:w="889"/>
        <w:gridCol w:w="784"/>
        <w:gridCol w:w="786"/>
        <w:gridCol w:w="109"/>
        <w:gridCol w:w="109"/>
        <w:gridCol w:w="109"/>
        <w:gridCol w:w="211"/>
        <w:gridCol w:w="406"/>
        <w:gridCol w:w="109"/>
        <w:gridCol w:w="109"/>
        <w:gridCol w:w="109"/>
        <w:gridCol w:w="109"/>
        <w:gridCol w:w="211"/>
        <w:gridCol w:w="481"/>
        <w:gridCol w:w="109"/>
        <w:gridCol w:w="109"/>
        <w:gridCol w:w="109"/>
        <w:gridCol w:w="109"/>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Period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exchange loss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and Results of Operations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exchange loss is primarily associated with the weakening of the U.S. dollar against foreign currencies and the effect on intercompany receivables during the three months ended January 31, 2024.</w:t>
        <w:br/>
        <w:br/>
        <w:t>Other expense, net was relatively flat in the three months ended January 31, 2024, compared to the three months ended January 31, 2023.</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Provision for Income Taxes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effective tax rates for the three months ended January 31, 2024, and January 31, 2023, were 32.4% and 30.7%, respectively. The increase was primarily due to changes in the geographic composition of pre-tax earnings and an increase in the UK statutory tax rate from 19% to 25%, partially offset by an increase in excess tax benefits from share-based compensation.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and Results of Operations</w:t>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Capital Resources and Liquidity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Working capital on January 31, 2024, and October 31, 2023, was $829.0 million and $735.9 million, respectively. The increase in working capital was primarily due to an increase in trade accounts receivable mainly due to higher sales and timing of collections, and an increase in prepaid expenses and other current assets.</w:t>
      </w:r>
    </w:p>
    <w:p>
      <w:pPr>
        <w:pStyle w:val="TextBody"/>
        <w:bidi w:val="0"/>
        <w:spacing w:lineRule="auto" w:line="288" w:before="180" w:after="283"/>
        <w:jc w:val="left"/>
        <w:rPr>
          <w:rFonts w:ascii="Times New Roman;sans-serif" w:hAnsi="Times New Roman;sans-serif"/>
          <w:b/>
          <w:color w:val="000000"/>
          <w:sz w:val="19"/>
          <w:shd w:fill="FFFFFF" w:val="clear"/>
        </w:rPr>
      </w:pPr>
      <w:r>
        <w:rPr>
          <w:rFonts w:ascii="Times New Roman;sans-serif" w:hAnsi="Times New Roman;sans-serif"/>
          <w:b/>
          <w:color w:val="000000"/>
          <w:sz w:val="19"/>
          <w:shd w:fill="FFFFFF" w:val="clear"/>
        </w:rPr>
        <w:t>Cash Flow</w:t>
      </w:r>
    </w:p>
    <w:tbl>
      <w:tblPr>
        <w:tblW w:w="9908" w:type="dxa"/>
        <w:jc w:val="left"/>
        <w:tblInd w:w="0" w:type="dxa"/>
        <w:tblLayout w:type="fixed"/>
        <w:tblCellMar>
          <w:top w:w="28" w:type="dxa"/>
          <w:left w:w="28" w:type="dxa"/>
          <w:bottom w:w="28" w:type="dxa"/>
          <w:right w:w="28" w:type="dxa"/>
        </w:tblCellMar>
      </w:tblPr>
      <w:tblGrid>
        <w:gridCol w:w="2187"/>
        <w:gridCol w:w="1916"/>
        <w:gridCol w:w="1927"/>
        <w:gridCol w:w="109"/>
        <w:gridCol w:w="109"/>
        <w:gridCol w:w="109"/>
        <w:gridCol w:w="358"/>
        <w:gridCol w:w="1047"/>
        <w:gridCol w:w="185"/>
        <w:gridCol w:w="109"/>
        <w:gridCol w:w="109"/>
        <w:gridCol w:w="109"/>
        <w:gridCol w:w="351"/>
        <w:gridCol w:w="1027"/>
        <w:gridCol w:w="256"/>
      </w:tblGrid>
      <w:tr>
        <w:trPr/>
        <w:tc>
          <w:tcPr>
            <w:tcW w:w="2187"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January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January 31, 2023</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Effect of exchange rate changes on cash, cash equivalents,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 (decrease) in cash, cash equivalents,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14.4 </w:t>
            </w:r>
          </w:p>
        </w:tc>
        <w:tc>
          <w:tcPr>
            <w:tcW w:w="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19"/>
        </w:rPr>
      </w:pPr>
      <w:r>
        <w:rPr>
          <w:rFonts w:ascii="Times New Roman;sans-serif" w:hAnsi="Times New Roman;sans-serif"/>
          <w:b/>
          <w:color w:val="000000"/>
          <w:sz w:val="19"/>
        </w:rPr>
        <w:t>Operating Cash Flow</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operating activities in the first three months of fiscal 2024 decreased compared to the first three months of fiscal 2023, primarily due to net changes in operating capital, including a decrease in accounts payable, partially offset by the $31.8 million release of contingent consideration liability associated with SightGlass Vision's regulatory approval milestone in the first three months of fiscal 2023.</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Investing Cash Flow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Cash used in investing activities in the first three months of fiscal 2024 increased compared to the first three months of fiscal 2023, primarily attributable to $200.0 million cash paid for the Cook Medical acquisition in the first three months of fiscal 2024 and an increase in purchases of property, plant and equipment.</w:t>
      </w:r>
    </w:p>
    <w:p>
      <w:pPr>
        <w:pStyle w:val="TextBody"/>
        <w:bidi w:val="0"/>
        <w:spacing w:lineRule="auto" w:line="288" w:before="240" w:after="283"/>
        <w:jc w:val="left"/>
        <w:rPr>
          <w:rFonts w:ascii="Times New Roman;sans-serif" w:hAnsi="Times New Roman;sans-serif"/>
          <w:b/>
          <w:color w:val="000000"/>
          <w:sz w:val="19"/>
        </w:rPr>
      </w:pPr>
      <w:r>
        <w:rPr>
          <w:rFonts w:ascii="Times New Roman;sans-serif" w:hAnsi="Times New Roman;sans-serif"/>
          <w:b/>
          <w:color w:val="000000"/>
          <w:sz w:val="19"/>
        </w:rPr>
        <w:t>Financing Cash Flow</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financing activities in the first three months of fiscal 2024 was primarily attributable to $200.0 million drawn on the revolving credit to pay for the Cook Medical acquisition.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used in financing activities in the first three months of fiscal 2023 was primarily due to repayments of $338.0 million on the 2021 364-day term loan, partially offset by $276.5 million of funds drawn on the 2020 revolving credit.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is a summary of the maximum commitments and the net amounts available to us under different credit facilities as of January 31, 2024:</w:t>
      </w:r>
    </w:p>
    <w:tbl>
      <w:tblPr>
        <w:tblW w:w="10205" w:type="dxa"/>
        <w:jc w:val="center"/>
        <w:tblInd w:w="0" w:type="dxa"/>
        <w:tblLayout w:type="fixed"/>
        <w:tblCellMar>
          <w:top w:w="28" w:type="dxa"/>
          <w:left w:w="28" w:type="dxa"/>
          <w:bottom w:w="28" w:type="dxa"/>
          <w:right w:w="28" w:type="dxa"/>
        </w:tblCellMar>
      </w:tblPr>
      <w:tblGrid>
        <w:gridCol w:w="544"/>
        <w:gridCol w:w="445"/>
        <w:gridCol w:w="414"/>
        <w:gridCol w:w="109"/>
        <w:gridCol w:w="109"/>
        <w:gridCol w:w="109"/>
        <w:gridCol w:w="226"/>
        <w:gridCol w:w="824"/>
        <w:gridCol w:w="117"/>
        <w:gridCol w:w="109"/>
        <w:gridCol w:w="109"/>
        <w:gridCol w:w="109"/>
        <w:gridCol w:w="303"/>
        <w:gridCol w:w="1104"/>
        <w:gridCol w:w="159"/>
        <w:gridCol w:w="109"/>
        <w:gridCol w:w="109"/>
        <w:gridCol w:w="109"/>
        <w:gridCol w:w="500"/>
        <w:gridCol w:w="965"/>
        <w:gridCol w:w="260"/>
        <w:gridCol w:w="109"/>
        <w:gridCol w:w="109"/>
        <w:gridCol w:w="109"/>
        <w:gridCol w:w="323"/>
        <w:gridCol w:w="943"/>
        <w:gridCol w:w="166"/>
        <w:gridCol w:w="109"/>
        <w:gridCol w:w="109"/>
        <w:gridCol w:w="109"/>
        <w:gridCol w:w="391"/>
        <w:gridCol w:w="364"/>
        <w:gridCol w:w="522"/>
      </w:tblGrid>
      <w:tr>
        <w:trPr/>
        <w:tc>
          <w:tcPr>
            <w:tcW w:w="5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u w:val="single"/>
              </w:rPr>
            </w:pPr>
            <w:r>
              <w:rPr>
                <w:rFonts w:ascii="Times New Roman;sans-serif" w:hAnsi="Times New Roman;sans-serif"/>
                <w:b/>
                <w:color w:val="000000"/>
                <w:sz w:val="19"/>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Facility Limit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Outstanding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Outstanding Letters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 Amount Available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Maturity Date</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Revolving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2020 Revolving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April 1, 2025</w:t>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2020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April 1, 2025</w:t>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2021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December 17, 2026</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3,640.0 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2,725.0 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912.6 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19"/>
        </w:rPr>
      </w:pPr>
      <w:r>
        <w:rPr>
          <w:rFonts w:ascii="Times New Roman;sans-serif" w:hAnsi="Times New Roman;sans-serif"/>
          <w:b w:val="false"/>
          <w:color w:val="000000"/>
          <w:sz w:val="19"/>
        </w:rPr>
        <w:t>As of January 31, 2024, the Company was in compliance with all debt covenants. See Note 5. Financing Arrangements of the Consolidated Condensed Financial Statements for further information.</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Considering recent market conditions, we have re-evaluated our operating cash flows and cash requirements and continue to believe that current cash, cash equivalents, future cash flow from operating activities and cash available under our 2020 Credit Agreement will be sufficient to meet our anticipated cash needs, including working capital needs, capital expenditures and contractual obligations for at least 12 months from the issuance date of the Consolidated Condensed Financial Statements included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2. Management’s Discussion and Analysis of Financial Condition</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and Results of Operations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this quarterly report. To the extent additional funds are necessary to meet our liquidity needs such as for acquisitions, share repurchases or other activities as we execute our business strategy, we anticipate that additional funds could be obtained through the incurrence of additional indebtedness, additional equity financings or a combination of these potential sources of funds; however, such financing may not be available on favorable terms, or at all.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Share Repurchase</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March 2017, the authorization under the 2012 Share Repurchase Program was increased to $1.0 billion by the Company's Board of Directors. As of January 31, 2024, $256.4 million remains authorized for repurchase.</w:t>
      </w:r>
    </w:p>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During the three months ended January 31, 2024, and 2023, there were no share repurchases.</w:t>
      </w:r>
    </w:p>
    <w:p>
      <w:pPr>
        <w:pStyle w:val="TextBody"/>
        <w:bidi w:val="0"/>
        <w:spacing w:lineRule="auto" w:line="288" w:before="180" w:after="283"/>
        <w:jc w:val="both"/>
        <w:rPr>
          <w:rFonts w:ascii="Times New Roman;sans-serif" w:hAnsi="Times New Roman;sans-serif"/>
          <w:b/>
          <w:color w:val="000000"/>
          <w:sz w:val="19"/>
        </w:rPr>
      </w:pPr>
      <w:r>
        <w:rPr>
          <w:rFonts w:ascii="Times New Roman;sans-serif" w:hAnsi="Times New Roman;sans-serif"/>
          <w:b/>
          <w:color w:val="000000"/>
          <w:sz w:val="19"/>
        </w:rPr>
        <w:t>Dividends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December 2023, the Company's Board of Directors decided to end the declaration of the semiannual dividend.</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Stock Split</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On February 16, 2024, the Company effected a four-for-one stock split of its outstanding shares of common stock. All share and per share information has been retroactively adjusted to reflect the stock split for all periods presented. The par value of the common stock remains $0.10 cents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Estimates and Critical Accounting Policies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9"/>
        </w:rPr>
        <w:t>Information regarding estimates and critical accounting policies is included in Management's Discussion and Analysis in our Form 10-K for the fiscal year ended October 31, 2023. There have been no material changes in our policies</w:t>
      </w: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9"/>
        </w:rPr>
        <w:t>from those previously discussed in our Form 10-K for the fiscal year ended October 31, 2023.</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 xml:space="preserve">Accounting Pronouncements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Information regarding new accounting pronouncements is included in Note 1. General of the Consolidated Condensed Financial Statements of this Quarterly Report on Form 10-Q.</w:t>
      </w:r>
    </w:p>
    <w:p>
      <w:pPr>
        <w:pStyle w:val="TextBody"/>
        <w:bidi w:val="0"/>
        <w:spacing w:before="180" w:after="283"/>
        <w:jc w:val="left"/>
        <w:rPr/>
      </w:pPr>
      <w:r>
        <w:rPr/>
      </w:r>
    </w:p>
    <w:p>
      <w:pPr>
        <w:pStyle w:val="TextBody"/>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4"/>
        </w:rPr>
        <w:t>To further clarify the policy detailed in our Annual Report on Form 10-K for the fiscal year ended October 31, 2023, the current portion of the deferred revenue balances at the beginning of each period presented were generally fully recognized in a ratable manner in the subsequent 12-month period. We recognized revenue of approximately $31.0 million and $23.0 million for the three months ended January 31, 2024, and 2023, respectively, that was included in the deferred revenue balance at October 31, 2023 and October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lineRule="auto" w:line="288" w:before="24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3. Quantitative and Qualitative Disclosure About Market Risk</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are exposed to market risks that relate principally to changes in interest rates and foreign currency fluctuations. We do not enter into derivative financial instrument transactions for speculative purposes.</w:t>
      </w:r>
    </w:p>
    <w:p>
      <w:pPr>
        <w:pStyle w:val="TextBody"/>
        <w:bidi w:val="0"/>
        <w:spacing w:lineRule="auto" w:line="288" w:before="18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Foreign Currency Exchange Risk</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Most of our operations outside the United States have their local currency as their functional currency. We have exposure to multiple foreign currencies, including, among others, the British pound, Euro and Japanese yen. We have taken steps to minimize our balance sheet exposure by entering into foreign currency forward contracts to minimize the short-term impact of foreign currency exchange rate fluctuations on certain trade and intercompany receivables and payables. </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At January 31, 2024, a uniform hypothetical 10% increase or decrease in the foreign currency exchange rates in comparison to the value of the U.S. dollar would have resulted in a corresponding increase or decrease of approximately $29.9 million in operating income for the fiscal quarter ended January 31, 2024. See Note 12. Financial Derivatives and Hedging of the Consolidated Condensed Financial Statements for further information.</w:t>
      </w:r>
    </w:p>
    <w:p>
      <w:pPr>
        <w:pStyle w:val="TextBody"/>
        <w:bidi w:val="0"/>
        <w:spacing w:lineRule="auto" w:line="288" w:before="18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Interest Rate Risk</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 are exposed to risks associated with changes in interest rates, as the interest rates on our revolving lines of credit and term loans may vary with the federal funds rate and SOFR. As of January 31, 2024, we had outstanding debt for an aggregate carrying amount of $2.8 billion. We have entered, and in the future may enter, into interest rate swaps to manage interest rate risk.</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Our ultimate realized gain or loss with respect to interest rate fluctuations will depend on interest rates, the exposures that arise during the period and our hedging strategies at that time. As an example, if interest rates were to increase or decrease by 1% or 100 basis points, the quarterly interest expense would not have a material impact, based on average debt outstanding, after consideration of our interest rate swap contracts, during the first quarter of fiscal 2024. See Note 5. Financing Arrangements of the Consolidated Condensed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4. Controls and Procedures</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Evaluation of Disclosure Controls and Procedures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 </w:t>
      </w:r>
    </w:p>
    <w:p>
      <w:pPr>
        <w:pStyle w:val="TextBody"/>
        <w:bidi w:val="0"/>
        <w:spacing w:lineRule="auto" w:line="288" w:before="180" w:after="283"/>
        <w:jc w:val="left"/>
        <w:rPr>
          <w:rFonts w:ascii="Times New Roman;sans-serif" w:hAnsi="Times New Roman;sans-serif"/>
          <w:b/>
          <w:color w:val="000000"/>
          <w:sz w:val="19"/>
        </w:rPr>
      </w:pPr>
      <w:r>
        <w:rPr>
          <w:rFonts w:ascii="Times New Roman;sans-serif" w:hAnsi="Times New Roman;sans-serif"/>
          <w:b/>
          <w:color w:val="000000"/>
          <w:sz w:val="19"/>
        </w:rPr>
        <w:t>Changes in Internal Control over Financial Reporting</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There have been no changes in our internal control over financial reporting identified in connection with the evaluation required by Rule 13a-15(d) and 15d-15(d) of the Exchange Act that occurred during our first quarter of fiscal 2024,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Information regarding legal proceedings is included in Note 10. Contingencies of the Consolidated Condensed Financial Statements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1A.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19"/>
        </w:rPr>
      </w:pPr>
      <w:r>
        <w:rPr>
          <w:rFonts w:ascii="Times New Roman;sans-serif" w:hAnsi="Times New Roman;sans-serif"/>
          <w:b w:val="false"/>
          <w:i/>
          <w:color w:val="000000"/>
          <w:sz w:val="19"/>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9"/>
        </w:rPr>
        <w:t>Risk factors describing the major risks to our business can be found under Item 1A. Risk Factors in our Annual Report on Form 1</w:t>
      </w:r>
      <w:r>
        <w:rPr>
          <w:rFonts w:ascii="Times New Roman;sans-serif" w:hAnsi="Times New Roman;sans-serif"/>
          <w:b w:val="false"/>
          <w:color w:val="000000"/>
          <w:sz w:val="19"/>
          <w:shd w:fill="FFFFFF" w:val="clear"/>
        </w:rPr>
        <w:t xml:space="preserve">0-K for the fiscal year ended October 31, 2023. </w:t>
      </w:r>
      <w:r>
        <w:rPr>
          <w:rFonts w:ascii="Times New Roman;sans-serif" w:hAnsi="Times New Roman;sans-serif"/>
          <w:b w:val="false"/>
          <w:color w:val="000000"/>
          <w:sz w:val="19"/>
        </w:rPr>
        <w:t xml:space="preserve">There have been no material changes to the risk factors previously disclosed in our Annual Report on Form 10-K for the fiscal year ended </w:t>
      </w:r>
      <w:r>
        <w:rPr>
          <w:rFonts w:ascii="Times New Roman;sans-serif" w:hAnsi="Times New Roman;sans-serif"/>
          <w:b w:val="false"/>
          <w:color w:val="000000"/>
          <w:sz w:val="19"/>
          <w:shd w:fill="FFFFFF" w:val="clear"/>
        </w:rPr>
        <w:t>October 31, 2023</w:t>
      </w:r>
      <w:r>
        <w:rPr>
          <w:rFonts w:ascii="Times New Roman;sans-serif" w:hAnsi="Times New Roman;sans-serif"/>
          <w:b w:val="false"/>
          <w:color w:val="000000"/>
          <w:sz w:val="19"/>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2. Unregistered Sales of Equity Securities and Use of Proceeds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 March 2017, the authorization under the 2012 Stock Repurchase Program was increased to $1.0 billion by the Company's Board of Directors. As of January 31, 2024, $256.4 million remains authorized for repurchase.</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During the three months ended January 31, 2024, and 2023, there were no share repurchases. </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During the three months ended January 31, 2024, no director or officer of the Company adopted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2588"/>
        <w:gridCol w:w="2331"/>
        <w:gridCol w:w="2338"/>
        <w:gridCol w:w="255"/>
        <w:gridCol w:w="204"/>
        <w:gridCol w:w="152"/>
        <w:gridCol w:w="255"/>
        <w:gridCol w:w="255"/>
        <w:gridCol w:w="230"/>
        <w:gridCol w:w="266"/>
        <w:gridCol w:w="266"/>
        <w:gridCol w:w="25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9"/>
              </w:rPr>
            </w:pPr>
            <w:r>
              <w:rPr>
                <w:rFonts w:ascii="Times New Roman;sans-serif" w:hAnsi="Times New Roman;sans-serif"/>
                <w:b/>
                <w:color w:val="000000"/>
                <w:sz w:val="19"/>
              </w:rPr>
              <w:t>Exhibit</w:t>
            </w:r>
          </w:p>
          <w:p>
            <w:pPr>
              <w:pStyle w:val="TableContents"/>
              <w:bidi w:val="0"/>
              <w:spacing w:lineRule="auto" w:line="240" w:before="0" w:after="0"/>
              <w:jc w:val="left"/>
              <w:rPr>
                <w:rFonts w:ascii="Times New Roman;sans-serif" w:hAnsi="Times New Roman;sans-serif"/>
                <w:b/>
                <w:color w:val="000000"/>
                <w:sz w:val="19"/>
                <w:u w:val="single"/>
              </w:rPr>
            </w:pPr>
            <w:r>
              <w:rPr>
                <w:rFonts w:ascii="Times New Roman;sans-serif" w:hAnsi="Times New Roman;sans-serif"/>
                <w:b/>
                <w:color w:val="000000"/>
                <w:sz w:val="19"/>
                <w:u w:val="single"/>
              </w:rPr>
              <w:t>Number</w:t>
            </w:r>
          </w:p>
        </w:tc>
        <w:tc>
          <w:tcPr>
            <w:tcW w:w="72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u w:val="single"/>
              </w:rPr>
            </w:pPr>
            <w:r>
              <w:rPr>
                <w:rFonts w:ascii="Times New Roman;sans-serif" w:hAnsi="Times New Roman;sans-serif"/>
                <w:b/>
                <w:color w:val="000000"/>
                <w:sz w:val="19"/>
                <w:u w:val="single"/>
              </w:rPr>
              <w:t>Description of Document</w:t>
            </w:r>
          </w:p>
        </w:tc>
        <w:tc>
          <w:tcPr>
            <w:tcW w:w="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br/>
              <w:t>Period End</w:t>
              <w:br/>
              <w:t>Date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3.1</w:t>
            </w:r>
          </w:p>
        </w:tc>
        <w:tc>
          <w:tcPr>
            <w:tcW w:w="7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80"/>
                  <w:sz w:val="19"/>
                  <w:u w:val="single"/>
                </w:rPr>
                <w:t>A</w:t>
              </w:r>
            </w:hyperlink>
            <w:hyperlink r:id="rId8">
              <w:r>
                <w:rPr>
                  <w:rStyle w:val="InternetLink"/>
                  <w:rFonts w:ascii="Times New Roman;sans-serif" w:hAnsi="Times New Roman;sans-serif"/>
                  <w:b w:val="false"/>
                  <w:color w:val="000080"/>
                  <w:sz w:val="19"/>
                  <w:u w:val="single"/>
                </w:rPr>
                <w:t>mendment to Second Rest</w:t>
              </w:r>
            </w:hyperlink>
            <w:hyperlink r:id="rId9">
              <w:r>
                <w:rPr>
                  <w:rStyle w:val="InternetLink"/>
                  <w:rFonts w:ascii="Times New Roman;sans-serif" w:hAnsi="Times New Roman;sans-serif"/>
                  <w:b w:val="false"/>
                  <w:color w:val="000080"/>
                  <w:sz w:val="19"/>
                  <w:u w:val="single"/>
                </w:rPr>
                <w:t>ated Certificate of Incorporation</w:t>
              </w:r>
            </w:hyperlink>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31.1</w:t>
            </w:r>
          </w:p>
        </w:tc>
        <w:tc>
          <w:tcPr>
            <w:tcW w:w="7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11_2024x01x31x10q.htm">
              <w:r>
                <w:rPr>
                  <w:rStyle w:val="InternetLink"/>
                  <w:rFonts w:ascii="Times New Roman;sans-serif" w:hAnsi="Times New Roman;sans-serif"/>
                  <w:b w:val="false"/>
                  <w:color w:val="0000FF"/>
                  <w:sz w:val="19"/>
                  <w:u w:val="single"/>
                </w:rPr>
                <w:t>Certification of the Chief Executive Officer, pursuant to Rule 13a-14(a) under the Securities Exchange Act of 1934</w:t>
              </w:r>
            </w:hyperlink>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31.2</w:t>
            </w:r>
          </w:p>
        </w:tc>
        <w:tc>
          <w:tcPr>
            <w:tcW w:w="7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12_2024x01x31x10q.htm">
              <w:r>
                <w:rPr>
                  <w:rStyle w:val="InternetLink"/>
                  <w:rFonts w:ascii="Times New Roman;sans-serif" w:hAnsi="Times New Roman;sans-serif"/>
                  <w:b w:val="false"/>
                  <w:color w:val="0000FF"/>
                  <w:sz w:val="19"/>
                  <w:u w:val="single"/>
                </w:rPr>
                <w:t>Certification of the Chief Financial Officer, pursuant to Rule 13a-14(a) under the Securities Exchange Act of 1934</w:t>
              </w:r>
            </w:hyperlink>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32.1</w:t>
            </w:r>
          </w:p>
        </w:tc>
        <w:tc>
          <w:tcPr>
            <w:tcW w:w="7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21_2024x01x31x10q.htm">
              <w:r>
                <w:rPr>
                  <w:rStyle w:val="InternetLink"/>
                  <w:rFonts w:ascii="Times New Roman;sans-serif" w:hAnsi="Times New Roman;sans-serif"/>
                  <w:b w:val="false"/>
                  <w:color w:val="0000FF"/>
                  <w:sz w:val="19"/>
                  <w:u w:val="single"/>
                </w:rPr>
                <w:t>Certification of the Chief Executive Officer, pursuant to 18 U.S.C. Section 1350</w:t>
              </w:r>
            </w:hyperlink>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32.2</w:t>
            </w:r>
          </w:p>
        </w:tc>
        <w:tc>
          <w:tcPr>
            <w:tcW w:w="72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ex322_2024x01x31x10q.htm">
              <w:r>
                <w:rPr>
                  <w:rStyle w:val="InternetLink"/>
                  <w:rFonts w:ascii="Times New Roman;sans-serif" w:hAnsi="Times New Roman;sans-serif"/>
                  <w:b w:val="false"/>
                  <w:color w:val="0000FF"/>
                  <w:sz w:val="19"/>
                  <w:u w:val="single"/>
                </w:rPr>
                <w:t>Certification of the Chief Financial Officer, pursuant to 18 U.S.C. Section 1350</w:t>
              </w:r>
            </w:hyperlink>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101.1</w:t>
            </w:r>
          </w:p>
        </w:tc>
        <w:tc>
          <w:tcPr>
            <w:tcW w:w="72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 following materials from the Company's Quarterly Report on Form 10-Q for the three months period ended January 31, 2024 formatted in Inline XBRL (Extensible Business Reporting Language): (i) Consolidated Condensed Statements of Income and Comprehensive Income, (ii) Consolidated Condensed Balance Sheets, (iii) Consolidated Condensed Statements of Stockholders' Equity, (iv) Consolidated Condensed Statements of Cash Flows and (v) related Notes to Consolidated Condensed Financial Statements.</w:t>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104.1</w:t>
            </w:r>
          </w:p>
        </w:tc>
        <w:tc>
          <w:tcPr>
            <w:tcW w:w="7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Cover Page Interactive Data File (embedded within the Inline XBRL document)</w:t>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7257"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7257"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300" w:after="283"/>
        <w:jc w:val="left"/>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COOPER COMPANIES, INC. AND SUBSIDIARIES</w:t>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SIGNATURES</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Pursuant to the requirements of the Securities Exchange Act of 1934, the Registrant has duly caused this report to be signed on its behalf by the undersigned thereunto duly authorized.</w:t>
      </w:r>
    </w:p>
    <w:tbl>
      <w:tblPr>
        <w:tblW w:w="8624" w:type="dxa"/>
        <w:jc w:val="left"/>
        <w:tblInd w:w="0" w:type="dxa"/>
        <w:tblLayout w:type="fixed"/>
        <w:tblCellMar>
          <w:top w:w="28" w:type="dxa"/>
          <w:left w:w="28" w:type="dxa"/>
          <w:bottom w:w="28" w:type="dxa"/>
          <w:right w:w="28" w:type="dxa"/>
        </w:tblCellMar>
      </w:tblPr>
      <w:tblGrid>
        <w:gridCol w:w="645"/>
        <w:gridCol w:w="568"/>
        <w:gridCol w:w="571"/>
        <w:gridCol w:w="2000"/>
        <w:gridCol w:w="2000"/>
        <w:gridCol w:w="2840"/>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The Cooper Companies,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(Registrant)</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Date: March 1, 2024</w:t>
            </w:r>
          </w:p>
        </w:tc>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 Brian G. Andrews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Brian G. Andrews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Executive Vice President, Chief Financial Officer and Treasurer</w:t>
              <w:br/>
              <w:t>(Principal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Date: March 1, 2024</w:t>
            </w:r>
          </w:p>
        </w:tc>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 Agostino Ricupati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Agostino Ricupati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Senior Vice President and Chief Accounting Officer (Principal Accounting Officer)</w:t>
            </w:r>
          </w:p>
        </w:tc>
      </w:tr>
    </w:tbl>
    <w:p>
      <w:pPr>
        <w:pStyle w:val="TextBody"/>
        <w:bidi w:val="0"/>
        <w:spacing w:before="18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CERTIFICATION PURSUANT TO EXCHANGE ACT RULE 13a-14(a)/15d-14(a)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AS ADOPTED PURSUANT TO SECTION 302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Albert G. White III,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Cooper Companies,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65" w:type="dxa"/>
        <w:jc w:val="left"/>
        <w:tblInd w:w="0" w:type="dxa"/>
        <w:tblLayout w:type="fixed"/>
        <w:tblCellMar>
          <w:top w:w="28" w:type="dxa"/>
          <w:left w:w="28" w:type="dxa"/>
          <w:bottom w:w="28" w:type="dxa"/>
          <w:right w:w="28" w:type="dxa"/>
        </w:tblCellMar>
      </w:tblPr>
      <w:tblGrid>
        <w:gridCol w:w="645"/>
        <w:gridCol w:w="568"/>
        <w:gridCol w:w="571"/>
        <w:gridCol w:w="1068"/>
        <w:gridCol w:w="1068"/>
        <w:gridCol w:w="1073"/>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 2024</w:t>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Albert G. White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Albert G. White III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CERTIFICATION PURSUANT TO EXCHANGE ACT RULE 13a-14(a)/15d-14(a)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AS ADOPTED PURSUANT TO SECTION 302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Brian G. Andrews, certify that: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Cooper Companies, Inc. (the “registrant”);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7391" w:type="dxa"/>
        <w:jc w:val="left"/>
        <w:tblInd w:w="0" w:type="dxa"/>
        <w:tblLayout w:type="fixed"/>
        <w:tblCellMar>
          <w:top w:w="28" w:type="dxa"/>
          <w:left w:w="28" w:type="dxa"/>
          <w:bottom w:w="28" w:type="dxa"/>
          <w:right w:w="28" w:type="dxa"/>
        </w:tblCellMar>
      </w:tblPr>
      <w:tblGrid>
        <w:gridCol w:w="645"/>
        <w:gridCol w:w="568"/>
        <w:gridCol w:w="571"/>
        <w:gridCol w:w="1743"/>
        <w:gridCol w:w="1743"/>
        <w:gridCol w:w="1749"/>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 2024</w:t>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Brian G. Andrews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Brian G. Andrews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Albert G. White III, do hereby certify, pursuant to 18 U.S.C. Section 1350, as adopted pursuant to Section 906 of the Sarbanes-Oxley Act of 2002, that, to my knowledge: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Quarterly Report on Form 10-Q of The Cooper Companies, Inc. (the “Company”) for the quarterly period ended January 31, 2024, as filed with the Securities and Exchange Commission (the “Report”), fully complies with the requirements of Section 13(a) or 15(d) of the Securities Exchange Act of 1934; and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p>
      <w:pPr>
        <w:pStyle w:val="TextBody"/>
        <w:bidi w:val="0"/>
        <w:spacing w:before="180" w:after="283"/>
        <w:jc w:val="left"/>
        <w:rPr/>
      </w:pPr>
      <w:r>
        <w:rPr/>
      </w:r>
    </w:p>
    <w:tbl>
      <w:tblPr>
        <w:tblW w:w="4993" w:type="dxa"/>
        <w:jc w:val="left"/>
        <w:tblInd w:w="0" w:type="dxa"/>
        <w:tblLayout w:type="fixed"/>
        <w:tblCellMar>
          <w:top w:w="28" w:type="dxa"/>
          <w:left w:w="28" w:type="dxa"/>
          <w:bottom w:w="28" w:type="dxa"/>
          <w:right w:w="28" w:type="dxa"/>
        </w:tblCellMar>
      </w:tblPr>
      <w:tblGrid>
        <w:gridCol w:w="645"/>
        <w:gridCol w:w="568"/>
        <w:gridCol w:w="571"/>
        <w:gridCol w:w="939"/>
        <w:gridCol w:w="939"/>
        <w:gridCol w:w="133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 2024</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Albert G. White III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 G. White III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Brian G. Andrews, do hereby certify, pursuant to 18 U.S.C. Section 1350, as adopted pursuant to Section 906 of the Sarbanes-Oxley Act of 2002, that, to my knowledge: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Quarterly Report on Form 10-Q of The Cooper Companies, Inc. (the “Company”) for the quarterly period ended January 31, 2024, as filed with the Securities and Exchange Commission (the “Report”), fully complies with the requirements of Section 13(a) or 15(d) of the Securities Exchange Act of 1934; and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p>
      <w:pPr>
        <w:pStyle w:val="TextBody"/>
        <w:bidi w:val="0"/>
        <w:spacing w:before="180" w:after="283"/>
        <w:jc w:val="left"/>
        <w:rPr/>
      </w:pPr>
      <w:r>
        <w:rPr/>
      </w:r>
    </w:p>
    <w:tbl>
      <w:tblPr>
        <w:tblW w:w="7064" w:type="dxa"/>
        <w:jc w:val="left"/>
        <w:tblInd w:w="0" w:type="dxa"/>
        <w:tblLayout w:type="fixed"/>
        <w:tblCellMar>
          <w:top w:w="28" w:type="dxa"/>
          <w:left w:w="28" w:type="dxa"/>
          <w:bottom w:w="28" w:type="dxa"/>
          <w:right w:w="28" w:type="dxa"/>
        </w:tblCellMar>
      </w:tblPr>
      <w:tblGrid>
        <w:gridCol w:w="645"/>
        <w:gridCol w:w="568"/>
        <w:gridCol w:w="571"/>
        <w:gridCol w:w="1542"/>
        <w:gridCol w:w="1542"/>
        <w:gridCol w:w="219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1, 2024</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G. Andrews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G. Andrews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www.sec.gov/Archives/edgar/data/711404/000071140424000010/coo-charteramendmentstocks.htm" TargetMode="External"/><Relationship Id="rId8" Type="http://schemas.openxmlformats.org/officeDocument/2006/relationships/hyperlink" Target="http://www.sec.gov/Archives/edgar/data/711404/000071140424000010/coo-charteramendmentstocks.htm" TargetMode="External"/><Relationship Id="rId9" Type="http://schemas.openxmlformats.org/officeDocument/2006/relationships/hyperlink" Target="http://www.sec.gov/Archives/edgar/data/711404/000071140424000010/coo-charteramendmentstocks.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11193</Words>
  <Characters>63531</Characters>
  <CharactersWithSpaces>73756</CharactersWithSpaces>
  <Paragraphs>1746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