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274" w:right="339" w:bottom="1440" w:gutter="0" w:footer="0" w:header="0"/>
        </w:sectPr>
      </w:pPr>
    </w:p>
    <w:p>
      <w:pPr>
        <w:spacing w:after="0" w:line="122"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9" w:lineRule="exact"/>
        <w:rPr>
          <w:sz w:val="24"/>
          <w:szCs w:val="24"/>
          <w:color w:val="auto"/>
        </w:rPr>
      </w:pPr>
    </w:p>
    <w:p>
      <w:pPr>
        <w:sectPr>
          <w:pgSz w:w="11900" w:h="16838" w:orient="portrait"/>
          <w:cols w:equalWidth="0" w:num="2">
            <w:col w:w="1340" w:space="720"/>
            <w:col w:w="9180"/>
          </w:cols>
          <w:pgMar w:left="320" w:top="27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2020</w:t>
      </w:r>
    </w:p>
    <w:p>
      <w:pPr>
        <w:sectPr>
          <w:pgSz w:w="11900" w:h="16838" w:orient="portrait"/>
          <w:cols w:equalWidth="0" w:num="1">
            <w:col w:w="11240"/>
          </w:cols>
          <w:pgMar w:left="320" w:top="274" w:right="339" w:bottom="1440" w:gutter="0" w:footer="0" w:header="0"/>
          <w:type w:val="continuous"/>
        </w:sectPr>
      </w:pPr>
    </w:p>
    <w:p>
      <w:pPr>
        <w:spacing w:after="0" w:line="139"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40" w:space="720"/>
            <w:col w:w="9180"/>
          </w:cols>
          <w:pgMar w:left="320" w:top="274" w:right="339" w:bottom="1440" w:gutter="0" w:footer="0" w:header="0"/>
          <w:type w:val="continuous"/>
        </w:sect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27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274" w:right="339" w:bottom="1440" w:gutter="0" w:footer="0" w:header="0"/>
          <w:type w:val="continuous"/>
        </w:sectPr>
      </w:pPr>
    </w:p>
    <w:p>
      <w:pPr>
        <w:spacing w:after="0" w:line="205"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500" w:space="720"/>
            <w:col w:w="3020"/>
          </w:cols>
          <w:pgMar w:left="320" w:top="274" w:right="33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380" w:space="720"/>
            <w:col w:w="3140"/>
          </w:cols>
          <w:pgMar w:left="320" w:top="27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2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Common Stock, $.10 par value</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4820" w:type="dxa"/>
            <w:vAlign w:val="bottom"/>
          </w:tcPr>
          <w:p>
            <w:pPr>
              <w:ind w:left="40"/>
              <w:spacing w:after="0"/>
              <w:rPr>
                <w:sz w:val="20"/>
                <w:szCs w:val="20"/>
                <w:color w:val="auto"/>
              </w:rPr>
            </w:pPr>
            <w:r>
              <w:rPr>
                <w:rFonts w:ascii="Arial" w:cs="Arial" w:eastAsia="Arial" w:hAnsi="Arial"/>
                <w:sz w:val="18"/>
                <w:szCs w:val="18"/>
                <w:color w:val="auto"/>
              </w:rPr>
              <w:t>The New York Stock Exchange</w:t>
            </w: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8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29, 2020, 53,333,091 shares of Common Stock, $.10 par value, were outstanding.</w:t>
      </w:r>
    </w:p>
    <w:p>
      <w:pPr>
        <w:sectPr>
          <w:pgSz w:w="11900" w:h="16838" w:orient="portrait"/>
          <w:cols w:equalWidth="0" w:num="1">
            <w:col w:w="11240"/>
          </w:cols>
          <w:pgMar w:left="320" w:top="274" w:right="339" w:bottom="1440" w:gutter="0" w:footer="0" w:header="0"/>
          <w:type w:val="continuous"/>
        </w:sectPr>
      </w:pPr>
    </w:p>
    <w:bookmarkStart w:id="1" w:name="page2"/>
    <w:bookmarkEnd w:id="1"/>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Page No.</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PART I.</w:t>
            </w:r>
          </w:p>
        </w:tc>
        <w:tc>
          <w:tcPr>
            <w:tcW w:w="8560" w:type="dxa"/>
            <w:vAlign w:val="bottom"/>
          </w:tcPr>
          <w:p>
            <w:pPr>
              <w:ind w:left="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1560" w:type="dxa"/>
            <w:vAlign w:val="bottom"/>
          </w:tcPr>
          <w:p>
            <w:pPr>
              <w:spacing w:after="0"/>
              <w:rPr>
                <w:sz w:val="21"/>
                <w:szCs w:val="21"/>
                <w:color w:val="auto"/>
              </w:rPr>
            </w:pPr>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Financial Statements</w:t>
              </w:r>
            </w:hyperlink>
          </w:p>
        </w:tc>
        <w:tc>
          <w:tcPr>
            <w:tcW w:w="1560" w:type="dxa"/>
            <w:vAlign w:val="bottom"/>
          </w:tcPr>
          <w:p>
            <w:pPr>
              <w:spacing w:after="0"/>
              <w:rPr>
                <w:sz w:val="24"/>
                <w:szCs w:val="24"/>
                <w:color w:val="auto"/>
              </w:rPr>
            </w:pPr>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Income and Comprehensive Income</w:t>
              </w:r>
            </w:hyperlink>
          </w:p>
        </w:tc>
        <w:tc>
          <w:tcPr>
            <w:tcW w:w="1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Condensed Balance Sheets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Condensed Statements of Stockholders' Equity</w:t>
              </w:r>
            </w:hyperlink>
          </w:p>
        </w:tc>
        <w:tc>
          <w:tcPr>
            <w:tcW w:w="15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Condensed Statements of Cash Flows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Consolidated Condensed Financial Statements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tcPr>
          <w:p>
            <w:pPr>
              <w:ind w:left="2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 About Market Risk</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43</w:t>
              </w:r>
            </w:hyperlink>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PART II.</w:t>
            </w:r>
          </w:p>
        </w:tc>
        <w:tc>
          <w:tcPr>
            <w:tcW w:w="8560" w:type="dxa"/>
            <w:vAlign w:val="bottom"/>
          </w:tcPr>
          <w:p>
            <w:pPr>
              <w:ind w:left="2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1560" w:type="dxa"/>
            <w:vAlign w:val="bottom"/>
          </w:tcPr>
          <w:p>
            <w:pPr>
              <w:spacing w:after="0"/>
              <w:rPr>
                <w:sz w:val="24"/>
                <w:szCs w:val="24"/>
                <w:color w:val="auto"/>
              </w:rPr>
            </w:pPr>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2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44</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tcPr>
          <w:p>
            <w:pPr>
              <w:ind w:left="2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44</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Unregistered Sales of Equity Securities and Use of Proceeds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Defaults Upon Senior Securities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Mine Safety Disclosures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432"/>
        </w:trPr>
        <w:tc>
          <w:tcPr>
            <w:tcW w:w="1080" w:type="dxa"/>
            <w:vAlign w:val="bottom"/>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Information</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405"/>
        </w:trPr>
        <w:tc>
          <w:tcPr>
            <w:tcW w:w="108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2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156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405"/>
        </w:trPr>
        <w:tc>
          <w:tcPr>
            <w:tcW w:w="108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w:t>
              </w:r>
            </w:hyperlink>
          </w:p>
        </w:tc>
        <w:tc>
          <w:tcPr>
            <w:tcW w:w="8560" w:type="dxa"/>
            <w:vAlign w:val="bottom"/>
          </w:tcPr>
          <w:p>
            <w:pPr>
              <w:spacing w:after="0"/>
              <w:rPr>
                <w:sz w:val="24"/>
                <w:szCs w:val="24"/>
                <w:color w:val="auto"/>
              </w:rPr>
            </w:pPr>
          </w:p>
        </w:tc>
        <w:tc>
          <w:tcPr>
            <w:tcW w:w="156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459"/>
        </w:trPr>
        <w:tc>
          <w:tcPr>
            <w:tcW w:w="1080" w:type="dxa"/>
            <w:vAlign w:val="bottom"/>
          </w:tcPr>
          <w:p>
            <w:pPr>
              <w:spacing w:after="0"/>
              <w:rPr>
                <w:sz w:val="24"/>
                <w:szCs w:val="24"/>
                <w:color w:val="auto"/>
              </w:rPr>
            </w:pPr>
          </w:p>
        </w:tc>
        <w:tc>
          <w:tcPr>
            <w:tcW w:w="8560" w:type="dxa"/>
            <w:vAlign w:val="bottom"/>
          </w:tcPr>
          <w:p>
            <w:pPr>
              <w:ind w:left="446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r>
    </w:tbl>
    <w:p>
      <w:pPr>
        <w:sectPr>
          <w:pgSz w:w="11900" w:h="16838" w:orient="portrait"/>
          <w:cols w:equalWidth="0" w:num="1">
            <w:col w:w="11200"/>
          </w:cols>
          <w:pgMar w:left="36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524.9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201.4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323.5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8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237.2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8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an intangible</w:t>
            </w: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8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8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(Benefit) Provision for income taxes (Note 7)</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 (Note 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Number of shares used to compute earnings per share:</w:t>
            </w: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net of tax:</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flow hedge</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32" w:right="339" w:bottom="1440" w:gutter="0" w:footer="0" w:header="0"/>
        </w:sectPr>
      </w:pPr>
    </w:p>
    <w:bookmarkStart w:id="3" w:name="page4"/>
    <w:bookmarkEnd w:id="3"/>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 2020</w:t>
            </w:r>
          </w:p>
        </w:tc>
        <w:tc>
          <w:tcPr>
            <w:tcW w:w="260" w:type="dxa"/>
            <w:vAlign w:val="bottom"/>
          </w:tcPr>
          <w:p>
            <w:pPr>
              <w:spacing w:after="0"/>
              <w:rPr>
                <w:sz w:val="16"/>
                <w:szCs w:val="16"/>
                <w:color w:val="auto"/>
              </w:rPr>
            </w:pPr>
          </w:p>
        </w:tc>
        <w:tc>
          <w:tcPr>
            <w:tcW w:w="1540" w:type="dxa"/>
            <w:vAlign w:val="bottom"/>
          </w:tcPr>
          <w:p>
            <w:pPr>
              <w:jc w:val="right"/>
              <w:ind w:right="291"/>
              <w:spacing w:after="0"/>
              <w:rPr>
                <w:sz w:val="20"/>
                <w:szCs w:val="20"/>
                <w:color w:val="auto"/>
              </w:rPr>
            </w:pPr>
            <w:r>
              <w:rPr>
                <w:rFonts w:ascii="Arial" w:cs="Arial" w:eastAsia="Arial" w:hAnsi="Arial"/>
                <w:sz w:val="14"/>
                <w:szCs w:val="14"/>
                <w:b w:val="1"/>
                <w:bCs w:val="1"/>
                <w:color w:val="auto"/>
              </w:rPr>
              <w:t>October 31, 2019</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29"/>
        </w:trPr>
        <w:tc>
          <w:tcPr>
            <w:tcW w:w="754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 for doubtful accounts of $13.4 at April 30, 2020 and</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$16.4 at October 31, 2019</w:t>
            </w:r>
          </w:p>
        </w:tc>
        <w:tc>
          <w:tcPr>
            <w:tcW w:w="3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435.3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(Note 4)</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132.2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2,193.9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1,061.8</w:t>
            </w:r>
          </w:p>
        </w:tc>
      </w:tr>
      <w:tr>
        <w:trPr>
          <w:trHeight w:val="237"/>
        </w:trPr>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1,132.1</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(Note 2)</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 (Note 5)</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2,428.9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 (Note 5)</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78.0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6,274.5</w:t>
            </w:r>
          </w:p>
        </w:tc>
      </w:tr>
      <w:tr>
        <w:trPr>
          <w:trHeight w:val="67"/>
        </w:trPr>
        <w:tc>
          <w:tcPr>
            <w:tcW w:w="7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(Note 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1,110.6</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6)</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pension liability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2,645.9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Preferred stock, 10 cents par value, shares authorized: 1.0; zero shares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380"/>
              <w:spacing w:after="0"/>
              <w:rPr>
                <w:sz w:val="20"/>
                <w:szCs w:val="20"/>
                <w:color w:val="auto"/>
              </w:rPr>
            </w:pPr>
            <w:r>
              <w:rPr>
                <w:rFonts w:ascii="Arial" w:cs="Arial" w:eastAsia="Arial" w:hAnsi="Arial"/>
                <w:sz w:val="18"/>
                <w:szCs w:val="18"/>
                <w:color w:val="auto"/>
                <w:w w:val="94"/>
              </w:rPr>
              <w:t>Common stock, 10 cents par value, shares authorized: 120.0; issued 53.3 at April 30, 2020 and</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53.2 at October 31, 2019</w:t>
            </w:r>
          </w:p>
        </w:tc>
        <w:tc>
          <w:tcPr>
            <w:tcW w:w="3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1,615.0</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(447.1)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3,026.4</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Treasury stock at cost: 4.2 shares at April 30, 2020 and 4.1 shares at October 31, 2019</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Cooper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3,628.4</w:t>
            </w:r>
          </w:p>
        </w:tc>
      </w:tr>
      <w:tr>
        <w:trPr>
          <w:trHeight w:val="236"/>
        </w:trPr>
        <w:tc>
          <w:tcPr>
            <w:tcW w:w="754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Stockholders’ equity (Note 10)</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3,628.6</w:t>
            </w:r>
          </w:p>
        </w:tc>
      </w:tr>
      <w:tr>
        <w:trPr>
          <w:trHeight w:val="236"/>
        </w:trPr>
        <w:tc>
          <w:tcPr>
            <w:tcW w:w="75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6,274.5</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673"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Shares</w:t>
            </w:r>
          </w:p>
        </w:tc>
        <w:tc>
          <w:tcPr>
            <w:tcW w:w="1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line="20" w:lineRule="exact"/>
              <w:rPr>
                <w:sz w:val="1"/>
                <w:szCs w:val="1"/>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3"/>
                <w:szCs w:val="13"/>
                <w:color w:val="auto"/>
              </w:rPr>
            </w:pP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November 1, 2018</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3,307.8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 net of tax</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Issuance of common stock for stock plans,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net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Treasury stock repurchase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Dividends on common stock ($0.03 per</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share)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ASU 2016-16 adoption</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January 31, 2019</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1,574.8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3,425.5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Issuance of common stock for stock plans,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net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Balance at April 30, 2019</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1,587.7</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3,542.2</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Balance at November 1, 2019</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1,615.0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3,026.4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3,628.6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Other comprehensive income, net of tax</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common stock for stock plans,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Dividends on common stock ($0.03 per</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share)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Balance at January 31, 2020</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1,611.6</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3,115.4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3,730.9</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Other comprehensive income, net of tax</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common stock for stock plans,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Treasury stock repurchase</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Issuance of common stock for employee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purchase plan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April 30, 2020</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391" w:right="439" w:bottom="1440" w:gutter="0" w:footer="0" w:header="0"/>
        </w:sectPr>
      </w:pPr>
    </w:p>
    <w:bookmarkStart w:id="5" w:name="page6"/>
    <w:bookmarkEnd w:id="5"/>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Gain on sale of an intangible</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operating capital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non-cash items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(repayments) proceeds from short-term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3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Consolidated Condensed Financial Statements of the Cooper Companies, Inc. and its subsidiaries (the Company) have been prepared in accordance with U.S.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accompanying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2019. The Consolidated Condensed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There have been no material changes to our significant accounting policies described in our Annual Report on Form 10-K for the fiscal year ended October 31, 2019, except as it relates to the adoption of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described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lease term reflects the noncancelable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World Health Organization has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of our optical retailers, hospital, medical office and fertility clinic customers have closed their facilities, restricted access, or delayed or cancelled patient visits, exams and elective medical procedures. This has had, and we believe will continue to have, an adverse effect on our sales, operating results and cash flows, although the extent of which is uncertain.</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after the initial outbreak has subsided; the actions taken by the U.S. and foreign governments to contain the COVID-19 pandemic, address its impact or respond to the reduction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3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the goodwill and other long-lived assets.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There was not a material impact to the above estimates in the Company’s Consolidated Condensed Financial Statements for the three and six months ended April 30, 2020. The Company’s future assessment of the magnitude and duration of COVID-19, as well as other factors, could result in material changes to the estimates and material impacts to the Company’s Consolidated Condensed Financial Statements in future reporting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I</w:t>
      </w:r>
      <w:r>
        <w:rPr>
          <w:rFonts w:ascii="Arial" w:cs="Arial" w:eastAsia="Arial" w:hAnsi="Arial"/>
          <w:sz w:val="17"/>
          <w:szCs w:val="17"/>
          <w:color w:val="auto"/>
        </w:rPr>
        <w:t>n February 2016, the Financial Accounting Standards Board (FASB) issued ASU 2016-02,</w:t>
      </w:r>
      <w:r>
        <w:rPr>
          <w:rFonts w:ascii="Arial" w:cs="Arial" w:eastAsia="Arial" w:hAnsi="Arial"/>
          <w:sz w:val="20"/>
          <w:szCs w:val="20"/>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requires that a lessee</w:t>
      </w:r>
      <w:r>
        <w:rPr>
          <w:rFonts w:ascii="Arial" w:cs="Arial" w:eastAsia="Arial" w:hAnsi="Arial"/>
          <w:sz w:val="20"/>
          <w:szCs w:val="20"/>
          <w:color w:val="auto"/>
        </w:rPr>
        <w:t xml:space="preserve"> </w:t>
      </w:r>
      <w:r>
        <w:rPr>
          <w:rFonts w:ascii="Arial" w:cs="Arial" w:eastAsia="Arial" w:hAnsi="Arial"/>
          <w:sz w:val="17"/>
          <w:szCs w:val="17"/>
          <w:color w:val="auto"/>
        </w:rPr>
        <w:t xml:space="preserve">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7"/>
          <w:szCs w:val="17"/>
          <w:i w:val="1"/>
          <w:iCs w:val="1"/>
          <w:color w:val="auto"/>
        </w:rPr>
        <w:t>Codification Improvements to Topic 842, Leases and ASU 2018-11, 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 improvements, </w:t>
      </w:r>
      <w:r>
        <w:rPr>
          <w:rFonts w:ascii="Arial" w:cs="Arial" w:eastAsia="Arial" w:hAnsi="Arial"/>
          <w:sz w:val="17"/>
          <w:szCs w:val="17"/>
          <w:color w:val="auto"/>
        </w:rPr>
        <w:t>which provides an additional (and optional) transition method whereby the new lease standard is applied at the adoption date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recognized as an adjustment to retained earnings. In March 2019, the FASB issued ASU 2019-01, </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which further clarifies the determination of fair value of the underlying asset by lessors that are not manufacturers or dealers and modifies transition disclosure requirements for changes in accounting principles and other technical updates.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adopted this standard using the optional transition method and recorded an adjustment to the Consolidated Condensed Balance Sheet on November 1, 2019. We have implemented changes to certain business processes, systems and internal controls to support adoption of the new standard and the related disclosure requirements, including the implementation of a third-party leasing software solution. We elected the package of transition expedients, which allows us to keep our existing lease classifications and not reassess whether any existing contracts as of the date of adoption are leases or contain leases and not reassess initial direct costs. In addition, we elected the practical expedients to combine lease and non-lease components for our leases, and for leases with an initial term of 12 months or less to recognize the associated lease payments in the Consolidated Statements of Income and Comprehensive Income on a straight-line basis over the lease term.</w:t>
      </w:r>
    </w:p>
    <w:p>
      <w:pPr>
        <w:spacing w:after="0" w:line="19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As of April 30, 2020, the aggregate balances of lease right-of-use assets and lease liabilities were $255.5 million and $264.2 million, respectively. The standard did not affect our Consolidated Statements of Income and Comprehensive Income or Consolidated Condensed Statements of Cash Flows. We will continue to disclose comparative reporting periods prior to November 1, 2019 under the previous accounting guidance, ASC 840 </w:t>
      </w:r>
      <w:r>
        <w:rPr>
          <w:rFonts w:ascii="Arial" w:cs="Arial" w:eastAsia="Arial" w:hAnsi="Arial"/>
          <w:sz w:val="16"/>
          <w:szCs w:val="16"/>
          <w:i w:val="1"/>
          <w:iCs w:val="1"/>
          <w:color w:val="auto"/>
        </w:rPr>
        <w:t>Leases.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and subsequent amendments to the initial guidance: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2019-04 “</w:t>
      </w:r>
      <w:r>
        <w:rPr>
          <w:rFonts w:ascii="Arial" w:cs="Arial" w:eastAsia="Arial" w:hAnsi="Arial"/>
          <w:sz w:val="17"/>
          <w:szCs w:val="17"/>
          <w:i w:val="1"/>
          <w:iCs w:val="1"/>
          <w:color w:val="auto"/>
        </w:rPr>
        <w:t>Codification Improvements to Topic 326, Financial Instruments-Credit Losses, Topic 815, Derivatives and Hedging, and Topic 825, Financial Instruments”</w:t>
      </w:r>
      <w:r>
        <w:rPr>
          <w:rFonts w:ascii="Arial" w:cs="Arial" w:eastAsia="Arial" w:hAnsi="Arial"/>
          <w:sz w:val="17"/>
          <w:szCs w:val="17"/>
          <w:color w:val="auto"/>
        </w:rPr>
        <w:t>, ASU 2019-05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ASU 2019-11 “</w:t>
      </w:r>
      <w:r>
        <w:rPr>
          <w:rFonts w:ascii="Arial" w:cs="Arial" w:eastAsia="Arial" w:hAnsi="Arial"/>
          <w:sz w:val="17"/>
          <w:szCs w:val="17"/>
          <w:i w:val="1"/>
          <w:iCs w:val="1"/>
          <w:color w:val="auto"/>
        </w:rPr>
        <w:t xml:space="preserve">Codification Improvements to Topic 326, Financial Instruments - Credit Losses” (collectively, “Topic 326”), </w:t>
      </w:r>
      <w:r>
        <w:rPr>
          <w:rFonts w:ascii="Arial" w:cs="Arial" w:eastAsia="Arial" w:hAnsi="Arial"/>
          <w:sz w:val="17"/>
          <w:szCs w:val="17"/>
          <w:color w:val="auto"/>
        </w:rPr>
        <w:t>ASU 2020-02</w:t>
      </w:r>
      <w:r>
        <w:rPr>
          <w:rFonts w:ascii="Arial" w:cs="Arial" w:eastAsia="Arial" w:hAnsi="Arial"/>
          <w:sz w:val="17"/>
          <w:szCs w:val="17"/>
          <w:i w:val="1"/>
          <w:iCs w:val="1"/>
          <w:color w:val="auto"/>
        </w:rPr>
        <w:t xml:space="preserve"> Financial Instruments—Credit Losses (Topic 326) and Leases (Topic 842) </w:t>
      </w:r>
      <w:r>
        <w:rPr>
          <w:rFonts w:ascii="Arial" w:cs="Arial" w:eastAsia="Arial" w:hAnsi="Arial"/>
          <w:sz w:val="17"/>
          <w:szCs w:val="17"/>
          <w:color w:val="auto"/>
        </w:rPr>
        <w:t>and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2020-03 </w:t>
      </w:r>
      <w:r>
        <w:rPr>
          <w:rFonts w:ascii="Arial" w:cs="Arial" w:eastAsia="Arial" w:hAnsi="Arial"/>
          <w:sz w:val="17"/>
          <w:szCs w:val="17"/>
          <w:i w:val="1"/>
          <w:iCs w:val="1"/>
          <w:color w:val="auto"/>
        </w:rPr>
        <w:t>Codification Improvements to Financial Instruments.</w:t>
      </w:r>
      <w:r>
        <w:rPr>
          <w:rFonts w:ascii="Arial" w:cs="Arial" w:eastAsia="Arial" w:hAnsi="Arial"/>
          <w:sz w:val="17"/>
          <w:szCs w:val="17"/>
          <w:color w:val="auto"/>
        </w:rPr>
        <w:t xml:space="preserve">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November 01, 2020. Early adoption is permitted. We are currently evaluating the impact of Topic 326 on our Consolidated Condensed Financial Statements.</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xml:space="preserve">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which means it will be effective for our fiscal year beginning November 1, 2020. Early adoption is permitted. The adoption of this guidance will not have a material impact on our Consolidated Condensed Financial Statements.</w:t>
      </w:r>
    </w:p>
    <w:p>
      <w:pPr>
        <w:spacing w:after="0" w:line="15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Condensed Financial Statements, which is effective for the Company in our fiscal year and interim periods beginning on November 1, 2021.</w:t>
      </w:r>
    </w:p>
    <w:p>
      <w:pPr>
        <w:spacing w:after="0" w:line="1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 323),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(Topic 815) - Clarifying the Interactions between Topic 321, Topic 323, and Topic 815. </w:t>
      </w:r>
      <w:r>
        <w:rPr>
          <w:rFonts w:ascii="Arial" w:cs="Arial" w:eastAsia="Arial" w:hAnsi="Arial"/>
          <w:sz w:val="16"/>
          <w:szCs w:val="16"/>
          <w:color w:val="auto"/>
        </w:rPr>
        <w:t>This guidance addresses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transition into and out of the equity method and provides 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We are currently evaluating the impact of ASU 2020-01 on our Consolidated Condensed Financial Statements, which is effective for the Company in our fiscal year and interim periods beginning on November 1, 2021.</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This guidance provides optional expedients and exceptions for applying generally accepted accounting principles (GAAP) to contracts,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This guidance is effective for all entities as of March 12, 2020 through December 31, 2022. We are currently evaluating the impact of ASU 2020-04 on our Consolidated Condensed Financial Statements.</w:t>
      </w:r>
    </w:p>
    <w:p>
      <w:pPr>
        <w:spacing w:after="0" w:line="1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No other recently issued accounting pronouncements had or are expected to have a material impact on our Consolidated Condensed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Leases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primarily has operating leases for office, manufacturing and warehouse space, vehicles, and office equipment. Our leases expire on various dates between 2020 and 2045, some of which could include options to extend the lease.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Lease right-of-use assets and liabilities are recognized at the commencement date based on the present value of lease payments over the lease term. As these leases do not provide an implicit rate, we use our incremental borrowing rate based on the information available at the lease's commencement date in determining the present value of lease payments. We consider information including, but not limited to, the lease term, our credit rating and interest rates of similar debt instruments with comparable credit ratings and security interests. The lease right-of-use assets are increased by any lease prepayments made and reduced by any lease incentives such as tenant improvement allowances. Options to extend the lease term are included in the lease term when it is reasonably certain that we will exercise the extension option.</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operating leases typically include non-lease components such as common-area maintenance costs. We have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Leases with a term of one year or less are not recognized on our Consolidated Condensed Balance Sheet, while the associated lease payments are recorded in the Consolidated Statements of Income and Comprehensive Income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Commitments under finance lease arrangements of $1.9 million as of April 30, 2020 are not significant and are not included in the disclosure tables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leases on the Consolidated Condensed Balance Sheet: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4"/>
              </w:rPr>
              <w:t>(In millions)</w:t>
            </w:r>
          </w:p>
        </w:tc>
        <w:tc>
          <w:tcPr>
            <w:tcW w:w="8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April 30, 2020</w:t>
            </w:r>
          </w:p>
        </w:tc>
      </w:tr>
      <w:tr>
        <w:trPr>
          <w:trHeight w:val="223"/>
        </w:trPr>
        <w:tc>
          <w:tcPr>
            <w:tcW w:w="4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0"/>
        </w:trPr>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255.5</w:t>
            </w:r>
          </w:p>
        </w:tc>
      </w:tr>
      <w:tr>
        <w:trPr>
          <w:trHeight w:val="32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31.5</w:t>
            </w:r>
          </w:p>
        </w:tc>
      </w:tr>
      <w:tr>
        <w:trPr>
          <w:trHeight w:val="243"/>
        </w:trPr>
        <w:tc>
          <w:tcPr>
            <w:tcW w:w="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232.7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264.2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(in years)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4680" w:type="dxa"/>
            <w:vAlign w:val="bottom"/>
          </w:tcPr>
          <w:p>
            <w:pPr>
              <w:jc w:val="right"/>
              <w:ind w:right="50"/>
              <w:spacing w:after="0"/>
              <w:rPr>
                <w:sz w:val="20"/>
                <w:szCs w:val="20"/>
                <w:color w:val="auto"/>
              </w:rPr>
            </w:pPr>
            <w:r>
              <w:rPr>
                <w:rFonts w:ascii="Arial" w:cs="Arial" w:eastAsia="Arial" w:hAnsi="Arial"/>
                <w:sz w:val="18"/>
                <w:szCs w:val="18"/>
                <w:color w:val="auto"/>
              </w:rPr>
              <w:t>11.6</w:t>
            </w:r>
          </w:p>
        </w:tc>
      </w:tr>
      <w:tr>
        <w:trPr>
          <w:trHeight w:val="256"/>
        </w:trPr>
        <w:tc>
          <w:tcPr>
            <w:tcW w:w="64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6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lease expense in our Consolidated Statements of Income and Comprehensive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17"/>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417"/>
              <w:spacing w:after="0"/>
              <w:rPr>
                <w:sz w:val="20"/>
                <w:szCs w:val="20"/>
                <w:color w:val="auto"/>
              </w:rPr>
            </w:pPr>
            <w:r>
              <w:rPr>
                <w:rFonts w:ascii="Arial" w:cs="Arial" w:eastAsia="Arial" w:hAnsi="Arial"/>
                <w:sz w:val="14"/>
                <w:szCs w:val="14"/>
                <w:b w:val="1"/>
                <w:bCs w:val="1"/>
                <w:color w:val="auto"/>
              </w:rPr>
              <w:t>Six Months</w:t>
            </w:r>
          </w:p>
        </w:tc>
      </w:tr>
      <w:tr>
        <w:trPr>
          <w:trHeight w:val="242"/>
        </w:trPr>
        <w:tc>
          <w:tcPr>
            <w:tcW w:w="4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4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w:t>
            </w:r>
          </w:p>
        </w:tc>
      </w:tr>
      <w:tr>
        <w:trPr>
          <w:trHeight w:val="243"/>
        </w:trPr>
        <w:tc>
          <w:tcPr>
            <w:tcW w:w="4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Short-term lease expense</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4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r>
      <w:tr>
        <w:trPr>
          <w:trHeight w:val="9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80" w:type="dxa"/>
            <w:vAlign w:val="bottom"/>
          </w:tcPr>
          <w:p>
            <w:pPr>
              <w:jc w:val="right"/>
              <w:ind w:right="195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about the Company’s leases: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Three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242"/>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p>
      <w:pPr>
        <w:ind w:left="180"/>
        <w:spacing w:after="0"/>
        <w:tabs>
          <w:tab w:leader="none" w:pos="8440" w:val="left"/>
          <w:tab w:leader="none" w:pos="9420" w:val="left"/>
          <w:tab w:leader="none" w:pos="9900" w:val="left"/>
          <w:tab w:leader="none" w:pos="1080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9.7</w:t>
        <w:tab/>
        <w:t>$</w:t>
      </w:r>
      <w:r>
        <w:rPr>
          <w:sz w:val="20"/>
          <w:szCs w:val="20"/>
          <w:color w:val="auto"/>
        </w:rPr>
        <w:tab/>
      </w:r>
      <w:r>
        <w:rPr>
          <w:rFonts w:ascii="Arial" w:cs="Arial" w:eastAsia="Arial" w:hAnsi="Arial"/>
          <w:sz w:val="16"/>
          <w:szCs w:val="16"/>
          <w:color w:val="auto"/>
        </w:rPr>
        <w:t>19.6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minimum rental payments required under operating leases that have initial or remaining noncancelable lease terms in excess of one year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are: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173.9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37"/>
        </w:trPr>
        <w:tc>
          <w:tcPr>
            <w:tcW w:w="4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previously disclosed in the Company’s Annual Report on Form 10-K for the fiscal year ended October 31, 2019, and under previous lease accounting standard ASC 840, Leases, the aggregate future noncancelable minimum rental payments on its operating leases, as of October 31, 2019,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fiscal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 2020</w:t>
            </w:r>
          </w:p>
        </w:tc>
        <w:tc>
          <w:tcPr>
            <w:tcW w:w="260" w:type="dxa"/>
            <w:vAlign w:val="bottom"/>
          </w:tcPr>
          <w:p>
            <w:pPr>
              <w:spacing w:after="0"/>
              <w:rPr>
                <w:sz w:val="14"/>
                <w:szCs w:val="14"/>
                <w:color w:val="auto"/>
              </w:rPr>
            </w:pPr>
          </w:p>
        </w:tc>
        <w:tc>
          <w:tcPr>
            <w:tcW w:w="154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57"/>
        </w:trPr>
        <w:tc>
          <w:tcPr>
            <w:tcW w:w="4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business acquisitions, we recorded tangible and intangible assets acquired and liabilities assumed at their fair values as of the applicable date of acquisition. For asset acquisitions, we recorded tangible and intangible assets acquired and liabilities assumed at their estimated and relative fair values as of the applicable date of acquisition.</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distributors or complementary products and services.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 forma results of operations have not been presented because the effect of the business combinations described below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December 13, 2019, CooperSurgical completed the acquisition of a privately-held distributor of in vitro fertilization (IVF) medical devices and systems.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preliminary and we are in the process of finalizing information and the corresponding impact on goodwill.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December 28, 2018, CooperVision completed the acquisition of Blanchard Contact Lenses. Blanchard is a privately-held scleral lens company, which expands CooperVision's specialty and scleral lens portfolio.</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31, 2018, CooperSurgical completed the acquisition of Incisive Surgical Inc., a privately-held U.S. medical device company that develops mechanical surgical solutions for skin closure.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 2020</w:t>
            </w:r>
          </w:p>
        </w:tc>
        <w:tc>
          <w:tcPr>
            <w:tcW w:w="300" w:type="dxa"/>
            <w:vAlign w:val="bottom"/>
          </w:tcPr>
          <w:p>
            <w:pPr>
              <w:spacing w:after="0"/>
              <w:rPr>
                <w:sz w:val="14"/>
                <w:szCs w:val="14"/>
                <w:color w:val="auto"/>
              </w:rPr>
            </w:pPr>
          </w:p>
        </w:tc>
        <w:tc>
          <w:tcPr>
            <w:tcW w:w="172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131.4</w:t>
            </w: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36"/>
        </w:trPr>
        <w:tc>
          <w:tcPr>
            <w:tcW w:w="4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60" w:type="dxa"/>
            <w:vAlign w:val="bottom"/>
          </w:tcPr>
          <w:p>
            <w:pPr>
              <w:spacing w:after="0"/>
              <w:rPr>
                <w:sz w:val="14"/>
                <w:szCs w:val="14"/>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2,428.9</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57"/>
        </w:trPr>
        <w:tc>
          <w:tcPr>
            <w:tcW w:w="40" w:type="dxa"/>
            <w:vAlign w:val="bottom"/>
          </w:tcPr>
          <w:p>
            <w:pPr>
              <w:spacing w:after="0"/>
              <w:rPr>
                <w:sz w:val="22"/>
                <w:szCs w:val="22"/>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Balance at April 30, 2020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1,738.2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2,400.0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 The Company performed an annual impairment assessment in third quarter of fiscal 2019, and its analysis indicated that there was no impairment of goodwill in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780"/>
              <w:spacing w:after="0"/>
              <w:rPr>
                <w:sz w:val="20"/>
                <w:szCs w:val="20"/>
                <w:color w:val="auto"/>
              </w:rPr>
            </w:pPr>
            <w:r>
              <w:rPr>
                <w:rFonts w:ascii="Arial" w:cs="Arial" w:eastAsia="Arial" w:hAnsi="Arial"/>
                <w:sz w:val="14"/>
                <w:szCs w:val="14"/>
                <w:b w:val="1"/>
                <w:bCs w:val="1"/>
                <w:color w:val="auto"/>
              </w:rPr>
              <w:t>April 30, 2020</w:t>
            </w:r>
          </w:p>
        </w:tc>
        <w:tc>
          <w:tcPr>
            <w:tcW w:w="160" w:type="dxa"/>
            <w:vAlign w:val="bottom"/>
          </w:tcPr>
          <w:p>
            <w:pPr>
              <w:spacing w:after="0"/>
              <w:rPr>
                <w:sz w:val="16"/>
                <w:szCs w:val="16"/>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October 31, 2019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22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3"/>
                <w:szCs w:val="13"/>
                <w:color w:val="auto"/>
              </w:rPr>
            </w:pPr>
          </w:p>
        </w:tc>
        <w:tc>
          <w:tcPr>
            <w:tcW w:w="12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148.5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Composite intangible asset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License and distribution rights and other</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665.7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4"/>
              <w:spacing w:after="0"/>
              <w:rPr>
                <w:sz w:val="20"/>
                <w:szCs w:val="20"/>
                <w:color w:val="auto"/>
              </w:rPr>
            </w:pPr>
            <w:r>
              <w:rPr>
                <w:rFonts w:ascii="Arial" w:cs="Arial" w:eastAsia="Arial" w:hAnsi="Arial"/>
                <w:sz w:val="18"/>
                <w:szCs w:val="18"/>
                <w:color w:val="auto"/>
              </w:rPr>
              <w:t>599.4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20"/>
                <w:szCs w:val="20"/>
                <w:color w:val="auto"/>
              </w:rPr>
            </w:pPr>
          </w:p>
        </w:tc>
        <w:tc>
          <w:tcPr>
            <w:tcW w:w="4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0" w:type="dxa"/>
            <w:vAlign w:val="bottom"/>
            <w:gridSpan w:val="3"/>
          </w:tcPr>
          <w:p>
            <w:pPr>
              <w:jc w:val="center"/>
              <w:ind w:left="1150"/>
              <w:spacing w:after="0"/>
              <w:rPr>
                <w:sz w:val="20"/>
                <w:szCs w:val="20"/>
                <w:color w:val="auto"/>
              </w:rPr>
            </w:pPr>
            <w:r>
              <w:rPr>
                <w:rFonts w:ascii="Arial" w:cs="Arial" w:eastAsia="Arial" w:hAnsi="Arial"/>
                <w:sz w:val="18"/>
                <w:szCs w:val="18"/>
                <w:color w:val="auto"/>
                <w:w w:val="95"/>
              </w:rPr>
              <w:t>THE COOPER COMPANIES, INC. AND SUBSIDIARIES</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380" w:type="dxa"/>
            <w:vAlign w:val="bottom"/>
            <w:gridSpan w:val="2"/>
          </w:tcPr>
          <w:p>
            <w:pPr>
              <w:jc w:val="center"/>
              <w:ind w:right="1380"/>
              <w:spacing w:after="0" w:line="190" w:lineRule="exact"/>
              <w:rPr>
                <w:sz w:val="20"/>
                <w:szCs w:val="20"/>
                <w:color w:val="auto"/>
              </w:rPr>
            </w:pPr>
            <w:r>
              <w:rPr>
                <w:rFonts w:ascii="Arial" w:cs="Arial" w:eastAsia="Arial" w:hAnsi="Arial"/>
                <w:sz w:val="18"/>
                <w:szCs w:val="18"/>
                <w:color w:val="auto"/>
                <w:w w:val="89"/>
              </w:rPr>
              <w:t>Notes to Consolidated Condensed Financial Statements</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94"/>
        </w:trPr>
        <w:tc>
          <w:tcPr>
            <w:tcW w:w="9000" w:type="dxa"/>
            <w:vAlign w:val="bottom"/>
            <w:gridSpan w:val="5"/>
          </w:tcPr>
          <w:p>
            <w:pPr>
              <w:spacing w:after="0"/>
              <w:rPr>
                <w:sz w:val="20"/>
                <w:szCs w:val="20"/>
                <w:color w:val="auto"/>
              </w:rPr>
            </w:pPr>
            <w:r>
              <w:rPr>
                <w:rFonts w:ascii="Arial" w:cs="Arial" w:eastAsia="Arial" w:hAnsi="Arial"/>
                <w:sz w:val="18"/>
                <w:szCs w:val="18"/>
                <w:color w:val="auto"/>
              </w:rPr>
              <w:t>As of April 30, 2020, the estimation of amortization expenses for intangible assets with definite lives is as follows:</w:t>
            </w: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years:</w:t>
            </w:r>
          </w:p>
        </w:tc>
        <w:tc>
          <w:tcPr>
            <w:tcW w:w="80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jc w:val="right"/>
              <w:ind w:right="652"/>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6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134.6</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r>
      <w:tr>
        <w:trPr>
          <w:trHeight w:val="243"/>
        </w:trPr>
        <w:tc>
          <w:tcPr>
            <w:tcW w:w="10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6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130.5</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r>
      <w:tr>
        <w:trPr>
          <w:trHeight w:val="243"/>
        </w:trPr>
        <w:tc>
          <w:tcPr>
            <w:tcW w:w="40" w:type="dxa"/>
            <w:vAlign w:val="bottom"/>
          </w:tcPr>
          <w:p>
            <w:pPr>
              <w:spacing w:after="0"/>
              <w:rPr>
                <w:sz w:val="21"/>
                <w:szCs w:val="21"/>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737.4</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1,328.8</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assesses indefinite-lived intangible assets annually during the fiscal third quarter and both indefinite-lived and definite-lived intangible assets, when an event occurs or change in circumstances indicate that the carrying amount of an intangible asset may not be recoverable, in accordance with related accounting standards. The Company performed an annual impairment assessment in third quarter of fiscal 2019 and did not recognize any material intangible asset impairment charges.</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the general deterioration in economic and market conditions surrounding the COVID-19 pandemic, the Company considered the impact that the COVID-19 pandemic may have on its near and long-term forecasts and determined that it was not more likely than not that the fair value of reporting units or relevant asset groups was below carrying amounts, and therefore the Company determined that there was no impairment to either its goodwill, definite-lived or indefinite-lived intangible assets at April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Debt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30, 2020</w:t>
            </w:r>
          </w:p>
        </w:tc>
        <w:tc>
          <w:tcPr>
            <w:tcW w:w="220" w:type="dxa"/>
            <w:vAlign w:val="bottom"/>
          </w:tcPr>
          <w:p>
            <w:pPr>
              <w:spacing w:after="0"/>
              <w:rPr>
                <w:sz w:val="17"/>
                <w:szCs w:val="17"/>
                <w:color w:val="auto"/>
              </w:rPr>
            </w:pPr>
          </w:p>
        </w:tc>
        <w:tc>
          <w:tcPr>
            <w:tcW w:w="158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264.0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1,262.6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1,826.3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$1.290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Amounts outstanding under the 2020 Credit Agreement will bear interest, at the Company’s option, at either the base rate, or the adjusted LIBO rate or adjusted foreign currency rate, plus, in each case, an applicable rate of between 0.00% and 0.50%</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7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April 1, 2020, the Company borrowed $850.0 million under the 2020 Term Loan Facility and $445.0 million under the 2020 Revolving Credit Facility and used the proceeds to fully repay all borrowings outstanding under the 2017 Term Loan Agreement (as defined below) and transfer all letters of credit and borrowings outstanding under the 2016 Credit Agreement (as defined below) to the 2020 Credit Agreement, as further described below.</w:t>
      </w:r>
    </w:p>
    <w:p>
      <w:pPr>
        <w:spacing w:after="0" w:line="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April 30, 2020, the Company had $850.0 million outstanding under the 2020 Term Loan Facility and $495.0 million outstanding under the 2020 Revolving Credit Facility. The interest rate on the 2020 Term Loan Facility was 1.86% at April 30, 2020. During the three and six months ended April 30, 2020, the Company expensed $1.7 million related to the debt issuance costs of the 2020 Term Loan Facility.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April 30, 2020, the Company was in compliance with the Interest Coverage Ratio at 15.00 to 1.00 and the Total Leverage Ratio at 2.18 to 1.00 for 2020 Credit Agreement and 2019 Term Loan Agreement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 million Term Loan on September 27, 2019, amended on April 1, 2020</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September 27, 2019, the Company amended its existing senior unsecured term loan agreement entered into on November 1, 2018 (the 2018 Term Loan Agreement) to establish a new 364-day senior unsecured term loan (the 2019 Term Loan Agreement) with the same parties as the 2018 Term Loan Agreement. The 2019 Term Loan Agreement modifies certain provisions of the 2018 Term Loan Agreement which, among other things, extended the maturity date to September 25, 2020 and increased the aggregate principal amount of the term loan facility from an original amount of $400 million to $500 million. The Company used the additional funds to partially repay outstanding borrowings under the 2017 Term Loan Agreement (as defined below).</w:t>
      </w:r>
    </w:p>
    <w:p>
      <w:pPr>
        <w:spacing w:after="0" w:line="161"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On April 1, 2020, the Company entered into Amendment No. 2 to the 2018 Term Loan Agreement (the Second Amendment to the 2018 Term Loan Agreement). The Second Amendment to the 2018 Term Loan Agreement further modifies the 2018 Term Loan Agreement by, among other things, conforming certain provisions therein to those contained in the 2020 Credit Agreement discussed above.</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April 30, 2020, the Company had $500.0 million outstanding under the 2019 Term Loan Agreement (including the Second Amendment to the 2018 Term Loan Agreement).</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Amounts outstanding under the 2019 Term Loan Agreement will bear interest, at the Company's option, at either the base rate, or the adjusted LIBOR (each as defined in the Second Amendment to the 2018 Term Loan Agreement), plus, in each case, an applicable rate of 0.00% in respect of base rate loans and 0.60% in respect of adjusted LIBOR loans. The weighted average interest rates for the three months and six months ended April 30, 2020 were 2.01%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2019 Term Loan Agreement contains customary restrictive covenants, as well as financial covenants that require the Company to maintain a certain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Leverage Ratio and Interest Coverage Ratio (each as defined in the Second Amendment to the 2018 Term Loan Agreement) consistent with the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discussed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November 1, 2017, in connection with the PARAGARD acquisition, the Company entered into a five-year, $1.425 billion, senior unsecured term loan agreement (the 2017 Term Loan Agreement) by and among the Company, the lenders party thereto and DNB Bank ASA, New York Branch, as administrative agent which matures on November 1, 2022.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 used part of the facility to fund the PARAGARD acquisition and used the remainder of the funds to partially repay outstanding borrowings under the Company's revolving credit agreement.</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April 1, 2020, in connection with the Company’s entry into the 2020 Credit Agreement, the Company terminated the 2017 Term Loan Agreement. In connection with the termination, all borrowings outstanding under the 2017 Term Loan Agreement were repaid. As a result of the repayment, the Company incurred debt extinguishment charges of $1.4 million due to the acceleration of amortization of debt issuance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1, 2016, the Company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April 1, 2020, in connection with the Company’s entry into the 2020 Credit Agreement, the Company terminated the 2016 Credit Agreement. In connection with the termination, all letters of credit outstanding under the 2016 Credit Agreement were transferred to the 2020 Credit Agreement. As a result of the termination, the Company incurred debt extinguishment charges of $0.8 million due to the acceleration of amortization of debt issuance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2019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maximum commitments and the net amounts available to us under credit facilities discussed above as of April 30,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00" w:type="dxa"/>
            <w:vAlign w:val="bottom"/>
          </w:tcPr>
          <w:p>
            <w:pPr>
              <w:spacing w:after="0"/>
              <w:rPr>
                <w:sz w:val="14"/>
                <w:szCs w:val="14"/>
                <w:color w:val="auto"/>
              </w:rPr>
            </w:pPr>
          </w:p>
        </w:tc>
        <w:tc>
          <w:tcPr>
            <w:tcW w:w="20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800" w:type="dxa"/>
            <w:vAlign w:val="bottom"/>
            <w:gridSpan w:val="3"/>
            <w:vMerge w:val="restart"/>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Borrowings</w:t>
            </w:r>
          </w:p>
        </w:tc>
        <w:tc>
          <w:tcPr>
            <w:tcW w:w="1340" w:type="dxa"/>
            <w:vAlign w:val="bottom"/>
            <w:gridSpan w:val="3"/>
            <w:vMerge w:val="restart"/>
          </w:tcPr>
          <w:p>
            <w:pPr>
              <w:ind w:left="100"/>
              <w:spacing w:after="0" w:line="158" w:lineRule="exact"/>
              <w:rPr>
                <w:sz w:val="20"/>
                <w:szCs w:val="20"/>
                <w:color w:val="auto"/>
              </w:rPr>
            </w:pPr>
            <w:r>
              <w:rPr>
                <w:rFonts w:ascii="Arial" w:cs="Arial" w:eastAsia="Arial" w:hAnsi="Arial"/>
                <w:sz w:val="14"/>
                <w:szCs w:val="14"/>
                <w:b w:val="1"/>
                <w:bCs w:val="1"/>
                <w:color w:val="auto"/>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58"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2020</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25, 2020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Security Act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enacted and signed into law in response to the market volatility and instability resulting from the COVID-19 pandemic. It includes a significant number of tax provisions and lifts certain deduction limitations originally imposed by the Tax Cuts and Jobs Act of 2017. The changes are mainly related to: (1) the business interest expense disallowance rules for 2019 and 2020; (2) net operating loss rules; (3) charitable contribution limitations; (4) employee retention credit; and (5) the realization of corporate alternative minimum tax credits.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assess the impact and future implications of these provisions; however, it does not anticipate any amounts that could give rise to a material impact to the overall Consolidated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for the three and six months ended April 30, 2020 and 2019,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5"/>
              </w:rPr>
              <w:t>Three Months</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92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432"/>
        </w:trPr>
        <w:tc>
          <w:tcPr>
            <w:tcW w:w="5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tax rates were a benefit of 27.7% and expense of 4.5% for the second quarter of fiscal 2020 and 2019, respectively and an expense of 4.2% and a benefit of 1.7% for the first six months of fiscal 2020 and 2019, respectively. The decrease in the effective tax rate for the second quarter of fiscal 2020 compared to fiscal 2019 was primarily due to the significant drop of actual quarterly PBT (Profit before tax) due to the market volatility and instability as a result of the COVID-19 pandemic. The Company’s effective tax rate for the first six months of fiscal year 2020 was higher than 2019, mainly due to settlement of tax audits, revisions to the provisional tax charges relating to the 2017 Act and excess tax benefits from share-based compensation that favorably impacted the 2019 effective tax rate. The Company’s effective tax rate for the second quarter of fiscal 2020 was lower than the U.S. statutory tax rate as a result of the discrete tax benefits mainly from stock compensation excess tax benefit and a favorable mix of income from foreign jurisdictions with preferential tax rates.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the benefit from a tax position only if it is more likely than not that the position would be sustained upon audit based solely on the technical merits of the tax position. As of April 30, 2020, and October 31, 2019, Cooper had unrecognized tax benefits of $54.3 million and $49.7 million, respectively. The increase is primarily related to additions to current and prior period transfer pricing reserves, partially offset by release of reserves due to lapse of statute of limitations. It is our policy to recognize interest and penalties directly related to income taxes as additional income tax expense. It is reasonably possible that $14.5 million of unrecognized tax benefits could be settled during the next twelve months.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U.S. Federal income tax examinations for fiscal 2015 through 2019 and the Internal Revenue Service is currently auditing our U.S. Consolidated Corporation Income Tax Returns for fiscal 2015 and 2016. The Company remains subject to income tax examinations in other significant tax jurisdictions including Japan, France and Australia for the fiscal years 2014 through 2019. The Company is currently under audit in the United Kingdom for fiscal years 2015 through 2018.</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Earnings Per Share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45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40" w:type="dxa"/>
            <w:vAlign w:val="bottom"/>
            <w:tcBorders>
              <w:bottom w:val="single" w:sz="8" w:color="CCEEFF"/>
            </w:tcBorders>
            <w:shd w:val="clear" w:color="auto" w:fill="CCEEFF"/>
          </w:tcPr>
          <w:p>
            <w:pPr>
              <w:spacing w:after="0"/>
              <w:rPr>
                <w:sz w:val="24"/>
                <w:szCs w:val="24"/>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tcPr>
          <w:p>
            <w:pPr>
              <w:spacing w:after="0"/>
              <w:rPr>
                <w:sz w:val="19"/>
                <w:szCs w:val="19"/>
                <w:color w:val="auto"/>
              </w:rPr>
            </w:pPr>
          </w:p>
        </w:tc>
        <w:tc>
          <w:tcPr>
            <w:tcW w:w="45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23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0" w:type="dxa"/>
            <w:vAlign w:val="bottom"/>
            <w:gridSpan w:val="2"/>
          </w:tcPr>
          <w:p>
            <w:pPr>
              <w:jc w:val="right"/>
              <w:ind w:right="1235"/>
              <w:spacing w:after="0"/>
              <w:rPr>
                <w:sz w:val="20"/>
                <w:szCs w:val="20"/>
                <w:color w:val="auto"/>
              </w:rPr>
            </w:pPr>
            <w:r>
              <w:rPr>
                <w:rFonts w:ascii="Arial" w:cs="Arial" w:eastAsia="Arial" w:hAnsi="Arial"/>
                <w:sz w:val="14"/>
                <w:szCs w:val="14"/>
                <w:b w:val="1"/>
                <w:bCs w:val="1"/>
                <w:color w:val="auto"/>
              </w:rPr>
              <w:t>Six Months</w:t>
            </w:r>
          </w:p>
        </w:tc>
      </w:tr>
      <w:tr>
        <w:trPr>
          <w:trHeight w:val="242"/>
        </w:trPr>
        <w:tc>
          <w:tcPr>
            <w:tcW w:w="4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1800" w:type="dxa"/>
            <w:vAlign w:val="bottom"/>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1"/>
                <w:szCs w:val="21"/>
                <w:color w:val="auto"/>
              </w:rPr>
            </w:pPr>
          </w:p>
        </w:tc>
        <w:tc>
          <w:tcPr>
            <w:tcW w:w="1340" w:type="dxa"/>
            <w:vAlign w:val="bottom"/>
          </w:tcPr>
          <w:p>
            <w:pPr>
              <w:jc w:val="right"/>
              <w:ind w:right="737"/>
              <w:spacing w:after="0"/>
              <w:rPr>
                <w:sz w:val="20"/>
                <w:szCs w:val="20"/>
                <w:color w:val="auto"/>
              </w:rPr>
            </w:pPr>
            <w:r>
              <w:rPr>
                <w:rFonts w:ascii="Arial" w:cs="Arial" w:eastAsia="Arial" w:hAnsi="Arial"/>
                <w:sz w:val="14"/>
                <w:szCs w:val="14"/>
                <w:b w:val="1"/>
                <w:bCs w:val="1"/>
                <w:color w:val="auto"/>
              </w:rPr>
              <w:t>2020</w:t>
            </w:r>
          </w:p>
        </w:tc>
        <w:tc>
          <w:tcPr>
            <w:tcW w:w="1660" w:type="dxa"/>
            <w:vAlign w:val="bottom"/>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1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198</w:t>
            </w:r>
          </w:p>
        </w:tc>
        <w:tc>
          <w:tcPr>
            <w:tcW w:w="4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207</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322</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Range of exercise prices</w:t>
            </w:r>
          </w:p>
        </w:tc>
        <w:tc>
          <w:tcPr>
            <w:tcW w:w="18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$254.77-$304.54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254.77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304.54</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$226.30-$254.77</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1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1</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Share-Based Compensation Plans</w:t>
      </w:r>
    </w:p>
    <w:p>
      <w:pPr>
        <w:spacing w:after="0" w:line="175" w:lineRule="exact"/>
        <w:rPr>
          <w:sz w:val="20"/>
          <w:szCs w:val="20"/>
          <w:color w:val="auto"/>
        </w:rPr>
      </w:pPr>
    </w:p>
    <w:p>
      <w:pPr>
        <w:jc w:val="both"/>
        <w:ind w:right="34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2019. The compensation expense and related income tax benefit recognized in our Consolidated Statements of Income and Comprehensive Income for share-based awards were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20.1</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1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60"/>
          </w:cols>
          <w:pgMar w:left="320" w:top="125"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Minimum Pension</w:t>
            </w:r>
          </w:p>
        </w:tc>
        <w:tc>
          <w:tcPr>
            <w:tcW w:w="1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80" w:type="dxa"/>
            <w:vAlign w:val="bottom"/>
            <w:gridSpan w:val="2"/>
            <w:vMerge w:val="continue"/>
          </w:tcPr>
          <w:p>
            <w:pPr>
              <w:spacing w:after="0"/>
              <w:rPr>
                <w:sz w:val="13"/>
                <w:szCs w:val="13"/>
                <w:color w:val="auto"/>
              </w:rPr>
            </w:pPr>
          </w:p>
        </w:tc>
        <w:tc>
          <w:tcPr>
            <w:tcW w:w="17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3"/>
                <w:szCs w:val="13"/>
                <w:color w:val="auto"/>
              </w:rPr>
            </w:pPr>
          </w:p>
        </w:tc>
        <w:tc>
          <w:tcPr>
            <w:tcW w:w="15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Liability</w:t>
            </w:r>
          </w:p>
        </w:tc>
        <w:tc>
          <w:tcPr>
            <w:tcW w:w="16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October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effect for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Balance at October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Tax effect for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fiscal 2020, we repurchased 160.8 thousand shares of the Company's common stock for $47.8 million, at an average purchase price of $296.88 per share. There was no share repurchase activity during the first quarter of fiscal 2020. During the fiscal year ended October 31, 2019, we repurchased 537.0 thousand shares of our common stock for $156.1 million under the 2012 Share Repurchase Program. At April 30, 2020, $359.7 million remained authorized for repurchase under the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10, 2020, to stockholders of record on January 23,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April 30, 2020 and October 31, 2019,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carrying value of our revolving credit facility and term loans approximates fair value estimated based on current market rates (Level 2). On April 6, 2020 the Company entered into six interest rate swap contracts which are used to hedge the Company’s exposure to changes in cash flows associated with its variable rate term loans and are designated as a derivative in a cash flow hedge. The payment streams are based on a total notional amount of $1.5 billion at the inception of the contracts. The interest rate swap contracts have maturities of seven years or less.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was no ineffectiveness related to the interest rate swap contracts. The gain or loss on the derivative is recorded as a component of accumulated other comprehensive income and subsequently reclassified into interest expense in the same period during which the hedged transaction affects earnings.</w:t>
      </w:r>
    </w:p>
    <w:p>
      <w:pPr>
        <w:spacing w:after="0" w:line="12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are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15. Financial Derivatives and Hedging for further information.</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did not have any derivative assets or liabilities including interest rate swaps, cross currency swaps or foreign currency forward contracts as of October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3. Acquisitions which are considered a Level 3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Employee Benefits</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results of operations for the three and six months ended April 30, 2020 and 2019, reflect the following components of net periodic defined benefit costs: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Recognized net actuarial loss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did not contribute to the Plan in the first half of fiscal 2020 and due to COVID-19 we are uncertain of the amount we will contribute during the remainder of the year. We contributed $2.5 million to the Plan in the first half of fiscal 2019. The expected rate of return on Plan assets for determining net periodic benefit plan cost is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Contingencies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In March 2020, the Court issued an order providing final approval of the settlement and dismissing CooperVision from the class action.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is involved in various lawsuits, claims and other legal matters from time to time that arise in the ordinary course of conducting business, including matters involving our products, intellectual property, supplier relationships,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 xml:space="preserve">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Legal fees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80" w:hanging="328"/>
        <w:spacing w:after="0" w:line="286"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308"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CooperSurgical. </w:t>
      </w:r>
      <w:r>
        <w:rPr>
          <w:rFonts w:ascii="Arial" w:cs="Arial" w:eastAsia="Arial" w:hAnsi="Arial"/>
          <w:sz w:val="17"/>
          <w:szCs w:val="17"/>
          <w:color w:val="auto"/>
        </w:rPr>
        <w:t>Competes in the general health care market with a focus on advancing the health of women, babies and families through a</w:t>
      </w:r>
      <w:r>
        <w:rPr>
          <w:rFonts w:ascii="Arial" w:cs="Arial" w:eastAsia="Arial" w:hAnsi="Arial"/>
          <w:sz w:val="17"/>
          <w:szCs w:val="17"/>
          <w:i w:val="1"/>
          <w:iCs w:val="1"/>
          <w:color w:val="auto"/>
        </w:rPr>
        <w:t xml:space="preserve"> </w:t>
      </w:r>
      <w:r>
        <w:rPr>
          <w:rFonts w:ascii="Arial" w:cs="Arial" w:eastAsia="Arial" w:hAnsi="Arial"/>
          <w:sz w:val="17"/>
          <w:szCs w:val="17"/>
          <w:color w:val="auto"/>
        </w:rPr>
        <w:t>diversified portfolio of products and services focusing on women's health, fertility, diagnostics and contraception.</w:t>
      </w:r>
    </w:p>
    <w:p>
      <w:pPr>
        <w:spacing w:after="0" w:line="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Arial" w:cs="Arial" w:eastAsia="Arial" w:hAnsi="Arial"/>
                <w:sz w:val="18"/>
                <w:szCs w:val="18"/>
                <w:color w:val="auto"/>
              </w:rPr>
              <w:t>Office and surgical products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Fertility</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CooperSurgical net sales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5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18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4,140.3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2,189.8</w:t>
            </w: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173.1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Geographic information:</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22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4"/>
                <w:szCs w:val="14"/>
                <w:b w:val="1"/>
                <w:bCs w:val="1"/>
                <w:color w:val="auto"/>
              </w:rPr>
              <w:t>Six Months</w:t>
            </w:r>
          </w:p>
        </w:tc>
      </w:tr>
      <w:tr>
        <w:trPr>
          <w:trHeight w:val="22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Net sales to unaffiliated customers by country of domicile: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516.0</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584.9</w:t>
            </w: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r>
      <w:tr>
        <w:trPr>
          <w:trHeight w:val="243"/>
        </w:trPr>
        <w:tc>
          <w:tcPr>
            <w:tcW w:w="4620" w:type="dxa"/>
            <w:vAlign w:val="bottom"/>
          </w:tcPr>
          <w:p>
            <w:pPr>
              <w:ind w:left="720"/>
              <w:spacing w:after="0"/>
              <w:rPr>
                <w:sz w:val="20"/>
                <w:szCs w:val="20"/>
                <w:color w:val="auto"/>
              </w:rPr>
            </w:pPr>
            <w:r>
              <w:rPr>
                <w:rFonts w:ascii="Arial" w:cs="Arial" w:eastAsia="Arial" w:hAnsi="Arial"/>
                <w:sz w:val="18"/>
                <w:szCs w:val="18"/>
                <w:color w:val="auto"/>
              </w:rPr>
              <w:t>Rest of world</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278.3</w:t>
            </w: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18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October 31, 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Financial Derivatives and Hedging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floating interest rate on its debt.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all derivatives on the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balance sheet for presentation purposes.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2020, the Company had the following outstanding derivatives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Instruments</w:t>
            </w:r>
          </w:p>
        </w:tc>
        <w:tc>
          <w:tcPr>
            <w:tcW w:w="22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9"/>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8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have maturities of seven years or less.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pre-tax impact of loss on derivatives designated for hedge accounting recognized in other comprehensive income (loss) was $17.8 million ($13.5 million, net of tax) as of April 30, 2020. The Company did not reclassify any amount from accumulated other comprehensive income (loss) during the three and six months ended April 30, 2020.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derivatives designated as hedging instruments for the period ended April 30, 2019.</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expects that $6.8 million recorded as a component of accumulated other comprehensive income (loss) will be realized in the statements of earnings over the next twelve months and the amount will vary depending on prevailing interest rates.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balance sheets where the instruments are recorded: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Derivative Liabilities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80" w:type="dxa"/>
            <w:vAlign w:val="bottom"/>
          </w:tcPr>
          <w:p>
            <w:pPr>
              <w:spacing w:after="0"/>
              <w:rPr>
                <w:sz w:val="22"/>
                <w:szCs w:val="22"/>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229"/>
        </w:trPr>
        <w:tc>
          <w:tcPr>
            <w:tcW w:w="4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as cash flow hedges</w:t>
            </w:r>
          </w:p>
        </w:tc>
        <w:tc>
          <w:tcPr>
            <w:tcW w:w="22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80" w:type="dxa"/>
            <w:vAlign w:val="bottom"/>
            <w:gridSpan w:val="2"/>
            <w:vMerge w:val="restart"/>
          </w:tcPr>
          <w:p>
            <w:pPr>
              <w:jc w:val="right"/>
              <w:ind w:right="530"/>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14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2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32" w:lineRule="exact"/>
        <w:rPr>
          <w:rFonts w:ascii="Arial" w:cs="Arial" w:eastAsia="Arial" w:hAnsi="Arial"/>
          <w:sz w:val="18"/>
          <w:szCs w:val="18"/>
          <w:color w:val="auto"/>
        </w:rPr>
      </w:pPr>
    </w:p>
    <w:p>
      <w:pPr>
        <w:ind w:left="660" w:right="80" w:hanging="65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withdrawal from the European Union and its potential impact on, among other things, the movement of goods and materials in our supply chain, additional regulatory approvals and requirements, and increased tariffs and duties.</w:t>
      </w:r>
    </w:p>
    <w:p>
      <w:pPr>
        <w:spacing w:after="0" w:line="129"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92" w:lineRule="exact"/>
        <w:rPr>
          <w:rFonts w:ascii="Arial" w:cs="Arial" w:eastAsia="Arial" w:hAnsi="Arial"/>
          <w:sz w:val="17"/>
          <w:szCs w:val="17"/>
          <w:color w:val="auto"/>
        </w:rPr>
      </w:pPr>
    </w:p>
    <w:p>
      <w:pPr>
        <w:ind w:left="660" w:right="1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and the California Consumer Privacy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391"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Act in the U.S. and the General Data Protection Regulation requirements in Europe, including but not limited to those resulting from data security breaches.</w:t>
      </w:r>
    </w:p>
    <w:p>
      <w:pPr>
        <w:spacing w:after="0" w:line="116" w:lineRule="exact"/>
        <w:rPr>
          <w:sz w:val="20"/>
          <w:szCs w:val="20"/>
          <w:color w:val="auto"/>
        </w:rPr>
      </w:pPr>
    </w:p>
    <w:p>
      <w:pPr>
        <w:ind w:left="660" w:right="8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the EU In Vitro Diagnostic Medical Devices Regulation (IVDR), and the medical device excise tax under the U.S. Affordable Care Act.</w:t>
      </w:r>
    </w:p>
    <w:p>
      <w:pPr>
        <w:spacing w:after="0" w:line="117" w:lineRule="exact"/>
        <w:rPr>
          <w:rFonts w:ascii="Arial" w:cs="Arial" w:eastAsia="Arial" w:hAnsi="Arial"/>
          <w:sz w:val="17"/>
          <w:szCs w:val="17"/>
          <w:color w:val="auto"/>
        </w:rPr>
      </w:pPr>
    </w:p>
    <w:p>
      <w:pPr>
        <w:ind w:left="660" w:right="5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2019, as such Risk Factors may be updated in quarterly filings including updates made in this filing.</w:t>
      </w:r>
    </w:p>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this section, we discuss the results of our operations for the second quarter of fiscal 2020 ended April 30, 2020 and the six months then ended and compare them with the same periods of fiscal 2019.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93345</wp:posOffset>
            </wp:positionV>
            <wp:extent cx="5709285" cy="2322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succeeding sections of Management’s Discussion and Analysis (MD&amp;A) may include certain financial measures that are not defined by accounting principles generally accepted in the United States of America (U.S. GAAP). These measures, which are referred to as non-GAAP measures, are listed below:</w:t>
      </w:r>
    </w:p>
    <w:p>
      <w:pPr>
        <w:spacing w:after="0" w:line="1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U.S. GAAP.</w:t>
      </w:r>
    </w:p>
    <w:p>
      <w:pPr>
        <w:spacing w:after="0" w:line="184"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World Health Organization has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of our optical retailer, hospital, medical office and fertility clinic customers have closed their facilities, restricted access, or delayed or cancelled patient visits, exams and elective medical procedures. This has had, and we believe will continue to have, an adverse effect on our sales, operating results and cash flows.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In most locations, employees not directly involved in manufacturing and distribution are working remotely. We have taken measures to ensure the safety of our essential personnel in our manufacturing and distribution centers, and we have endeavored and continue to follow recommended actions of government and health authorities to protect our employees worldwide.</w:t>
      </w:r>
    </w:p>
    <w:p>
      <w:pPr>
        <w:spacing w:after="0" w:line="18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the date of this filing, we have not experienced any significant disruption in our manufacturing facilities. We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COVID-19. Our manufacturing and distribution operations have responded to the impacts related to COVID-19,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 duration and severity of the pandemic outbreak and any subsequent waves of additional outbreaks, actions taken by governments to contain the pandemic, address its impact or respond to the reduction in global and local economic activity, and how quickly and to what extent normal economic and operating conditions can resume. We have and will continue to closely monitor the developments relating to the COVID-19 pandemic and the responses from governments and private sector participants and their respective impacts on our Company and on our customers, suppliers, vendors and business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risks associated with the COVID-19 pandemic, refer to Part II, Item 1A, "Risk Factors"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right="54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$323.5 million, down 25% from $432.6 million in the prior year period, primarily due to the negative impact of COVID-19 on revenue</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$28.6 million down 81% from $146.9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of $0.23, down 91% from $2.45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provided by operations $25.8 million, compared to $214.8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Highlights</w:t>
      </w:r>
    </w:p>
    <w:p>
      <w:pPr>
        <w:spacing w:after="0" w:line="17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Gross profit $750.0 million, down 12% from $851.1 million in the prior year period, primarily due to negative impact of COVID-19 on revenue</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$139.7 million, down 46% from $257.8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of $2.05, down 55% from $4.52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provided by operations $155.5 million, compared to $316.6 million in the prior year period.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debt concerns, the uncertainty during and after the transition period following the United Kingdom's withdrawal from the European Union, changes to existing regulations and new regulations, global trade barriers including additional tariffs and the trend of consolidations within the health care industry could impact our current performance and continue to represent a risk to our future performance.</w:t>
      </w:r>
    </w:p>
    <w:p>
      <w:pPr>
        <w:spacing w:after="0" w:line="13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and multifocal contact lenses offered in a variety of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using silicone hydrogel Aquaform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and phosphorylcholine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orthokeratology (ortho-k) and scleral lenses. In November 2019, CooperVision received United States Food &amp; Drug Administration (FDA) approval for its MiSight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six months ended April 30, 2019:</w:t>
      </w:r>
    </w:p>
    <w:p>
      <w:pPr>
        <w:spacing w:after="0" w:line="171"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Blanchard Contact Lenses on December 28, 2018 - a privately-held scleral lens company, which expands CooperVision's specialty and scleral lens portfolio.</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MyDay</w:t>
      </w:r>
      <w:r>
        <w:rPr>
          <w:rFonts w:ascii="Arial" w:cs="Arial" w:eastAsia="Arial" w:hAnsi="Arial"/>
          <w:sz w:val="24"/>
          <w:szCs w:val="24"/>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4"/>
          <w:szCs w:val="24"/>
          <w:color w:val="auto"/>
          <w:vertAlign w:val="superscript"/>
        </w:rPr>
        <w:t>®</w:t>
      </w:r>
      <w:r>
        <w:rPr>
          <w:rFonts w:ascii="Arial" w:cs="Arial" w:eastAsia="Arial" w:hAnsi="Arial"/>
          <w:sz w:val="17"/>
          <w:szCs w:val="17"/>
          <w:color w:val="auto"/>
        </w:rPr>
        <w:t>, which helps individuals with digital eye fatigue.</w:t>
      </w:r>
    </w:p>
    <w:p>
      <w:pPr>
        <w:spacing w:after="0" w:line="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commitment to advancing the health of women, babies</w:t>
      </w:r>
      <w:r>
        <w:rPr>
          <w:rFonts w:ascii="Arial" w:cs="Arial" w:eastAsia="Arial" w:hAnsi="Arial"/>
          <w:sz w:val="18"/>
          <w:szCs w:val="18"/>
          <w:i w:val="1"/>
          <w:iCs w:val="1"/>
          <w:color w:val="auto"/>
        </w:rPr>
        <w:t xml:space="preserve"> </w:t>
      </w:r>
      <w:r>
        <w:rPr>
          <w:rFonts w:ascii="Arial" w:cs="Arial" w:eastAsia="Arial" w:hAnsi="Arial"/>
          <w:sz w:val="18"/>
          <w:szCs w:val="18"/>
          <w:color w:val="auto"/>
        </w:rPr>
        <w:t>and families through its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six months ended April 30, 2020:</w:t>
      </w:r>
    </w:p>
    <w:p>
      <w:pPr>
        <w:spacing w:after="0" w:line="171" w:lineRule="exact"/>
        <w:rPr>
          <w:sz w:val="20"/>
          <w:szCs w:val="20"/>
          <w:color w:val="auto"/>
        </w:rPr>
      </w:pPr>
    </w:p>
    <w:p>
      <w:pPr>
        <w:ind w:right="4200" w:firstLine="332"/>
        <w:spacing w:after="0" w:line="493" w:lineRule="auto"/>
        <w:tabs>
          <w:tab w:leader="none" w:pos="6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privately-held distributor of IVF medical devices and systems on December 13, 2019. CooperSurgical acquired the following entity during the six months ended April 30, 2019:</w:t>
      </w: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Incisive Surgical Inc. on December 31, 2018 - a privately-held U.S. medical device company that develops mechanical surgical solutions for skin closure.</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April 30, 2020, we had $79.8 million in unrestricted cash, primarily held outside the United States, and $793.8 million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2020 Credit Agreement. The $850.0 million term loan entered into on April 1, 2020, and the $500.0 million term loan entered into on September 27, 2019 and amended on April 1, 2020, remain outstanding as of April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Condensed Financial Statements for additional information.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indebtedness, additional equity financings or a combination of these potential sources of funds; however, such financing may not be available on favorable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United Kingdom’s Financial Conduct Authority, which regulates the London Interbank Offered Rate (LIBOR), announced in July 2017 that it will no longer persuade or require banks to submit rates for LIBOR after 2021. Further, 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This guidance provides optional expedients and exceptions for applying generally accepted accounting principles (GAAP) to contracts, hedging relationships, and other transactions affected by reference rate reform if certain criteria are met. The Company has material contracts that are indexed to LIBOR and is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ind w:left="500"/>
              <w:spacing w:after="0"/>
              <w:rPr>
                <w:sz w:val="20"/>
                <w:szCs w:val="20"/>
                <w:color w:val="auto"/>
              </w:rPr>
            </w:pPr>
            <w:r>
              <w:rPr>
                <w:rFonts w:ascii="Arial" w:cs="Arial" w:eastAsia="Arial" w:hAnsi="Arial"/>
                <w:sz w:val="14"/>
                <w:szCs w:val="14"/>
                <w:b w:val="1"/>
                <w:bCs w:val="1"/>
                <w:color w:val="auto"/>
                <w:w w:val="87"/>
              </w:rPr>
              <w:t>Percentage of Net Sales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8"/>
              </w:rPr>
              <w:t>2020 vs 2019</w:t>
            </w:r>
          </w:p>
        </w:tc>
        <w:tc>
          <w:tcPr>
            <w:tcW w:w="120" w:type="dxa"/>
            <w:vAlign w:val="bottom"/>
          </w:tcPr>
          <w:p>
            <w:pPr>
              <w:spacing w:after="0"/>
              <w:rPr>
                <w:sz w:val="18"/>
                <w:szCs w:val="18"/>
                <w:color w:val="auto"/>
              </w:rPr>
            </w:pPr>
          </w:p>
        </w:tc>
        <w:tc>
          <w:tcPr>
            <w:tcW w:w="20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87"/>
              </w:rPr>
              <w:t>Percentage of Net Sales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60" w:type="dxa"/>
            <w:vAlign w:val="bottom"/>
            <w:gridSpan w:val="5"/>
            <w:vMerge w:val="restart"/>
          </w:tcPr>
          <w:p>
            <w:pPr>
              <w:jc w:val="center"/>
              <w:ind w:right="100"/>
              <w:spacing w:after="0" w:line="113" w:lineRule="exact"/>
              <w:rPr>
                <w:sz w:val="20"/>
                <w:szCs w:val="20"/>
                <w:color w:val="auto"/>
              </w:rPr>
            </w:pPr>
            <w:r>
              <w:rPr>
                <w:rFonts w:ascii="Arial" w:cs="Arial" w:eastAsia="Arial" w:hAnsi="Arial"/>
                <w:sz w:val="13"/>
                <w:szCs w:val="13"/>
                <w:b w:val="1"/>
                <w:bCs w:val="1"/>
                <w:color w:val="auto"/>
              </w:rPr>
              <w:t>% Change in</w:t>
            </w: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rPr>
              <w:t>% Change in</w:t>
            </w: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Periods Ended April 30,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9"/>
              </w:rPr>
              <w:t>Absolute Values</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50"/>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8"/>
              </w:rPr>
              <w:t>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w w:val="97"/>
              </w:rPr>
              <w:t>Selling, general and administrative expense</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8"/>
              </w:rPr>
              <w:t>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Research and development expense</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an intangible</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w:t>
            </w:r>
          </w:p>
        </w:tc>
        <w:tc>
          <w:tcPr>
            <w:tcW w:w="6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8"/>
              </w:rPr>
              <w:t>Net Sales Growth by Business Unit</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7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Periods Ended April 30,</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w w:val="93"/>
              </w:rPr>
              <w:t>Six Months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60" w:type="dxa"/>
            <w:vAlign w:val="bottom"/>
            <w:gridSpan w:val="4"/>
          </w:tcPr>
          <w:p>
            <w:pPr>
              <w:ind w:left="220"/>
              <w:spacing w:after="0" w:line="153" w:lineRule="exact"/>
              <w:rPr>
                <w:sz w:val="20"/>
                <w:szCs w:val="20"/>
                <w:color w:val="auto"/>
              </w:rPr>
            </w:pPr>
            <w:r>
              <w:rPr>
                <w:rFonts w:ascii="Arial" w:cs="Arial" w:eastAsia="Arial" w:hAnsi="Arial"/>
                <w:sz w:val="14"/>
                <w:szCs w:val="14"/>
                <w:b w:val="1"/>
                <w:bCs w:val="1"/>
                <w:color w:val="auto"/>
              </w:rPr>
              <w:t>Increase /</w:t>
            </w:r>
          </w:p>
        </w:tc>
        <w:tc>
          <w:tcPr>
            <w:tcW w:w="60" w:type="dxa"/>
            <w:vAlign w:val="bottom"/>
          </w:tcPr>
          <w:p>
            <w:pPr>
              <w:spacing w:after="0"/>
              <w:rPr>
                <w:sz w:val="13"/>
                <w:szCs w:val="13"/>
                <w:color w:val="auto"/>
              </w:rPr>
            </w:pPr>
          </w:p>
        </w:tc>
        <w:tc>
          <w:tcPr>
            <w:tcW w:w="1220" w:type="dxa"/>
            <w:vAlign w:val="bottom"/>
            <w:gridSpan w:val="4"/>
          </w:tcPr>
          <w:p>
            <w:pPr>
              <w:ind w:left="120"/>
              <w:spacing w:after="0" w:line="153" w:lineRule="exact"/>
              <w:rPr>
                <w:sz w:val="20"/>
                <w:szCs w:val="20"/>
                <w:color w:val="auto"/>
              </w:rPr>
            </w:pPr>
            <w:r>
              <w:rPr>
                <w:rFonts w:ascii="Arial" w:cs="Arial" w:eastAsia="Arial" w:hAnsi="Arial"/>
                <w:sz w:val="14"/>
                <w:szCs w:val="14"/>
                <w:b w:val="1"/>
                <w:bCs w:val="1"/>
                <w:color w:val="auto"/>
              </w:rPr>
              <w:t>2020 vs 2019</w:t>
            </w:r>
          </w:p>
        </w:tc>
        <w:tc>
          <w:tcPr>
            <w:tcW w:w="140" w:type="dxa"/>
            <w:vAlign w:val="bottom"/>
          </w:tcPr>
          <w:p>
            <w:pPr>
              <w:spacing w:after="0"/>
              <w:rPr>
                <w:sz w:val="13"/>
                <w:szCs w:val="13"/>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Increase /</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4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(Decrease)</w:t>
            </w: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(Decrease)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CooperVision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484.2</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CooperSurgical</w:t>
            </w:r>
          </w:p>
        </w:tc>
        <w:tc>
          <w:tcPr>
            <w:tcW w:w="24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654.3</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451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4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8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Toric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155.3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Multifocal</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49.7</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Single-use spheres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135.3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 single-use sphere, other</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143.9</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484.2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240030</wp:posOffset>
            </wp:positionV>
            <wp:extent cx="5143500" cy="245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4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Toric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Multifocal</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Single-use spheres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 single-use sphere, other</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2020:</w:t>
      </w:r>
    </w:p>
    <w:p>
      <w:pPr>
        <w:spacing w:after="0" w:line="171" w:lineRule="exact"/>
        <w:rPr>
          <w:sz w:val="20"/>
          <w:szCs w:val="20"/>
          <w:color w:val="auto"/>
        </w:rPr>
      </w:pPr>
    </w:p>
    <w:p>
      <w:pPr>
        <w:ind w:left="660" w:right="4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has negatively impacted our business and has resulted in reduction of revenues in both the three and six month periods of 17% and 7%, respectively, compared to the corresponding periods in the prior year. Customers have either slowed down purchases or delayed orders due to a desire to reduce inventories, reduced contact lens wear driven by limited social interaction and lack of patient access on account of office closures. We experienced downward pressure on revenue when major markets started closing as social restrictions were put in place and the offices of many health care providers were closed.</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Toric lenses declined primarily due to lower sales of Biofinity, Biomedics, Proclear and partially offset by higher sales of MyDay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Multifocal lenses declined primarily due to lower sales of Biofinity and Proclear</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Single-use sphere lenses reduction was primarily attributed to decrease in Proclear, Biomedics, clariti lenses partially offset by an increase in MiSight sales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Non-single-use spheres decreased due to lower Biofinity and Biomedics sphere sales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represented approximately 2% of net sales in the three and six months ended April 30, 2020, and in prior year comparative periods</w:t>
      </w:r>
    </w:p>
    <w:p>
      <w:pPr>
        <w:spacing w:after="0" w:line="116"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was a decrease in sales of silicone hydrogel products including older hydrogel products. Total silicone hydrogel products decreased by 15% and 4% in three and six months ended, respectively, representing 73% of net sales in the three and six months ended April 30, 2020 compared to 71% in the three and six months ended April 30, 2019</w:t>
      </w:r>
    </w:p>
    <w:p>
      <w:pPr>
        <w:spacing w:after="0" w:line="129"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exchange rates negatively impacted sales by approximately $7.5 million and $9.7 million in the three and six months ended, respectively, primarily attributable to fluctuations in the Euro, compared to $22.3 million and $35.6 million in prior year periods. In the three and six months ended April 30, 2020, net sales decreased 15% and 6% in constant currency over the prior year periods</w:t>
      </w:r>
    </w:p>
    <w:p>
      <w:pPr>
        <w:spacing w:after="0" w:line="111"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reduction was primarily driven by a decrease in the volume of lenses sold. Average realized prices by product did not materially influence sales</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continue seeing downward pressure on revenues if the COVID-19 pandemic continues,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Six Months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260" w:type="dxa"/>
            <w:vAlign w:val="bottom"/>
          </w:tcPr>
          <w:p>
            <w:pPr>
              <w:spacing w:after="0"/>
              <w:rPr>
                <w:sz w:val="13"/>
                <w:szCs w:val="13"/>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3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2020 vs 2019</w:t>
            </w:r>
          </w:p>
        </w:tc>
        <w:tc>
          <w:tcPr>
            <w:tcW w:w="260" w:type="dxa"/>
            <w:vAlign w:val="bottom"/>
          </w:tcPr>
          <w:p>
            <w:pPr>
              <w:spacing w:after="0"/>
              <w:rPr>
                <w:sz w:val="13"/>
                <w:szCs w:val="13"/>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3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181.1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365.4</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887.4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954.3</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CooperVision's regional reduction in Americas, EMEA and Asia Pacific was primarily attributable to disruption from COVID-19 pandemic. The COVID-19 virus had spread beyond Asia into different geographies including the United States and Europe, and the number of shelter-in-place directives issued by local authorities increased, resulting in negative impact on regional revenues. We expect to continue seeing downward pressure on revenues if the COVID-19 pandemic continues, optical retailers and healthcare centers continue to restrict access, and social distancing measures continue.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Refer to CooperVision Net Sales by Category above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2451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7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3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Fertility</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554355</wp:posOffset>
            </wp:positionV>
            <wp:extent cx="5143500" cy="2451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Fertility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2020:</w:t>
      </w:r>
    </w:p>
    <w:p>
      <w:pPr>
        <w:spacing w:after="0" w:line="171" w:lineRule="exact"/>
        <w:rPr>
          <w:sz w:val="20"/>
          <w:szCs w:val="20"/>
          <w:color w:val="auto"/>
        </w:rPr>
      </w:pPr>
    </w:p>
    <w:p>
      <w:pPr>
        <w:ind w:left="660" w:right="20" w:hanging="328"/>
        <w:spacing w:after="0" w:line="29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experienced COVID-19 pandemic-related economic disruptions and decline in revenues during the three and six months ended April 30, 2020. We experienced downward pressure on revenue when major markets started closing as social restrictions were put in place and the offices of many health care providers were closed. In response to the COVID-19 pandemic, as a precautionary measure, many health care facilities and medical offices were closed or restricted access and many surgeries and elective medical procedures and exams have been deferred or cancelled. Further, there has been a significant reduction in physician office visits, and healthcare centers have postponed or cancelled capital purchases.</w:t>
      </w:r>
    </w:p>
    <w:p>
      <w:pPr>
        <w:spacing w:after="0" w:line="107" w:lineRule="exact"/>
        <w:rPr>
          <w:rFonts w:ascii="Arial" w:cs="Arial" w:eastAsia="Arial" w:hAnsi="Arial"/>
          <w:sz w:val="16"/>
          <w:szCs w:val="16"/>
          <w:color w:val="auto"/>
        </w:rPr>
      </w:pPr>
    </w:p>
    <w:p>
      <w:pPr>
        <w:ind w:left="660" w:right="30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Office and surgical products decreased compared to the prior year periods mainly due to reduction in Paragard sales compared to prior year periods. Further, there has been a reduction in revenue from other surgical products such as Uterine Manipulators, Surgical Retractors, Closure products and Filshie Clip system, partially offset by an increase in revenue from acquired products of Incisive Surgical and Endosee products</w:t>
      </w:r>
    </w:p>
    <w:p>
      <w:pPr>
        <w:spacing w:after="0" w:line="9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Fertility net sales declined compared to the prior year periods mainly due to reduction in revenue from PGS/PGD testing, IVF consumables and IVF equipment</w:t>
      </w:r>
    </w:p>
    <w:p>
      <w:pPr>
        <w:spacing w:after="0" w:line="116" w:lineRule="exact"/>
        <w:rPr>
          <w:rFonts w:ascii="Arial" w:cs="Arial" w:eastAsia="Arial" w:hAnsi="Arial"/>
          <w:sz w:val="18"/>
          <w:szCs w:val="18"/>
          <w:color w:val="auto"/>
        </w:rPr>
      </w:pPr>
    </w:p>
    <w:p>
      <w:pPr>
        <w:jc w:val="both"/>
        <w:ind w:left="660" w:right="10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exchange rates negatively impacted sales by approximately $1.4 million and $2.1 million in the three and six months ended, respectively, primarily attributable to fluctuations in the Danish Krone, compared to $3.7 million and $6.0 million in the prior year periods. In the three and six months of 2020, net sales decreased 27% and 13% in constant currency over the prior year periods</w:t>
      </w:r>
    </w:p>
    <w:p>
      <w:pPr>
        <w:spacing w:after="0" w:line="111"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to continue seeing downward pressure on revenues if the COVID-19 pandemic continues, hospitals and healthcare centers continue to restrict access, and social distancing measures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21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Six Months</w:t>
            </w:r>
          </w:p>
        </w:tc>
        <w:tc>
          <w:tcPr>
            <w:tcW w:w="10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49"/>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1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4"/>
              </w:rPr>
              <w:t>62%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CooperSurgical</w:t>
            </w:r>
          </w:p>
        </w:tc>
        <w:tc>
          <w:tcPr>
            <w:tcW w:w="1500" w:type="dxa"/>
            <w:vAlign w:val="bottom"/>
          </w:tcPr>
          <w:p>
            <w:pPr>
              <w:ind w:left="1140"/>
              <w:spacing w:after="0"/>
              <w:rPr>
                <w:sz w:val="20"/>
                <w:szCs w:val="20"/>
                <w:color w:val="auto"/>
              </w:rPr>
            </w:pPr>
            <w:r>
              <w:rPr>
                <w:rFonts w:ascii="Arial" w:cs="Arial" w:eastAsia="Arial" w:hAnsi="Arial"/>
                <w:sz w:val="18"/>
                <w:szCs w:val="18"/>
                <w:color w:val="auto"/>
                <w:w w:val="94"/>
              </w:rPr>
              <w:t>61%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62%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gross margins have declined across our businesses mainly from lower sales volume of high margin products and some unabsorbed fixed overhead costs, labor inefficiencies, higher manufacturing costs and higher freight costs as a result of the economic impact of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CooperVision's gross margin decreased in the three and six months ended April 30, 2020 compared to fiscal 2019 due to:</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$16.2 million and $22.0 million of costs respectively, primarily related to incremental costs associated with the impact of the COVID-19 pandemic and other manufacturing related costs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unfavorable impact to margin from changes in product mix; and</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integration and manufacturing related costs of $3.6 million and $4.7 million included in three and six months ended April 30,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decrease in gross margin in the three and six months ended April 30, 2020 compared to fiscal 2019 due to:</w:t>
      </w:r>
    </w:p>
    <w:p>
      <w:pPr>
        <w:spacing w:after="0" w:line="225" w:lineRule="exact"/>
        <w:rPr>
          <w:sz w:val="20"/>
          <w:szCs w:val="20"/>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$5.9 million and $8.5 million of costs respectively, primarily incremental costs associated with the impact of the COVID-19, integration costs and higher inventory reserves; and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 integration and manufacturing related costs of $4.1 million and $8.3 million included in the three and six months ended April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4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169.0</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62.9</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237.2</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99"/>
              </w:rPr>
              <w:t>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246.8</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38%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line="20" w:lineRule="exact"/>
              <w:rPr>
                <w:sz w:val="1"/>
                <w:szCs w:val="1"/>
                <w:color w:val="auto"/>
              </w:rPr>
            </w:pPr>
          </w:p>
        </w:tc>
      </w:tr>
      <w:tr>
        <w:trPr>
          <w:trHeight w:val="437"/>
        </w:trPr>
        <w:tc>
          <w:tcPr>
            <w:tcW w:w="40" w:type="dxa"/>
            <w:vAlign w:val="bottom"/>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4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333.2</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337.7</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135.3</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136.9</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42%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495.5</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496.8</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94"/>
              </w:rPr>
              <w:t>39%</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SGA expense decreased and remained relatively flat in the three and six months ended April 30, 2020, respectively, mainly due to reductions in advertising</w:t>
      </w:r>
    </w:p>
    <w:p>
      <w:pPr>
        <w:spacing w:after="0" w:line="46" w:lineRule="exact"/>
        <w:rPr>
          <w:sz w:val="20"/>
          <w:szCs w:val="20"/>
          <w:color w:val="auto"/>
        </w:rPr>
      </w:pPr>
    </w:p>
    <w:p>
      <w:pPr>
        <w:ind w:right="40" w:firstLine="8"/>
        <w:spacing w:after="0" w:line="260"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initiatives, lower distribution costs and lower travel expenses as a result of the COVID-19 pandemic. As a percentage of sales, SGA increased in the three and six months ended April 30, 2020 compared to fiscal 2019.</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CooperVision's SGA decreased in the three and six months ended April 30, 2020 compared to fiscal 2019 due to lower distribution, selling expenses and lower integration activities. CooperVision's SGA in the three and six months ended April 30, 2020 included costs primarily related to integration activities of $0.8 million and $1.4 million respectively.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CooperVision's SGA in the prior year periods included $2.1 million and $4.5 million of integration and third-party consulting costs, in the three and six months ended April 30, 2019, respectively.</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decrease in CooperSurgical's SGA in the three and six months ended April 30, 2020 compared to fiscal 2019 was primarily due to lower selling expenses and savings from reduced headcount and lower travel expenses. CooperSurgical's SGA in the three and six months ended April 30, 2020, included integration expenses and European Medical Devices Regulation costs of $4.4 million and $10.5 million respectively. CooperSurgical's SGA in the prior year periods included $4.0 million and $12.4 million of primarily acquisition and integration expenses of acquired companies, as well as third-party consulting costs, in the three and six months ended April 30, 2019 respectively.</w:t>
      </w:r>
    </w:p>
    <w:p>
      <w:pPr>
        <w:spacing w:after="0" w:line="13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increase in Corporate SGA in the three and six months ended April 30, 2020 compared to fiscal 2019 was primarily due to higher share-based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7"/>
              </w:rPr>
              <w:t>Sales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8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11.0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line="20" w:lineRule="exact"/>
              <w:rPr>
                <w:sz w:val="1"/>
                <w:szCs w:val="1"/>
                <w:color w:val="auto"/>
              </w:rPr>
            </w:pPr>
          </w:p>
        </w:tc>
      </w:tr>
      <w:tr>
        <w:trPr>
          <w:trHeight w:val="437"/>
        </w:trPr>
        <w:tc>
          <w:tcPr>
            <w:tcW w:w="40" w:type="dxa"/>
            <w:vAlign w:val="bottom"/>
          </w:tcPr>
          <w:p>
            <w:pPr>
              <w:spacing w:after="0"/>
              <w:rPr>
                <w:sz w:val="24"/>
                <w:szCs w:val="24"/>
                <w:color w:val="auto"/>
              </w:rPr>
            </w:pPr>
          </w:p>
        </w:tc>
        <w:tc>
          <w:tcPr>
            <w:tcW w:w="4520" w:type="dxa"/>
            <w:vAlign w:val="bottom"/>
            <w:gridSpan w:val="2"/>
            <w:vMerge w:val="continue"/>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5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8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20.1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and six months ended April 30, 2020:</w:t>
      </w:r>
    </w:p>
    <w:p>
      <w:pPr>
        <w:spacing w:after="0" w:line="171" w:lineRule="exact"/>
        <w:rPr>
          <w:sz w:val="20"/>
          <w:szCs w:val="20"/>
          <w:color w:val="auto"/>
        </w:rPr>
      </w:pPr>
    </w:p>
    <w:p>
      <w:pPr>
        <w:ind w:left="660" w:right="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CooperVision's R&amp;D decreased in the three and six months ended April 30, 2020 compared to fiscal 2019, mainly due to timing of clinical studies. As a percentage of sales, R&amp;D expense remained flat. CooperVision's R&amp;D activities are primarily focused on the development of contact lenses, manufacturing technology and process enhancements.</w:t>
      </w:r>
    </w:p>
    <w:p>
      <w:pPr>
        <w:spacing w:after="0" w:line="129"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CooperSurgical's R&amp;D in the three and six months ended April 30, 2020 compared to fiscal 2019 was primarily due to increased investment activities in developing new products and services and upgrades of existing products. CooperSurgical has not paused research programs during the COVID-19 pandemic and has increased its spend to accelerate innovations in key investment areas and support our long term objectives. As a percentage of sales, R&amp;D expense increased. CooperSurgical's R&amp;D activities include diagnostics, IVF product development and the design and upgrade of surgical procedure devices.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line="20" w:lineRule="exact"/>
              <w:rPr>
                <w:sz w:val="1"/>
                <w:szCs w:val="1"/>
                <w:color w:val="auto"/>
              </w:rPr>
            </w:pPr>
          </w:p>
        </w:tc>
      </w:tr>
      <w:tr>
        <w:trPr>
          <w:trHeight w:val="437"/>
        </w:trPr>
        <w:tc>
          <w:tcPr>
            <w:tcW w:w="4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CooperVision amortization expense decreased in the three and six months ended April 30, 2020 compared to fiscal 2019 due to certain intangible assets becoming fully amortized.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amortization expense remained relatively flat.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an Intangible Asset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fiscal 2019, CooperSurgical sold an exclusive distribution right for $21.0 million and recognized a gain of $19.0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18%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146.9</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22%</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line="20" w:lineRule="exact"/>
              <w:rPr>
                <w:sz w:val="1"/>
                <w:szCs w:val="1"/>
                <w:color w:val="auto"/>
              </w:rPr>
            </w:pPr>
          </w:p>
        </w:tc>
      </w:tr>
      <w:tr>
        <w:trPr>
          <w:trHeight w:val="437"/>
        </w:trPr>
        <w:tc>
          <w:tcPr>
            <w:tcW w:w="4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4"/>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38.3</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257.8</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operating income for the three and six months ended April 30, 2020 was primarily impacted by the COVID-19 pandemic which resulted in a decrease to revenue and additional expenses due to COVID-19 related costs as discussed above.</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CooperVision operating income decreased as a percentage of net sales and in absolute dollars in the three and six months ended April 30, 2020 compared to fiscal 2019 primarily due to a decrease in net sales partially offset by a decrease in operating expenses and a decrease in amortization expenses.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CooperSurgical operating income decreased as a percentage of net sales and in absolute dollars in the three and six months ended April 30, 2020 compared to fiscal 2019 primarily due to a decrease in net sales and higher R&amp;D expenses to support growth partially offset by a decrease in operating expenses. Prior year CooperSurgical three and six months operating income included a $19.0 million gain realized on the sale of an exclusive distribution right for $21.0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of Corporate operating loss in the three and six months ended April 30, 2020 compared to fiscal 2019 was primarily due to higher stock-based compensation expense.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 consolidated basis, operating income decreased in absolute dollars and as a percentage of net sales primarily due to the negative impact of COVID-19, as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3"/>
                <w:szCs w:val="13"/>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3"/>
                <w:szCs w:val="13"/>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line="20" w:lineRule="exact"/>
              <w:rPr>
                <w:sz w:val="1"/>
                <w:szCs w:val="1"/>
                <w:color w:val="auto"/>
              </w:rPr>
            </w:pPr>
          </w:p>
        </w:tc>
      </w:tr>
      <w:tr>
        <w:trPr>
          <w:trHeight w:val="477"/>
        </w:trPr>
        <w:tc>
          <w:tcPr>
            <w:tcW w:w="4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Net Sales</w:t>
            </w:r>
          </w:p>
        </w:tc>
        <w:tc>
          <w:tcPr>
            <w:tcW w:w="300" w:type="dxa"/>
            <w:vAlign w:val="bottom"/>
          </w:tcPr>
          <w:p>
            <w:pPr>
              <w:spacing w:after="0"/>
              <w:rPr>
                <w:sz w:val="24"/>
                <w:szCs w:val="2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Net Sales</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Interest expense decreased as a percentage of net sales and in absolute dollars primarily due to lower average debt balances and lower interest rates compared to the prior year period, partially offset by the write-off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 primarily resulted from the revaluation and settlement of foreign currency-denominated balances.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expense (income) increased in the three and six months ended April 30, 2020, primarily due to non-consolidated subsidiary investments charges during the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tax rates were a benefit of 27.7% and expense of 4.5% for the second quarter of fiscal 2020 and 2019, respectively and an expense of 4.2% and a benefit of 1.7% for the first six months of fiscal 2020 and 2019, respectively. The decrease in the effective tax rate for the second quarter of fiscal 2020 compared to fiscal 2019 was primarily due to the significant drop of actual quarterly PBT (Profit before tax) due to the market volatility and instability as a result of the COVID-19 pandemic. The Company’s effective tax rate for the first six months of fiscal year 2020 was higher than 2019, mainly due to settlement of tax audits, revisions to the provisional tax charges relating to the 2017 Act and excess tax benefits from share-based compensation that favorably impacted the 2019 effective tax rate. The Company’s effective tax rate for the second quarter of fiscal 2020 was lower than the U.S statutory tax rate as a result of the discrete tax benefits mainly from stock compensation excess tax benefit and a favorable mix of income from foreign jurisdictions with preferential tax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has several share-based compensation plans that are described in our Annual Report on Form 10-K for the fiscal year ended October 31, 2019. The compensation expense and related income tax benefit recognized in our Consolidated Statements of Income and Comprehensive Income for share-based awards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16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Related income tax benefit</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37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cash flow was $25.8 million compared to $214.8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$89.3 million compared to $52.7 million in the prior year period</w:t>
      </w:r>
    </w:p>
    <w:p>
      <w:pPr>
        <w:spacing w:after="0" w:line="171"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provided by operations $25.8 million offset by capital expenditures $89.3 million resulted in negative free cash flow of $(63.5) million, down 139%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cash flow was $155.5 million compared to $316.6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$158.3 million compared to $131.9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payments for acquisitions and others, of $11.2 million, compared to $50.8 million in the prior year period.</w:t>
      </w:r>
    </w:p>
    <w:p>
      <w:pPr>
        <w:spacing w:after="0" w:line="171"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provided by operations $155.5 million offset by capital expenditures $158.3 million resulted in negative free cash flow of $(2.8) million, down 102%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4"/>
                <w:szCs w:val="14"/>
                <w:color w:val="auto"/>
              </w:rPr>
            </w:pP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April 30, 2020</w:t>
            </w:r>
          </w:p>
        </w:tc>
        <w:tc>
          <w:tcPr>
            <w:tcW w:w="400" w:type="dxa"/>
            <w:vAlign w:val="bottom"/>
          </w:tcPr>
          <w:p>
            <w:pPr>
              <w:spacing w:after="0"/>
              <w:rPr>
                <w:sz w:val="14"/>
                <w:szCs w:val="14"/>
                <w:color w:val="auto"/>
              </w:rPr>
            </w:pPr>
          </w:p>
        </w:tc>
        <w:tc>
          <w:tcPr>
            <w:tcW w:w="2020" w:type="dxa"/>
            <w:vAlign w:val="bottom"/>
          </w:tcPr>
          <w:p>
            <w:pPr>
              <w:jc w:val="right"/>
              <w:ind w:right="592"/>
              <w:spacing w:after="0"/>
              <w:rPr>
                <w:sz w:val="20"/>
                <w:szCs w:val="20"/>
                <w:color w:val="auto"/>
              </w:rPr>
            </w:pPr>
            <w:r>
              <w:rPr>
                <w:rFonts w:ascii="Arial" w:cs="Arial" w:eastAsia="Arial" w:hAnsi="Arial"/>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89.0</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572"/>
              <w:spacing w:after="0"/>
              <w:rPr>
                <w:sz w:val="20"/>
                <w:szCs w:val="20"/>
                <w:color w:val="auto"/>
              </w:rPr>
            </w:pPr>
            <w:r>
              <w:rPr>
                <w:rFonts w:ascii="Arial" w:cs="Arial" w:eastAsia="Arial" w:hAnsi="Arial"/>
                <w:sz w:val="18"/>
                <w:szCs w:val="18"/>
                <w:color w:val="auto"/>
              </w:rPr>
              <w:t>6,510.0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6,274.5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52.8</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572"/>
              <w:spacing w:after="0"/>
              <w:rPr>
                <w:sz w:val="20"/>
                <w:szCs w:val="20"/>
                <w:color w:val="auto"/>
              </w:rPr>
            </w:pPr>
            <w:r>
              <w:rPr>
                <w:rFonts w:ascii="Arial" w:cs="Arial" w:eastAsia="Arial" w:hAnsi="Arial"/>
                <w:sz w:val="18"/>
                <w:szCs w:val="18"/>
                <w:color w:val="auto"/>
              </w:rPr>
              <w:t>1,899.3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1,826.3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3,627.4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3,628.6</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Ratio of debt to equity</w:t>
            </w:r>
          </w:p>
        </w:tc>
        <w:tc>
          <w:tcPr>
            <w:tcW w:w="440" w:type="dxa"/>
            <w:vAlign w:val="bottom"/>
          </w:tcPr>
          <w:p>
            <w:pPr>
              <w:spacing w:after="0"/>
              <w:rPr>
                <w:sz w:val="21"/>
                <w:szCs w:val="21"/>
                <w:color w:val="auto"/>
              </w:rPr>
            </w:pPr>
          </w:p>
        </w:tc>
        <w:tc>
          <w:tcPr>
            <w:tcW w:w="1980" w:type="dxa"/>
            <w:vAlign w:val="bottom"/>
          </w:tcPr>
          <w:p>
            <w:pPr>
              <w:jc w:val="right"/>
              <w:ind w:right="572"/>
              <w:spacing w:after="0"/>
              <w:rPr>
                <w:sz w:val="20"/>
                <w:szCs w:val="20"/>
                <w:color w:val="auto"/>
              </w:rPr>
            </w:pPr>
            <w:r>
              <w:rPr>
                <w:rFonts w:ascii="Arial" w:cs="Arial" w:eastAsia="Arial" w:hAnsi="Arial"/>
                <w:sz w:val="18"/>
                <w:szCs w:val="18"/>
                <w:color w:val="auto"/>
              </w:rPr>
              <w:t>0.52:1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20" w:type="dxa"/>
            <w:vAlign w:val="bottom"/>
          </w:tcPr>
          <w:p>
            <w:pPr>
              <w:jc w:val="right"/>
              <w:ind w:right="552"/>
              <w:spacing w:after="0"/>
              <w:rPr>
                <w:sz w:val="20"/>
                <w:szCs w:val="20"/>
                <w:color w:val="auto"/>
              </w:rPr>
            </w:pPr>
            <w:r>
              <w:rPr>
                <w:rFonts w:ascii="Arial" w:cs="Arial" w:eastAsia="Arial" w:hAnsi="Arial"/>
                <w:sz w:val="18"/>
                <w:szCs w:val="18"/>
                <w:color w:val="auto"/>
              </w:rPr>
              <w:t>0.50:1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 a percentage of total capitalization</w:t>
            </w:r>
          </w:p>
        </w:tc>
        <w:tc>
          <w:tcPr>
            <w:tcW w:w="4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working capital at April 30, 2020 from the end of fiscal 2019 was primarily due to:</w:t>
      </w:r>
    </w:p>
    <w:p>
      <w:pPr>
        <w:spacing w:after="0" w:line="171" w:lineRule="exact"/>
        <w:rPr>
          <w:sz w:val="20"/>
          <w:szCs w:val="20"/>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other current liabilities $67.8 million primarily due to timing of payments and a reduction in fiscal 2020 customer rebate accruals due to the decrease in sales resulting from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accounts payable $21.4 million due to timing of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employee compensation and benefits of $18.4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inventories $61.3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prepaid expense and other current assets $17.2 million;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trade accounts receivable $66.5 million due to lower sales and timing of collections;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recognition of current operating lease liabilities $31.5 million on adoption of ASC 842 Leases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April 30, 2020, our inventory months on hand were 8.5 compared to 6.4 at October 31, 2019. The $61.3 million increase in inventories was primarily due to lower sales.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days sales outstanding (DSO) increased to 67 days at April 30, 2020, compared to 56 days at October 31, 2019, primarily due to lower sales and timing of collections.</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provided by operating activities decreased by $161.1 million from $316.6 million during the first half of fiscal 2019 to $155.5 million in the first half of fiscal 2020. This decrease in cash flow provided by operating activities primarily consists of:</w:t>
      </w:r>
    </w:p>
    <w:p>
      <w:pPr>
        <w:spacing w:after="0" w:line="116" w:lineRule="exact"/>
        <w:rPr>
          <w:sz w:val="20"/>
          <w:szCs w:val="20"/>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net income of $123.5 million from a net income of $225.5 million in the first half of fiscal 2019 to $102.0 million in the first half of fiscal 2020;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of $100.1 million in net cash outflow from changes in operating capital, from $19.7 million outflow in the first half of fiscal 2019 to $119.8 million outflow in the first half of fiscal 2020, partially offset by;</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of $43.6 million in non-cash items, from $(9.7) million during the first half of fiscal 2019 to $33.9 million during the first half of fiscal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net income of $123.5 million was caused primarily by the negative impact of COVID-19 on sales, higher unabsorbed fixed overhead costs, labor inefficiencies, higher cost of production and higher freight charges, partially offset by decrease in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$100.1 million decrease in the net cash flow from changes in operating capital compared to the prior year period is primarily due to:</w:t>
      </w:r>
    </w:p>
    <w:p>
      <w:pPr>
        <w:spacing w:after="0" w:line="171" w:lineRule="exact"/>
        <w:rPr>
          <w:sz w:val="20"/>
          <w:szCs w:val="20"/>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$71.7 million decrease in the net changes in accrued liabilities and other primarily due to impact from adoption of ASC 842, Leases and a reduction in customer rebate accruals as a result of the decrease in sales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$43.6 million decrease in the net changes in prepayments and other assets primarily due to the refund of the prepayment made to the U.K. Tax Authorities in the prior 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$36.8 million decrease in the net changes in inventories primarily due to lower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$24.9 million decrease in the net changes in income tax payable, partially offset by;</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$88.7 million increase in the net changes in trade and other receivables primarily from decrease in accounts receivable due to lower sales and timing of collections.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$43.6 million increase in non-cash items compared to the prior year period was primarily due to:</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of $26.1 million driven by net changes in long term tax liabilities, deferred taxes and defined benefit pension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$16.0 million in non-cash lease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used in investing activities decreased by $13.2 million to $169.5 million in the first half of fiscal 2020 from $182.7 million in the first half of fiscal 2019 due to:</w:t>
      </w:r>
    </w:p>
    <w:p>
      <w:pPr>
        <w:spacing w:after="0" w:line="170" w:lineRule="exact"/>
        <w:rPr>
          <w:sz w:val="20"/>
          <w:szCs w:val="20"/>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 of $39.6 million in payments made for acquisitions in the first half of fiscal 2020 compared to the prior year period, largely due to the acquisition of Incisive Surgical Inc. and Blanchard Contact Lenses in the first half of fiscal 2019, partially offset by;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$26.4 million in capital expenditures primarily used to invest in the expansion of our manufacturing capacity.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flows from financing activities increased by $117.1 million to $8.4 million cash inflow in the first half of fiscal 2020 compared to $108.7 million outflow in the first half of fiscal 2019, primarily due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1"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1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$1,437.2 million increase in proceeds from long-term debt, primarily due to funds received from the Revolving Credit and Term Loan Agreement entered into on April 1, 2020, partially offset by;</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$842.5 million increase in repayments of long-term debt, primarily related to termination of 2017 Term Loan Agreement and the 2016 Credit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$427.4 million decrease in net proceeds from short-term debt, primarily due to $400 million short term loan taken on November 1, 2018.</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$1.290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April 1, 2020, in connection with the Company’s entry into the 2020 Credit Agreement, the Company terminated the 2017 Term Loan Agreement and the 2016 Credit Agreement. In connection with the termination, all borrowings outstanding under the 2017 Term Loan Agreement and the 2016 Credit Agreement were repaid.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April 30, 2020:</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3"/>
            <w:vMerge w:val="restart"/>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restart"/>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Borrowings</w:t>
            </w:r>
          </w:p>
        </w:tc>
        <w:tc>
          <w:tcPr>
            <w:tcW w:w="1380" w:type="dxa"/>
            <w:vAlign w:val="bottom"/>
            <w:gridSpan w:val="3"/>
            <w:vMerge w:val="restart"/>
          </w:tcPr>
          <w:p>
            <w:pPr>
              <w:ind w:left="120"/>
              <w:spacing w:after="0" w:line="158" w:lineRule="exact"/>
              <w:rPr>
                <w:sz w:val="20"/>
                <w:szCs w:val="20"/>
                <w:color w:val="auto"/>
              </w:rPr>
            </w:pPr>
            <w:r>
              <w:rPr>
                <w:rFonts w:ascii="Arial" w:cs="Arial" w:eastAsia="Arial" w:hAnsi="Arial"/>
                <w:sz w:val="14"/>
                <w:szCs w:val="14"/>
                <w:b w:val="1"/>
                <w:bCs w:val="1"/>
                <w:color w:val="auto"/>
              </w:rPr>
              <w:t>Letters of Credit</w:t>
            </w:r>
          </w:p>
        </w:tc>
        <w:tc>
          <w:tcPr>
            <w:tcW w:w="140" w:type="dxa"/>
            <w:vAlign w:val="bottom"/>
          </w:tcPr>
          <w:p>
            <w:pPr>
              <w:spacing w:after="0"/>
              <w:rPr>
                <w:sz w:val="9"/>
                <w:szCs w:val="9"/>
                <w:color w:val="auto"/>
              </w:rPr>
            </w:pPr>
          </w:p>
        </w:tc>
        <w:tc>
          <w:tcPr>
            <w:tcW w:w="1100" w:type="dxa"/>
            <w:vAlign w:val="bottom"/>
            <w:vMerge w:val="restart"/>
          </w:tcPr>
          <w:p>
            <w:pPr>
              <w:jc w:val="right"/>
              <w:ind w:right="256"/>
              <w:spacing w:after="0" w:line="158"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793.8</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43"/>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248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25, 2020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2020 Credit Agreement and the 2019 Term Loan Agreement contain customary restrictive covenants, as well as financial covenants that require the Company to maintain a certain Total Leverage Ratio and Interest Coverage Ratio. As defined, in the 2020 Credit Agreement and the 2019 Term Loan Agreement, we are required to maintain an Interest Coverage Ratio of at least 3.00 to 1.00, and a Total Leverage Ratio of no higher than 3.75 to 1.00. At April 30, 2020, we were in compliance with the Interest Coverage Ratio at 15.00 to 1.00 and the Total Leverage Ratio at 2.18 to 1.00.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Condensed Financial Statements for additional information.</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the potential economic impact resulting from the COVID-19 pandemic and the duration of the pandemic's impact are difficult to assess or predict, the impact of the COVID-19 pandemic on the global financial markets may reduce our ability to access capital, which could negatively impact our short-term and long-term liquidity. In consideration of the significant uncertainty created by the COVID-19 pandemic, we are continuing to assess our liquidity and anticipated capital requirements. Notwithstanding the significant uncertainty created by the COVID-19 pandemic, we believe future cash flow from operating activities and availability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of fiscal 2020, we repurchased 160.8 thousand shares of the Company's common stock for $47.8 million, at an average purchase price of $296.88 per share. There was no share repurchase activity during the first quarter of fiscal 2020. During the first half of fiscal 2019, we repurchased 24.5 thousand shares of our common stock for $6.1 million at an average purchase price of $248.70 per share. At April 30, 2020, $359.7 million remains authorized for repurchase under the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non-GAAP financial measures that may be included in this MD&amp;A and the reasons management believes they are useful to investors are described below. These measures should be considered supplemental in nature and are not intended to be a substitute for the related financial information prepared in accordance with U.S. GAAP. In addition, these measures may not be the same as similarly named measures presented by other companies.</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revenues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2019. There have been no material changes in our policies from those previously discussed in our Form 10-K for the fiscal year October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MiSight</w:t>
      </w:r>
      <w:r>
        <w:rPr>
          <w:rFonts w:ascii="Arial" w:cs="Arial" w:eastAsia="Arial" w:hAnsi="Arial"/>
          <w:sz w:val="25"/>
          <w:szCs w:val="25"/>
          <w:color w:val="auto"/>
          <w:vertAlign w:val="superscript"/>
        </w:rPr>
        <w:t>®</w:t>
      </w:r>
      <w:r>
        <w:rPr>
          <w:rFonts w:ascii="Arial" w:cs="Arial" w:eastAsia="Arial" w:hAnsi="Arial"/>
          <w:sz w:val="18"/>
          <w:szCs w:val="18"/>
          <w:color w:val="auto"/>
        </w:rPr>
        <w:t>, ActiveControl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and FIPS™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principally our British pound sterling, euro, Japanese yen,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 On April 6, 2020, we entered into six interest rate swap contracts to hedge variable cash flows associated with LIBOR. The interest rate swap contracts became effective on April 6, 2020 and have maturities of seven years or less with a total notional amount of $1.5 billion. The Company did not have any derivative assets or liabilities that may include interest rate swaps, cross currency swaps or foreign currency forward contracts as of October 31, 2019.</w:t>
      </w:r>
    </w:p>
    <w:p>
      <w:pPr>
        <w:spacing w:after="0" w:line="13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September 27, 2019, we extended the maturity of the 2018 Term Loan Agreement to September 25, 2020 and increased the amount to $500.0 million (as so amended, the 2019 Term Loan Agreement). We used the additional funds to partially repay outstanding borrowings under the 2017 Term Loan Agreement. At April 30, 2020, the Company had $500 million outstanding under the 2019 Term Loan Agreement.</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(the 2017 Term Loan Agreement) by and among us, the lenders party thereto and DNB Bank ASA, New York Branch, as administrative agent which matures on November 1, 2022. We used part of the facility to fund the PARAGARD acquisition and used the remainder of the funds to partially repay outstanding borrowings under our revolving credit agreement. On April 1, 2020, in connection with the Company’s entry into the 2020 Credit Agreement, the Company terminated the 2017 Term Loan Agreement. In connection with the termination, all borrowings outstanding under the 2017 Term Loan Agreement were repaid.</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1, 2016, the Company entered into a Revolving Credit and Term Loan Agreement (the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(the 2016 Revolving Credit Facility) and a term loan facility in an aggregate principal amount of $830.0 million (the 2016 Term Loan Facility), each of which, unless terminated earlier, mature on March 1, 2021. In addition, the Company has the ability from time to time to request an increase to the size of the 2016 Revolving Credit Facility or establish one or more new term loans under the 2016 Term Loan Facility in an aggregate amount up to $750.0 million, subject to the discretionary participation of the lenders. On April 1, 2020, in connection with the Company’s entry into the 2020 Credit Agreement, the Company terminated the 2016 Credit Agreement. In connection with the termination, all letters of credit outstanding under the 2016 Credit Agreement were transferred to the 2020 Credit Agreement.</w:t>
      </w:r>
    </w:p>
    <w:p>
      <w:pPr>
        <w:spacing w:after="0" w:line="1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interest rates were to increase or decrease by 1% or 100 basis points, quarterly interest expense would increase or decrease by approximately $0.7 million based on average debt outstanding, after consideration of our interest rate swap contracts, for the second quarter of fiscal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Note 6. Debt of the Consolidated Condensed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39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identified in connection with the evaluation required by Rule 13a-15(d) and 15d-15(d) of the Exchange Act that occurred during our second quarter of fiscal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9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13. Contingencies of this Quarterly Report on Form 10-Q.</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Risk factors describing the major risks to our business can be found under Item 1A. Risk Factors in our Annual Report on Form 10-K for the fiscal year ended October 31, 2019. In the first half of fiscal 2020, we updated some of our risk factors as described below. There are no other material changes in our risk factors from those previously discussed in our Form 10-K for the fiscal year ended October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and expanding international operations are subject to uncertainties which could affect our operating results.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2019 and 2018,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7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difficulty enforcing intellectual property rights in some foreign countries;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difficulty gaining market share in countries such as Japan and China because of regulatory restrictions and customer preferences;</w:t>
      </w:r>
    </w:p>
    <w:p>
      <w:pPr>
        <w:spacing w:after="0" w:line="128" w:lineRule="exact"/>
        <w:rPr>
          <w:rFonts w:ascii="Arial" w:cs="Arial" w:eastAsia="Arial" w:hAnsi="Arial"/>
          <w:sz w:val="17"/>
          <w:szCs w:val="17"/>
          <w:color w:val="auto"/>
        </w:rPr>
      </w:pPr>
    </w:p>
    <w:p>
      <w:pPr>
        <w:ind w:left="340" w:right="10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75" w:lineRule="exact"/>
        <w:rPr>
          <w:rFonts w:ascii="Arial" w:cs="Arial" w:eastAsia="Arial" w:hAnsi="Arial"/>
          <w:sz w:val="18"/>
          <w:szCs w:val="18"/>
          <w:color w:val="auto"/>
        </w:rPr>
      </w:pPr>
    </w:p>
    <w:p>
      <w:pPr>
        <w:ind w:left="340" w:right="1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rates in some foreign countries may exceed those of the United States, and foreign earnings may be subject to withholding requirements or the imposition of tariffs, exchange controls or other restrictions, including the tariffs enacted by the U.S. government on various imports from China and by the Chinese government on certain U.S. goods, the scope and duration of which remain uncertain;</w:t>
      </w:r>
    </w:p>
    <w:p>
      <w:pPr>
        <w:spacing w:after="0" w:line="57" w:lineRule="exact"/>
        <w:rPr>
          <w:rFonts w:ascii="Arial" w:cs="Arial" w:eastAsia="Arial" w:hAnsi="Arial"/>
          <w:sz w:val="17"/>
          <w:szCs w:val="17"/>
          <w:color w:val="auto"/>
        </w:rPr>
      </w:pPr>
    </w:p>
    <w:p>
      <w:pPr>
        <w:ind w:left="340" w:right="20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to comply with a variety of United States and foreign legal, compliance and regulatory requirements such as the Foreign Corrupt Practices Act, the Dodd-Frank Wall Street Reform and Consumer Protection Act, the United Kingdom (U.K.) Bribery Act and international data security and privacy laws and MDR and IVDR;</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to manage a large organization spread throughout various countries;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 could adversely affect our results;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customers may have longer payment cycles than customers in the United States;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to comply with United States Department of Commerce and other nations' import-export controls may result in fines and/or penalties;</w:t>
      </w:r>
    </w:p>
    <w:p>
      <w:pPr>
        <w:spacing w:after="0" w:line="128"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where we operate may have an adverse effect on our operations in those countries or not be favorable to our growth strategy;</w:t>
      </w:r>
    </w:p>
    <w:p>
      <w:pPr>
        <w:spacing w:after="0" w:line="62"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(including pandemics),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391" w:right="399" w:bottom="1440" w:gutter="0" w:footer="0" w:header="0"/>
        </w:sectPr>
      </w:pPr>
    </w:p>
    <w:bookmarkStart w:id="44" w:name="page45"/>
    <w:bookmarkEnd w:id="44"/>
    <w:p>
      <w:pPr>
        <w:ind w:left="340" w:right="1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governments may adopt regulations, including those similar to MDR and IVDR or take other actions that would have a direct or indirect adverse impact on our business and market opportunities, including but not limited to increased enforcement of potentially conflicting and ambiguous anti-bribery laws;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have difficulty enforcing agreements and collecting receivables through some foreign legal systems; and</w:t>
      </w:r>
    </w:p>
    <w:p>
      <w:pPr>
        <w:spacing w:after="0" w:line="117"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unforeseen economic or political events in certain countries that may have an impact on our customers' ability or preferences to buy our products.</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80"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Our results of operations have been adversely affected, and our results of operations, cash flow and financial condition could be materially adversely affected in the future, by the global COVID-19 coronavirus pandemic and related economic disruptions.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current global pandemic caused by the spread of the novel strain of coronavirus referred to as “COVID-19"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Among other things, many of our optical retailer, hospital, medical office and fertility clinic customers have closed their facilities, restricted access, or delayed or cancelled patient visits, exams and elective medical procedures in response to the pandemic, which has resulted in reduced demand for and sales of our products and services.</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the COVID-19 pandemic continues and conditions worsen, our results of operations, cash flow and financial condition could be materially adversely affected in numerous ways, including, but not limited to, decreased revenues from sales of our products and services due to customer facility closures, restricted access and reduced patient visits, exams and elective medical procedures; disruption in the manufacture and distribution of our products, including increased manufacturing and distribution costs, reduced manufacturing capacity and inadequate inventory levels; increased risk of inventory that may expire; write-offs or obsolescence of inventory, equipment or other assets; disruptions to our raw material and product suppliers and broader supply chain and distribution systems; delays in our clinical trials which could negatively impact our new product pipeline milestones and regulatory clearances and approvals; extended delays in or defaults on payments of outstanding receivables; insolvency of customers, suppliers, vendors and business partners; an inability to access lending, capital markets and other sources of liquidity when needed on reasonable terms or at all; an inability to comply with financial covenants in our debt agreements; and future restructuring, impairment and other charges.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extent to which the COVID-19 pandemic and related economic disruptions impact our business, results of operations, cash flow and financial condition will depend on future developments, which are highly uncertain, difficult to predict and largely outside of our control, including, but not limited to, the continued spread, duration and severity of the pandemic outbreak; the occurrence, spread, duration and severity of any subsequent wave or waves of outbreaks after the initial outbreak has subsided; the impact on our customers and suppliers; the actions taken by the U.S. and foreign governments to contain the pandemic, address its impact or respond to the reduction in global and local economic activity; the occurrence, duration and severity of a global, regional or national recession, depression or other sustained adverse market event; and how quickly and to what extent normal economic and operating conditions can resume. Even after the COVID-19 pandemic has subsided, we may continue to experience materially adverse effects on our results of operations and financial condition. In addition to the other information set forth in this report, you should carefully consider the known risks described in the “Risk Factors” section of our Annual Report on Form 10-K for the year ended October 31, 2019 which may be heightened by the COVID-19 pandemic and related economic disruption and could materially adversely affect our business.</w:t>
      </w:r>
    </w:p>
    <w:p>
      <w:pPr>
        <w:spacing w:after="0" w:line="18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results of the United Kingdom’s withdrawal from the European Union may have a negative effect on global economic conditions, financial markets and our business.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a multinational company headquartered in the United States with worldwide operations, with significant business operations in Europe, including in the United Kingdom. In June 2016, a majority of voters in the United Kingdom elected to withdraw from the European Union in a national referendum (Brexit). In March 2017, the government of the United Kingdom formally gave notice of its intent to withdraw from the European Union (EU). On January 31, 2020, the United Kingdom ceased to be a member state of the EU. EU law applicable to the United Kingdom continues to apply to and in the United Kingdom for the duration of a transition period which is presently scheduled to expire on December 31, 2020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40" w:right="33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t>“Transition Period”). During the Transition Period, the EU and the United Kingdom will negotiate the terms of their future relationship. There is no assurance that such negotiations will be successful and it is uncertain what, if any, laws similar to those of the EU will continue to apply in and to the United Kingdom following the expiration of the Transition Period. Since a significant proportion of the United Kingdom’s regulatory framework is derived from EU directives and regulations, EU law ceasing to apply in and to the United Kingdom following the expiration of the Transition Period could materially impact the regulatory regime with respect to the movement and approval of our products to and from the United Kingdom and EU. We could face new regulatory costs and challenges that could have a material adverse effect on our business, financial condition, cash flows and results of operations. Until expiration of the Transition Period and the future relationship between the EU and the United Kingdom is established, it is difficult to anticipate Brexit’s potential impact.</w:t>
      </w:r>
    </w:p>
    <w:p>
      <w:pPr>
        <w:spacing w:after="0" w:line="18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Cybersecurity threats continue to increase in frequency and sophistication; a successful cybersecurity attack could interrupt or disrupt our information technology systems or cause the loss of confidential or protected data which could disrupt our business, force us to incur excessive costs or cause reputational harm.</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32"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 activity during the three-month period ended April 30, 2020, was as follows: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2/1/20 - 2/29/20</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407,400,000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3/1/20 - 3/31/20</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2"/>
              <w:spacing w:after="0"/>
              <w:rPr>
                <w:sz w:val="20"/>
                <w:szCs w:val="20"/>
                <w:color w:val="auto"/>
              </w:rPr>
            </w:pPr>
            <w:r>
              <w:rPr>
                <w:rFonts w:ascii="Arial" w:cs="Arial" w:eastAsia="Arial" w:hAnsi="Arial"/>
                <w:sz w:val="18"/>
                <w:szCs w:val="18"/>
                <w:color w:val="auto"/>
              </w:rPr>
              <w:t>407,400,000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4/1/20 - 4/30/20</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160,850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296.88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160,850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359,700,000</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160,850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296.88</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160,850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transactions described in the table above represent the repurchase of the Company’s common stock on the New York Stock Exchange as part of the share repurchase program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fiscal 2020, we repurchased 160.8 thousand shares of the Company's common stock for $47.8 million, at an average purchase price of $296.88 per share. There was no share repurchase activity during the first quarter of fiscal 2020. There was no share repurchase activity during the six months ended April 30, 2019.</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At April 30, 2020, approximately $359.7 million remained authorized under the 2012 Share Repurchase Program.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9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40" w:type="dxa"/>
            <w:vAlign w:val="bottom"/>
            <w:gridSpan w:val="9"/>
          </w:tcPr>
          <w:p>
            <w:pPr>
              <w:ind w:left="1100"/>
              <w:spacing w:after="0"/>
              <w:rPr>
                <w:sz w:val="20"/>
                <w:szCs w:val="20"/>
                <w:color w:val="auto"/>
              </w:rPr>
            </w:pPr>
            <w:r>
              <w:rPr>
                <w:rFonts w:ascii="Arial" w:cs="Arial" w:eastAsia="Arial" w:hAnsi="Arial"/>
                <w:sz w:val="18"/>
                <w:szCs w:val="18"/>
                <w:color w:val="auto"/>
              </w:rPr>
              <w:t>THE COOPER COMPANIES, INC. AND SUBSIDIARIES</w:t>
            </w:r>
          </w:p>
        </w:tc>
      </w:tr>
      <w:tr>
        <w:trPr>
          <w:trHeight w:val="769"/>
        </w:trPr>
        <w:tc>
          <w:tcPr>
            <w:tcW w:w="152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4"/>
        </w:trPr>
        <w:tc>
          <w:tcPr>
            <w:tcW w:w="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1480" w:type="dxa"/>
            <w:vAlign w:val="bottom"/>
            <w:gridSpan w:val="3"/>
          </w:tcPr>
          <w:p>
            <w:pPr>
              <w:spacing w:after="0" w:line="190" w:lineRule="exact"/>
              <w:rPr>
                <w:sz w:val="20"/>
                <w:szCs w:val="20"/>
                <w:color w:val="auto"/>
              </w:rPr>
            </w:pPr>
            <w:r>
              <w:rPr>
                <w:rFonts w:ascii="Arial" w:cs="Arial" w:eastAsia="Arial" w:hAnsi="Arial"/>
                <w:sz w:val="18"/>
                <w:szCs w:val="18"/>
                <w:color w:val="auto"/>
              </w:rPr>
              <w:t>Number</w:t>
            </w:r>
          </w:p>
        </w:tc>
        <w:tc>
          <w:tcPr>
            <w:tcW w:w="8980" w:type="dxa"/>
            <w:vAlign w:val="bottom"/>
            <w:gridSpan w:val="10"/>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tcBorders>
              <w:bottom w:val="single" w:sz="8" w:color="0000FF"/>
            </w:tcBorders>
            <w:gridSpan w:val="7"/>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Revolving Credit and Term Loan Agreement, dated as of April 1, 2020, among the Company, CooperVision International</w:t>
              </w:r>
            </w:hyperlink>
          </w:p>
        </w:tc>
        <w:tc>
          <w:tcPr>
            <w:tcW w:w="24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80" w:type="dxa"/>
            <w:vAlign w:val="bottom"/>
            <w:gridSpan w:val="10"/>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Holding Company, LP, CooperSurgical Netherlands B.V., CooperVision Holding Kft., the lenders from time to time party</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tcBorders>
              <w:top w:val="single" w:sz="8" w:color="0000FF"/>
            </w:tcBorders>
            <w:gridSpan w:val="7"/>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thereto and KeyBank National Association, as administrative agent, incorporated by reference to Exhibit 10.1 to the</w:t>
              </w:r>
            </w:hyperlink>
          </w:p>
        </w:tc>
        <w:tc>
          <w:tcPr>
            <w:tcW w:w="24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Company’s Current Report on Form 8-K dated April 2, 2020.</w:t>
              </w:r>
            </w:hyperlink>
          </w:p>
        </w:tc>
        <w:tc>
          <w:tcPr>
            <w:tcW w:w="640" w:type="dxa"/>
            <w:vAlign w:val="bottom"/>
            <w:gridSpan w:val="5"/>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tcBorders>
              <w:bottom w:val="single" w:sz="8" w:color="0000FF"/>
            </w:tcBorders>
            <w:gridSpan w:val="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Amendment No. 2 to Loan Agreement, dated as of April 1, 2020, among the Company, the lenders party thereto, and PNC</w:t>
              </w:r>
            </w:hyperlink>
          </w:p>
        </w:tc>
        <w:tc>
          <w:tcPr>
            <w:tcW w:w="160" w:type="dxa"/>
            <w:vAlign w:val="bottom"/>
            <w:gridSpan w:val="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Bank, National Association, as administrative agent, incorporated by reference to Exhibit 10.2 to the Company’s Current</w:t>
              </w:r>
            </w:hyperlink>
          </w:p>
        </w:tc>
        <w:tc>
          <w:tcPr>
            <w:tcW w:w="28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80" w:type="dxa"/>
            <w:vAlign w:val="bottom"/>
            <w:gridSpan w:val="10"/>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Report on Form 8-K dated April 2, 2020.</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The Cooper Companies, Inc. 2020 Long-Term Incentive Plan for Non-Employee Directors, incorporated by reference to the</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Company's Proxy Statement filed February 4, 2020.</w:t>
              </w:r>
            </w:hyperlink>
          </w:p>
        </w:tc>
        <w:tc>
          <w:tcPr>
            <w:tcW w:w="6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r>
      <w:tr>
        <w:trPr>
          <w:trHeight w:val="628"/>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rFonts w:ascii="Arial" w:cs="Arial" w:eastAsia="Arial" w:hAnsi="Arial"/>
                <w:sz w:val="18"/>
                <w:szCs w:val="18"/>
                <w:u w:val="single" w:color="auto"/>
                <w:color w:val="0000FF"/>
                <w:w w:val="99"/>
              </w:rPr>
            </w:pPr>
            <w:hyperlink w:anchor="page50">
              <w:r>
                <w:rPr>
                  <w:rFonts w:ascii="Arial" w:cs="Arial" w:eastAsia="Arial" w:hAnsi="Arial"/>
                  <w:sz w:val="18"/>
                  <w:szCs w:val="18"/>
                  <w:u w:val="single" w:color="auto"/>
                  <w:color w:val="0000FF"/>
                  <w:w w:val="99"/>
                </w:rPr>
                <w:t>Certification of the Chief Executive Officer, pursuant to Rule 13a-14(a) under the Securities Exchange Act of 1934</w:t>
              </w:r>
            </w:hyperlink>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rFonts w:ascii="Arial" w:cs="Arial" w:eastAsia="Arial" w:hAnsi="Arial"/>
                <w:sz w:val="18"/>
                <w:szCs w:val="18"/>
                <w:u w:val="single" w:color="auto"/>
                <w:color w:val="0000FF"/>
                <w:w w:val="99"/>
              </w:rPr>
            </w:pPr>
            <w:hyperlink w:anchor="page51">
              <w:r>
                <w:rPr>
                  <w:rFonts w:ascii="Arial" w:cs="Arial" w:eastAsia="Arial" w:hAnsi="Arial"/>
                  <w:sz w:val="18"/>
                  <w:szCs w:val="18"/>
                  <w:u w:val="single" w:color="auto"/>
                  <w:color w:val="0000FF"/>
                  <w:w w:val="99"/>
                </w:rPr>
                <w:t>Certification of the Chief Financial Officer, pursuant to Rule 13a-14(a) under the Securities Exchange Act of 1934</w:t>
              </w:r>
            </w:hyperlink>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the Chief Executive Officer, pursuant to 18 U.S.C. Section 1350</w:t>
              </w:r>
            </w:hyperlink>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of the Chief Financial Officer, pursuant to 18 U.S.C. Section 1350</w:t>
              </w:r>
            </w:hyperlink>
          </w:p>
        </w:tc>
      </w:tr>
      <w:tr>
        <w:trPr>
          <w:trHeight w:val="485"/>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w w:val="95"/>
              </w:rPr>
              <w:t>The following materials from the Company's Quarterly Report on Form 10-Q for the three and six months period ended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w w:val="92"/>
              </w:rPr>
              <w:t>April 30, 2020 formatted in Inline XBRL (Extensible Business Reporting Language): (i) Consolidated Statements of Income</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w w:val="94"/>
              </w:rPr>
              <w:t>and Comprehensive Income, (ii) Consolidated Condensed Balance Sheets, (iii) Consolidated Condensed Statements of</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w w:val="97"/>
              </w:rPr>
              <w:t>Stockholders' Equity, (iv) Consolidated Condensed Statements of Cash Flows and (v) related Notes to Consolidated</w:t>
            </w: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rPr>
              <w:t>Condensed Financial Statements.</w:t>
            </w:r>
          </w:p>
        </w:tc>
      </w:tr>
      <w:tr>
        <w:trPr>
          <w:trHeight w:val="405"/>
        </w:trPr>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104.1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5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gridSpan w:val="4"/>
          </w:tcPr>
          <w:p>
            <w:pPr>
              <w:ind w:left="4020"/>
              <w:spacing w:after="0"/>
              <w:rPr>
                <w:sz w:val="20"/>
                <w:szCs w:val="20"/>
                <w:color w:val="auto"/>
              </w:rPr>
            </w:pPr>
            <w:r>
              <w:rPr>
                <w:rFonts w:ascii="Arial" w:cs="Arial" w:eastAsia="Arial" w:hAnsi="Arial"/>
                <w:sz w:val="18"/>
                <w:szCs w:val="18"/>
                <w:color w:val="auto"/>
              </w:rPr>
              <w:t>48</w:t>
            </w: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00"/>
          </w:cols>
          <w:pgMar w:left="320" w:top="391" w:right="10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12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Senior Vice President, Chief Financial Officer &amp; Treasurer</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12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4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340"/>
          </w:cols>
          <w:pgMar w:left="320" w:top="391" w:right="1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hanging="8"/>
        <w:spacing w:after="0" w:line="263" w:lineRule="auto"/>
        <w:tabs>
          <w:tab w:leader="none" w:pos="5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5, 2020</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31750</wp:posOffset>
            </wp:positionV>
            <wp:extent cx="2219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5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hanging="8"/>
        <w:spacing w:after="0" w:line="263" w:lineRule="auto"/>
        <w:tabs>
          <w:tab w:leader="none" w:pos="5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5, 2020</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31750</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April 30, 2020, as filed with the Securities and Exchange Commission (the “Report”), fully complies with the requirements of Section 13(a) or 15(d) of the Securities Exchange Act of 1934; and</w:t>
      </w:r>
    </w:p>
    <w:p>
      <w:pPr>
        <w:spacing w:after="0" w:line="185"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April 30, 2020, as filed with the Securities and Exchange Commission (the “Report”), fully complies with the requirements of Section 13(a) or 15(d) of the Securities Exchange Act of 1934; and</w:t>
      </w:r>
    </w:p>
    <w:p>
      <w:pPr>
        <w:spacing w:after="0" w:line="185"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amp;"/>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6" Type="http://schemas.openxmlformats.org/officeDocument/2006/relationships/hyperlink" Target="http://www.sec.gov/Archives/edgar/data/711404/000156459020014844/coo-ex101_8.htm" TargetMode="External"/><Relationship Id="rId17" Type="http://schemas.openxmlformats.org/officeDocument/2006/relationships/hyperlink" Target="http://www.sec.gov/Archives/edgar/data/711404/000156459020014844/coo-ex102_7.htm" TargetMode="External"/><Relationship Id="rId18" Type="http://schemas.openxmlformats.org/officeDocument/2006/relationships/hyperlink" Target="http://www.sec.gov/Archives/edgar/data/711404/000119312520024203/d873721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2020-06-05T15:25:28Z</dcterms:created>
  <dcterms:modified xsi:type="dcterms:W3CDTF">2020-06-05T15:25:28Z</dcterms:modified>
</cp:coreProperties>
</file>