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538" w:right="339" w:bottom="1440" w:gutter="0" w:footer="0" w:header="0"/>
        </w:sectPr>
      </w:pPr>
    </w:p>
    <w:p>
      <w:pPr>
        <w:spacing w:after="0" w:line="81"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24" w:lineRule="exact"/>
        <w:rPr>
          <w:sz w:val="24"/>
          <w:szCs w:val="24"/>
          <w:color w:val="auto"/>
        </w:rPr>
      </w:pPr>
    </w:p>
    <w:p>
      <w:pPr>
        <w:sectPr>
          <w:pgSz w:w="11900" w:h="16838" w:orient="portrait"/>
          <w:cols w:equalWidth="0" w:num="2">
            <w:col w:w="1360" w:space="720"/>
            <w:col w:w="9160"/>
          </w:cols>
          <w:pgMar w:left="320" w:top="53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April 30, 2026</w:t>
      </w:r>
    </w:p>
    <w:p>
      <w:pPr>
        <w:sectPr>
          <w:pgSz w:w="11900" w:h="16838" w:orient="portrait"/>
          <w:cols w:equalWidth="0" w:num="1">
            <w:col w:w="11240"/>
          </w:cols>
          <w:pgMar w:left="320" w:top="538" w:right="339" w:bottom="1440" w:gutter="0" w:footer="0" w:header="0"/>
          <w:type w:val="continuous"/>
        </w:sectPr>
      </w:pPr>
    </w:p>
    <w:p>
      <w:pPr>
        <w:spacing w:after="0" w:line="102"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1" w:lineRule="exact"/>
        <w:rPr>
          <w:sz w:val="24"/>
          <w:szCs w:val="24"/>
          <w:color w:val="auto"/>
        </w:rPr>
      </w:pPr>
    </w:p>
    <w:p>
      <w:pPr>
        <w:sectPr>
          <w:pgSz w:w="11900" w:h="16838" w:orient="portrait"/>
          <w:cols w:equalWidth="0" w:num="2">
            <w:col w:w="1360" w:space="720"/>
            <w:col w:w="9160"/>
          </w:cols>
          <w:pgMar w:left="320" w:top="538" w:right="33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sectPr>
          <w:pgSz w:w="11900" w:h="16838" w:orient="portrait"/>
          <w:cols w:equalWidth="0" w:num="2">
            <w:col w:w="6100" w:space="640"/>
            <w:col w:w="4500"/>
          </w:cols>
          <w:pgMar w:left="320" w:top="53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1-8597</w:t>
      </w:r>
    </w:p>
    <w:p>
      <w:pPr>
        <w:spacing w:after="0" w:line="6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538" w:right="339" w:bottom="1440" w:gutter="0" w:footer="0" w:header="0"/>
          <w:type w:val="continuous"/>
        </w:sectPr>
      </w:pPr>
    </w:p>
    <w:p>
      <w:pPr>
        <w:spacing w:after="0" w:line="17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94-2657368</w:t>
      </w:r>
    </w:p>
    <w:p>
      <w:pPr>
        <w:spacing w:after="0" w:line="37" w:lineRule="exact"/>
        <w:rPr>
          <w:sz w:val="24"/>
          <w:szCs w:val="24"/>
          <w:color w:val="auto"/>
        </w:rPr>
      </w:pPr>
    </w:p>
    <w:p>
      <w:pPr>
        <w:sectPr>
          <w:pgSz w:w="11900" w:h="16838" w:orient="portrait"/>
          <w:cols w:equalWidth="0" w:num="2">
            <w:col w:w="7480" w:space="720"/>
            <w:col w:w="3040"/>
          </w:cols>
          <w:pgMar w:left="320" w:top="538" w:right="33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2">
            <w:col w:w="7360" w:space="720"/>
            <w:col w:w="3160"/>
          </w:cols>
          <w:pgMar w:left="320" w:top="53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6101 Bollinger Canyon Road, Suite 500,</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Ramon, California 94583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(925) 460-3600</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$0.10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1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right="1660"/>
        <w:spacing w:after="0" w:line="27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June 1, 2026, </w:t>
      </w:r>
      <w:r>
        <w:rPr>
          <w:rFonts w:ascii="Times New Roman" w:cs="Times New Roman" w:eastAsia="Times New Roman" w:hAnsi="Times New Roman"/>
          <w:sz w:val="17"/>
          <w:szCs w:val="17"/>
          <w:color w:val="auto"/>
        </w:rPr>
        <w:t>195,030,630</w:t>
      </w:r>
      <w:r>
        <w:rPr>
          <w:rFonts w:ascii="Times New Roman" w:cs="Times New Roman" w:eastAsia="Times New Roman" w:hAnsi="Times New Roman"/>
          <w:sz w:val="18"/>
          <w:szCs w:val="18"/>
          <w:color w:val="auto"/>
        </w:rPr>
        <w:t xml:space="preserve">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type w:val="continuous"/>
        </w:sectPr>
      </w:pPr>
    </w:p>
    <w:bookmarkStart w:id="1" w:name="page2"/>
    <w:bookmarkEnd w:id="1"/>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rPr>
              <w:t>INDEX</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73"/>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7"/>
                <w:szCs w:val="17"/>
                <w:color w:val="auto"/>
              </w:rPr>
              <w:t>Page No.</w:t>
            </w:r>
          </w:p>
        </w:tc>
      </w:tr>
      <w:tr>
        <w:trPr>
          <w:trHeight w:val="162"/>
        </w:trPr>
        <w:tc>
          <w:tcPr>
            <w:tcW w:w="1320" w:type="dxa"/>
            <w:vAlign w:val="bottom"/>
            <w:gridSpan w:val="3"/>
          </w:tcPr>
          <w:p>
            <w:pPr>
              <w:spacing w:after="0" w:line="162" w:lineRule="exact"/>
              <w:rPr>
                <w:sz w:val="20"/>
                <w:szCs w:val="20"/>
                <w:color w:val="auto"/>
              </w:rPr>
            </w:pPr>
            <w:r>
              <w:rPr>
                <w:rFonts w:ascii="Times New Roman" w:cs="Times New Roman" w:eastAsia="Times New Roman" w:hAnsi="Times New Roman"/>
                <w:sz w:val="17"/>
                <w:szCs w:val="17"/>
                <w:color w:val="auto"/>
              </w:rPr>
              <w:t>PART I.</w:t>
            </w:r>
          </w:p>
        </w:tc>
        <w:tc>
          <w:tcPr>
            <w:tcW w:w="2140" w:type="dxa"/>
            <w:vAlign w:val="bottom"/>
            <w:tcBorders>
              <w:bottom w:val="single" w:sz="8" w:color="0000FF"/>
            </w:tcBorders>
            <w:gridSpan w:val="7"/>
          </w:tcPr>
          <w:p>
            <w:pPr>
              <w:spacing w:after="0" w:line="162" w:lineRule="exact"/>
              <w:rPr>
                <w:sz w:val="20"/>
                <w:szCs w:val="20"/>
                <w:color w:val="auto"/>
              </w:rPr>
            </w:pPr>
            <w:r>
              <w:rPr>
                <w:rFonts w:ascii="Times New Roman" w:cs="Times New Roman" w:eastAsia="Times New Roman" w:hAnsi="Times New Roman"/>
                <w:sz w:val="17"/>
                <w:szCs w:val="17"/>
                <w:color w:val="0000FF"/>
                <w:w w:val="98"/>
              </w:rPr>
              <w:t>FINANCIAL INFORMATION</w:t>
            </w:r>
          </w:p>
        </w:tc>
        <w:tc>
          <w:tcPr>
            <w:tcW w:w="6160" w:type="dxa"/>
            <w:vAlign w:val="bottom"/>
            <w:gridSpan w:val="10"/>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w w:val="99"/>
              </w:rPr>
              <w:t>Unaudited Financial Statements</w:t>
            </w:r>
          </w:p>
        </w:tc>
        <w:tc>
          <w:tcPr>
            <w:tcW w:w="6100" w:type="dxa"/>
            <w:vAlign w:val="bottom"/>
            <w:gridSpan w:val="9"/>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Consolidated Condensed Statements of Income (Loss) and Comprehensive Income (Loss)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80" w:type="dxa"/>
            <w:vAlign w:val="bottom"/>
            <w:tcBorders>
              <w:left w:val="single" w:sz="8" w:color="0000FF"/>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Consolidated Condensed Balance Sheets</w:t>
            </w: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Condensed Statements of Stockholders' Equity</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Consolidated Condensed Statements of Cash Flows</w:t>
            </w:r>
          </w:p>
        </w:tc>
        <w:tc>
          <w:tcPr>
            <w:tcW w:w="4040" w:type="dxa"/>
            <w:vAlign w:val="bottom"/>
            <w:gridSpan w:val="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Notes to Consolidated Condensed Financial Statements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3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18</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612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 About Market Risk</w:t>
            </w: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Controls and Procedures</w:t>
            </w:r>
          </w:p>
        </w:tc>
        <w:tc>
          <w:tcPr>
            <w:tcW w:w="2380" w:type="dxa"/>
            <w:vAlign w:val="bottom"/>
            <w:gridSpan w:val="7"/>
          </w:tcPr>
          <w:p>
            <w:pPr>
              <w:spacing w:after="0"/>
              <w:rPr>
                <w:sz w:val="24"/>
                <w:szCs w:val="24"/>
                <w:color w:val="auto"/>
              </w:rPr>
            </w:pPr>
          </w:p>
        </w:tc>
        <w:tc>
          <w:tcPr>
            <w:tcW w:w="4240" w:type="dxa"/>
            <w:vAlign w:val="bottom"/>
            <w:gridSpan w:val="5"/>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PART II.</w:t>
            </w:r>
          </w:p>
        </w:tc>
        <w:tc>
          <w:tcPr>
            <w:tcW w:w="83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7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6520" w:type="dxa"/>
            <w:vAlign w:val="bottom"/>
            <w:gridSpan w:val="11"/>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8"/>
              </w:rPr>
              <w:t>Risk Factors</w:t>
            </w:r>
          </w:p>
        </w:tc>
        <w:tc>
          <w:tcPr>
            <w:tcW w:w="380" w:type="dxa"/>
            <w:vAlign w:val="bottom"/>
          </w:tcPr>
          <w:p>
            <w:pPr>
              <w:spacing w:after="0"/>
              <w:rPr>
                <w:sz w:val="24"/>
                <w:szCs w:val="24"/>
                <w:color w:val="auto"/>
              </w:rPr>
            </w:pPr>
          </w:p>
        </w:tc>
        <w:tc>
          <w:tcPr>
            <w:tcW w:w="706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83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41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4180" w:type="dxa"/>
            <w:vAlign w:val="bottom"/>
            <w:gridSpan w:val="4"/>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Mine Safety Disclosures</w:t>
            </w:r>
          </w:p>
        </w:tc>
        <w:tc>
          <w:tcPr>
            <w:tcW w:w="520" w:type="dxa"/>
            <w:vAlign w:val="bottom"/>
            <w:gridSpan w:val="3"/>
          </w:tcPr>
          <w:p>
            <w:pPr>
              <w:spacing w:after="0"/>
              <w:rPr>
                <w:sz w:val="24"/>
                <w:szCs w:val="24"/>
                <w:color w:val="auto"/>
              </w:rPr>
            </w:pPr>
          </w:p>
        </w:tc>
        <w:tc>
          <w:tcPr>
            <w:tcW w:w="6100" w:type="dxa"/>
            <w:vAlign w:val="bottom"/>
            <w:gridSpan w:val="9"/>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6620" w:type="dxa"/>
            <w:vAlign w:val="bottom"/>
            <w:gridSpan w:val="1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16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620" w:type="dxa"/>
            <w:vAlign w:val="bottom"/>
            <w:gridSpan w:val="12"/>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060" w:type="dxa"/>
            <w:vAlign w:val="bottom"/>
            <w:gridSpan w:val="13"/>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35</w:t>
            </w:r>
          </w:p>
        </w:tc>
        <w:tc>
          <w:tcPr>
            <w:tcW w:w="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Item 1. Unaudited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Income (Loss) and Comprehensive Income (Loss)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except per share amounts)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1,081.5</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1,967.0</w:t>
            </w:r>
          </w:p>
        </w:tc>
        <w:tc>
          <w:tcPr>
            <w:tcW w:w="0" w:type="dxa"/>
            <w:vAlign w:val="bottom"/>
          </w:tcPr>
          <w:p>
            <w:pPr>
              <w:spacing w:after="0"/>
              <w:rPr>
                <w:sz w:val="1"/>
                <w:szCs w:val="1"/>
                <w:color w:val="auto"/>
              </w:rPr>
            </w:pPr>
          </w:p>
        </w:tc>
      </w:tr>
      <w:tr>
        <w:trPr>
          <w:trHeight w:val="22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346.1</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675.0</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627.7</w:t>
            </w:r>
          </w:p>
        </w:tc>
        <w:tc>
          <w:tcPr>
            <w:tcW w:w="0" w:type="dxa"/>
            <w:vAlign w:val="bottom"/>
          </w:tcPr>
          <w:p>
            <w:pPr>
              <w:spacing w:after="0"/>
              <w:rPr>
                <w:sz w:val="1"/>
                <w:szCs w:val="1"/>
                <w:color w:val="auto"/>
              </w:rPr>
            </w:pP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1,339.3</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0" w:type="dxa"/>
            <w:vAlign w:val="bottom"/>
          </w:tcPr>
          <w:p>
            <w:pPr>
              <w:spacing w:after="0"/>
              <w:rPr>
                <w:sz w:val="1"/>
                <w:szCs w:val="1"/>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26"/>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0" w:type="dxa"/>
            <w:vAlign w:val="bottom"/>
          </w:tcPr>
          <w:p>
            <w:pPr>
              <w:spacing w:after="0"/>
              <w:rPr>
                <w:sz w:val="1"/>
                <w:szCs w:val="1"/>
                <w:color w:val="auto"/>
              </w:rPr>
            </w:pPr>
          </w:p>
        </w:tc>
      </w:tr>
      <w:tr>
        <w:trPr>
          <w:trHeight w:val="22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 (loss)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0" w:type="dxa"/>
            <w:vAlign w:val="bottom"/>
          </w:tcPr>
          <w:p>
            <w:pPr>
              <w:spacing w:after="0"/>
              <w:rPr>
                <w:sz w:val="1"/>
                <w:szCs w:val="1"/>
                <w:color w:val="auto"/>
              </w:rPr>
            </w:pPr>
          </w:p>
        </w:tc>
      </w:tr>
      <w:tr>
        <w:trPr>
          <w:trHeight w:val="22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9"/>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0" w:type="dxa"/>
            <w:vAlign w:val="bottom"/>
          </w:tcPr>
          <w:p>
            <w:pPr>
              <w:spacing w:after="0"/>
              <w:rPr>
                <w:sz w:val="1"/>
                <w:szCs w:val="1"/>
                <w:color w:val="auto"/>
              </w:rPr>
            </w:pPr>
          </w:p>
        </w:tc>
      </w:tr>
      <w:tr>
        <w:trPr>
          <w:trHeight w:val="23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income taxes (Note 5)</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60" w:type="dxa"/>
            <w:vAlign w:val="bottom"/>
          </w:tcPr>
          <w:p>
            <w:pPr>
              <w:spacing w:after="0"/>
              <w:rPr>
                <w:sz w:val="17"/>
                <w:szCs w:val="17"/>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(loss) per share (Note 6):</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Number of shares used to compute earnings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1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5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Diluted</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Cash flow hedges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6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6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0" w:type="dxa"/>
            <w:vAlign w:val="bottom"/>
          </w:tcPr>
          <w:p>
            <w:pPr>
              <w:spacing w:after="0"/>
              <w:rPr>
                <w:sz w:val="1"/>
                <w:szCs w:val="1"/>
                <w:color w:val="auto"/>
              </w:rPr>
            </w:pPr>
          </w:p>
        </w:tc>
      </w:tr>
      <w:tr>
        <w:trPr>
          <w:trHeight w:val="233"/>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6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6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6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Condensed Balance Sheets</w:t>
            </w: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except per share data)</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7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200" w:type="dxa"/>
            <w:vAlign w:val="bottom"/>
          </w:tcPr>
          <w:p>
            <w:pPr>
              <w:spacing w:after="0"/>
              <w:rPr>
                <w:sz w:val="21"/>
                <w:szCs w:val="21"/>
                <w:color w:val="auto"/>
              </w:rPr>
            </w:pPr>
          </w:p>
        </w:tc>
        <w:tc>
          <w:tcPr>
            <w:tcW w:w="166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0" w:type="dxa"/>
            <w:vAlign w:val="bottom"/>
          </w:tcPr>
          <w:p>
            <w:pPr>
              <w:spacing w:after="0"/>
              <w:rPr>
                <w:sz w:val="1"/>
                <w:szCs w:val="1"/>
                <w:color w:val="auto"/>
              </w:rPr>
            </w:pPr>
          </w:p>
        </w:tc>
      </w:tr>
      <w:tr>
        <w:trPr>
          <w:trHeight w:val="216"/>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0" w:type="dxa"/>
            <w:vAlign w:val="bottom"/>
          </w:tcPr>
          <w:p>
            <w:pPr>
              <w:spacing w:after="0"/>
              <w:rPr>
                <w:sz w:val="1"/>
                <w:szCs w:val="1"/>
                <w:color w:val="auto"/>
              </w:rPr>
            </w:pPr>
          </w:p>
        </w:tc>
      </w:tr>
      <w:tr>
        <w:trPr>
          <w:trHeight w:val="162"/>
        </w:trPr>
        <w:tc>
          <w:tcPr>
            <w:tcW w:w="7400" w:type="dxa"/>
            <w:vAlign w:val="bottom"/>
          </w:tcPr>
          <w:p>
            <w:pPr>
              <w:ind w:left="360"/>
              <w:spacing w:after="0" w:line="162" w:lineRule="exact"/>
              <w:rPr>
                <w:sz w:val="20"/>
                <w:szCs w:val="20"/>
                <w:color w:val="auto"/>
              </w:rPr>
            </w:pPr>
            <w:r>
              <w:rPr>
                <w:rFonts w:ascii="Times New Roman" w:cs="Times New Roman" w:eastAsia="Times New Roman" w:hAnsi="Times New Roman"/>
                <w:sz w:val="17"/>
                <w:szCs w:val="17"/>
                <w:color w:val="auto"/>
              </w:rPr>
              <w:t>Trade accounts receivable, net of allowance for credit losses of $69.1 at April 30, 2026, and $51.9 at</w:t>
            </w:r>
          </w:p>
        </w:tc>
        <w:tc>
          <w:tcPr>
            <w:tcW w:w="2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809.2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829.0</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October 31, 2025</w:t>
            </w: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Inventories (Note 2)</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846.0</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Prepaid expense and other current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2,106.4</w:t>
            </w:r>
          </w:p>
        </w:tc>
        <w:tc>
          <w:tcPr>
            <w:tcW w:w="0" w:type="dxa"/>
            <w:vAlign w:val="bottom"/>
          </w:tcPr>
          <w:p>
            <w:pPr>
              <w:spacing w:after="0"/>
              <w:rPr>
                <w:sz w:val="1"/>
                <w:szCs w:val="1"/>
                <w:color w:val="auto"/>
              </w:rPr>
            </w:pP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2,082.0</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3,888.5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3,853.4</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intangibles, net (Note 3)</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1,586.3</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2,077.5</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689.2</w:t>
            </w:r>
          </w:p>
        </w:tc>
        <w:tc>
          <w:tcPr>
            <w:tcW w:w="0" w:type="dxa"/>
            <w:vAlign w:val="bottom"/>
          </w:tcPr>
          <w:p>
            <w:pPr>
              <w:spacing w:after="0"/>
              <w:rPr>
                <w:sz w:val="1"/>
                <w:szCs w:val="1"/>
                <w:color w:val="auto"/>
              </w:rPr>
            </w:pPr>
          </w:p>
        </w:tc>
      </w:tr>
      <w:tr>
        <w:trPr>
          <w:trHeight w:val="252"/>
        </w:trPr>
        <w:tc>
          <w:tcPr>
            <w:tcW w:w="7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12,394.8</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4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Short-term debt (Note 4)</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598.9</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revenue (Note 2)</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litigation liability (Note 9)</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425.4</w:t>
            </w:r>
          </w:p>
        </w:tc>
        <w:tc>
          <w:tcPr>
            <w:tcW w:w="0" w:type="dxa"/>
            <w:vAlign w:val="bottom"/>
          </w:tcPr>
          <w:p>
            <w:pPr>
              <w:spacing w:after="0"/>
              <w:rPr>
                <w:sz w:val="1"/>
                <w:szCs w:val="1"/>
                <w:color w:val="auto"/>
              </w:rPr>
            </w:pPr>
          </w:p>
        </w:tc>
      </w:tr>
      <w:tr>
        <w:trPr>
          <w:trHeight w:val="219"/>
        </w:trPr>
        <w:tc>
          <w:tcPr>
            <w:tcW w:w="74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(Note 4)</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2,457.5</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tax payable</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4,155.7</w:t>
            </w:r>
          </w:p>
        </w:tc>
        <w:tc>
          <w:tcPr>
            <w:tcW w:w="0" w:type="dxa"/>
            <w:vAlign w:val="bottom"/>
          </w:tcPr>
          <w:p>
            <w:pPr>
              <w:spacing w:after="0"/>
              <w:rPr>
                <w:sz w:val="1"/>
                <w:szCs w:val="1"/>
                <w:color w:val="auto"/>
              </w:rPr>
            </w:pPr>
          </w:p>
        </w:tc>
      </w:tr>
      <w:tr>
        <w:trPr>
          <w:trHeight w:val="21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Contingencies and commitments (Note 9)</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Preferred stock, $0.10 par value, 1.0 shares authorized, zero shares issued or outstanding</w:t>
            </w:r>
          </w:p>
        </w:tc>
        <w:tc>
          <w:tcPr>
            <w:tcW w:w="2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2"/>
        </w:trPr>
        <w:tc>
          <w:tcPr>
            <w:tcW w:w="7400" w:type="dxa"/>
            <w:vAlign w:val="bottom"/>
          </w:tcPr>
          <w:p>
            <w:pPr>
              <w:ind w:left="360"/>
              <w:spacing w:after="0" w:line="162" w:lineRule="exact"/>
              <w:rPr>
                <w:sz w:val="20"/>
                <w:szCs w:val="20"/>
                <w:color w:val="auto"/>
              </w:rPr>
            </w:pPr>
            <w:r>
              <w:rPr>
                <w:rFonts w:ascii="Times New Roman" w:cs="Times New Roman" w:eastAsia="Times New Roman" w:hAnsi="Times New Roman"/>
                <w:sz w:val="17"/>
                <w:szCs w:val="17"/>
                <w:color w:val="auto"/>
              </w:rPr>
              <w:t>Common stock, $0.10 par value, 480.0 shares authorized, 217.9 issued and 194.9 outstanding at</w:t>
            </w:r>
          </w:p>
        </w:tc>
        <w:tc>
          <w:tcPr>
            <w:tcW w:w="2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April 30, 2026, and 217.6 issued and 195.9 outstanding at October 31, 2025</w:t>
            </w:r>
          </w:p>
        </w:tc>
        <w:tc>
          <w:tcPr>
            <w:tcW w:w="2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1,975.5</w:t>
            </w:r>
          </w:p>
        </w:tc>
        <w:tc>
          <w:tcPr>
            <w:tcW w:w="0" w:type="dxa"/>
            <w:vAlign w:val="bottom"/>
          </w:tcPr>
          <w:p>
            <w:pPr>
              <w:spacing w:after="0"/>
              <w:rPr>
                <w:sz w:val="1"/>
                <w:szCs w:val="1"/>
                <w:color w:val="auto"/>
              </w:rPr>
            </w:pPr>
          </w:p>
        </w:tc>
      </w:tr>
      <w:tr>
        <w:trPr>
          <w:trHeight w:val="226"/>
        </w:trPr>
        <w:tc>
          <w:tcPr>
            <w:tcW w:w="74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0" w:type="dxa"/>
            <w:vAlign w:val="bottom"/>
          </w:tcPr>
          <w:p>
            <w:pPr>
              <w:spacing w:after="0"/>
              <w:rPr>
                <w:sz w:val="1"/>
                <w:szCs w:val="1"/>
                <w:color w:val="auto"/>
              </w:rPr>
            </w:pPr>
          </w:p>
        </w:tc>
      </w:tr>
      <w:tr>
        <w:trPr>
          <w:trHeight w:val="23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7,696.2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7,643.3</w:t>
            </w:r>
          </w:p>
        </w:tc>
        <w:tc>
          <w:tcPr>
            <w:tcW w:w="0" w:type="dxa"/>
            <w:vAlign w:val="bottom"/>
          </w:tcPr>
          <w:p>
            <w:pPr>
              <w:spacing w:after="0"/>
              <w:rPr>
                <w:sz w:val="1"/>
                <w:szCs w:val="1"/>
                <w:color w:val="auto"/>
              </w:rPr>
            </w:pPr>
          </w:p>
        </w:tc>
      </w:tr>
      <w:tr>
        <w:trPr>
          <w:trHeight w:val="226"/>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Treasury stock at cost: 23.0 shares at April 30, 2026, and 21.7 shares at October 31, 2025</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(1,098.5)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0" w:type="dxa"/>
            <w:vAlign w:val="bottom"/>
          </w:tcPr>
          <w:p>
            <w:pPr>
              <w:spacing w:after="0"/>
              <w:rPr>
                <w:sz w:val="1"/>
                <w:szCs w:val="1"/>
                <w:color w:val="auto"/>
              </w:rPr>
            </w:pPr>
          </w:p>
        </w:tc>
      </w:tr>
      <w:tr>
        <w:trPr>
          <w:trHeight w:val="227"/>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Cooper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8,238.9</w:t>
            </w:r>
          </w:p>
        </w:tc>
        <w:tc>
          <w:tcPr>
            <w:tcW w:w="0" w:type="dxa"/>
            <w:vAlign w:val="bottom"/>
          </w:tcPr>
          <w:p>
            <w:pPr>
              <w:spacing w:after="0"/>
              <w:rPr>
                <w:sz w:val="1"/>
                <w:szCs w:val="1"/>
                <w:color w:val="auto"/>
              </w:rPr>
            </w:pPr>
          </w:p>
        </w:tc>
      </w:tr>
      <w:tr>
        <w:trPr>
          <w:trHeight w:val="219"/>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Stockholders’ equity (Note 8)</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8,239.1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8,239.1</w:t>
            </w:r>
          </w:p>
        </w:tc>
        <w:tc>
          <w:tcPr>
            <w:tcW w:w="0" w:type="dxa"/>
            <w:vAlign w:val="bottom"/>
          </w:tcPr>
          <w:p>
            <w:pPr>
              <w:spacing w:after="0"/>
              <w:rPr>
                <w:sz w:val="1"/>
                <w:szCs w:val="1"/>
                <w:color w:val="auto"/>
              </w:rPr>
            </w:pPr>
          </w:p>
        </w:tc>
      </w:tr>
      <w:tr>
        <w:trPr>
          <w:trHeight w:val="227"/>
        </w:trPr>
        <w:tc>
          <w:tcPr>
            <w:tcW w:w="74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12,482.3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12,394.8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6"/>
        </w:trPr>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gridSpan w:val="14"/>
          </w:tcPr>
          <w:p>
            <w:pPr>
              <w:ind w:left="40"/>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6"/>
        </w:trPr>
        <w:tc>
          <w:tcPr>
            <w:tcW w:w="448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9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8"/>
        </w:trPr>
        <w:tc>
          <w:tcPr>
            <w:tcW w:w="1980" w:type="dxa"/>
            <w:vAlign w:val="bottom"/>
          </w:tcPr>
          <w:p>
            <w:pPr>
              <w:spacing w:after="0"/>
              <w:rPr>
                <w:sz w:val="24"/>
                <w:szCs w:val="24"/>
                <w:color w:val="auto"/>
              </w:rPr>
            </w:pP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Common Shares</w:t>
            </w:r>
          </w:p>
        </w:tc>
        <w:tc>
          <w:tcPr>
            <w:tcW w:w="148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restart"/>
          </w:tcPr>
          <w:p>
            <w:pPr>
              <w:jc w:val="center"/>
              <w:ind w:right="100"/>
              <w:spacing w:after="0" w:line="150"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5"/>
                <w:szCs w:val="5"/>
                <w:color w:val="auto"/>
              </w:rPr>
            </w:pPr>
          </w:p>
        </w:tc>
        <w:tc>
          <w:tcPr>
            <w:tcW w:w="1200" w:type="dxa"/>
            <w:vAlign w:val="bottom"/>
            <w:gridSpan w:val="2"/>
            <w:vMerge w:val="restart"/>
          </w:tcPr>
          <w:p>
            <w:pPr>
              <w:jc w:val="center"/>
              <w:ind w:right="200"/>
              <w:spacing w:after="0" w:line="150" w:lineRule="exact"/>
              <w:rPr>
                <w:sz w:val="20"/>
                <w:szCs w:val="20"/>
                <w:color w:val="auto"/>
              </w:rPr>
            </w:pPr>
            <w:r>
              <w:rPr>
                <w:rFonts w:ascii="Times New Roman" w:cs="Times New Roman" w:eastAsia="Times New Roman" w:hAnsi="Times New Roman"/>
                <w:sz w:val="17"/>
                <w:szCs w:val="17"/>
                <w:b w:val="1"/>
                <w:bCs w:val="1"/>
                <w:color w:val="auto"/>
              </w:rPr>
              <w:t>Other</w:t>
            </w:r>
          </w:p>
        </w:tc>
        <w:tc>
          <w:tcPr>
            <w:tcW w:w="8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200" w:type="dxa"/>
            <w:vAlign w:val="bottom"/>
          </w:tcPr>
          <w:p>
            <w:pPr>
              <w:spacing w:after="0"/>
              <w:rPr>
                <w:sz w:val="5"/>
                <w:szCs w:val="5"/>
                <w:color w:val="auto"/>
              </w:rPr>
            </w:pPr>
          </w:p>
        </w:tc>
        <w:tc>
          <w:tcPr>
            <w:tcW w:w="900" w:type="dxa"/>
            <w:vAlign w:val="bottom"/>
            <w:vMerge w:val="restart"/>
          </w:tcPr>
          <w:p>
            <w:pPr>
              <w:jc w:val="center"/>
              <w:ind w:right="115"/>
              <w:spacing w:after="0" w:line="150"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2"/>
        </w:trPr>
        <w:tc>
          <w:tcPr>
            <w:tcW w:w="19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98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1320" w:type="dxa"/>
            <w:vAlign w:val="bottom"/>
            <w:gridSpan w:val="3"/>
          </w:tcPr>
          <w:p>
            <w:pPr>
              <w:ind w:left="40"/>
              <w:spacing w:after="0" w:line="17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860" w:type="dxa"/>
            <w:vAlign w:val="bottom"/>
            <w:gridSpan w:val="3"/>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198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760" w:type="dxa"/>
            <w:vAlign w:val="bottom"/>
            <w:gridSpan w:val="3"/>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Loss</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4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20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200" w:type="dxa"/>
            <w:vAlign w:val="bottom"/>
          </w:tcPr>
          <w:p>
            <w:pPr>
              <w:spacing w:after="0"/>
              <w:rPr>
                <w:sz w:val="19"/>
                <w:szCs w:val="19"/>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48"/>
        </w:trPr>
        <w:tc>
          <w:tcPr>
            <w:tcW w:w="198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Balance at October 31,</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vMerge w:val="restart"/>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7,268.4</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(706.0)</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8,083.6</w:t>
            </w:r>
          </w:p>
        </w:tc>
        <w:tc>
          <w:tcPr>
            <w:tcW w:w="0" w:type="dxa"/>
            <w:vAlign w:val="bottom"/>
          </w:tcPr>
          <w:p>
            <w:pPr>
              <w:spacing w:after="0"/>
              <w:rPr>
                <w:sz w:val="1"/>
                <w:szCs w:val="1"/>
                <w:color w:val="auto"/>
              </w:rPr>
            </w:pPr>
          </w:p>
        </w:tc>
      </w:tr>
      <w:tr>
        <w:trPr>
          <w:trHeight w:val="22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Other comprehensive</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0" w:type="dxa"/>
            <w:vAlign w:val="bottom"/>
          </w:tcPr>
          <w:p>
            <w:pPr>
              <w:spacing w:after="0"/>
              <w:rPr>
                <w:sz w:val="1"/>
                <w:szCs w:val="1"/>
                <w:color w:val="auto"/>
              </w:rPr>
            </w:pPr>
          </w:p>
        </w:tc>
      </w:tr>
      <w:tr>
        <w:trPr>
          <w:trHeight w:val="224"/>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net of tax</w:t>
            </w:r>
          </w:p>
        </w:tc>
        <w:tc>
          <w:tcPr>
            <w:tcW w:w="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for stock plans, net and</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employee stock purchase</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6"/>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Share-based compensation</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January 31, 2025</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1,928.3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8,127.5</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Other comprehensive</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0" w:type="dxa"/>
            <w:vAlign w:val="bottom"/>
          </w:tcPr>
          <w:p>
            <w:pPr>
              <w:spacing w:after="0"/>
              <w:rPr>
                <w:sz w:val="1"/>
                <w:szCs w:val="1"/>
                <w:color w:val="auto"/>
              </w:rPr>
            </w:pPr>
          </w:p>
        </w:tc>
      </w:tr>
      <w:tr>
        <w:trPr>
          <w:trHeight w:val="223"/>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net of tax</w:t>
            </w: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Issuance of common stock</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for stock plans, net and</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employee stock purchase</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4"/>
                <w:szCs w:val="14"/>
                <w:color w:val="auto"/>
              </w:rPr>
            </w:pPr>
          </w:p>
        </w:tc>
        <w:tc>
          <w:tcPr>
            <w:tcW w:w="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9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Share-based compensation</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4"/>
                <w:szCs w:val="14"/>
                <w:color w:val="auto"/>
              </w:rPr>
            </w:pP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0" w:type="dxa"/>
            <w:vAlign w:val="bottom"/>
          </w:tcPr>
          <w:p>
            <w:pPr>
              <w:spacing w:after="0"/>
              <w:rPr>
                <w:sz w:val="1"/>
                <w:szCs w:val="1"/>
                <w:color w:val="auto"/>
              </w:rPr>
            </w:pPr>
          </w:p>
        </w:tc>
      </w:tr>
      <w:tr>
        <w:trPr>
          <w:trHeight w:val="223"/>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repurchase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April 30, 2025</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1,942.7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7,460.4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8,288.1</w:t>
            </w:r>
          </w:p>
        </w:tc>
        <w:tc>
          <w:tcPr>
            <w:tcW w:w="0" w:type="dxa"/>
            <w:vAlign w:val="bottom"/>
          </w:tcPr>
          <w:p>
            <w:pPr>
              <w:spacing w:after="0"/>
              <w:rPr>
                <w:sz w:val="1"/>
                <w:szCs w:val="1"/>
                <w:color w:val="auto"/>
              </w:rPr>
            </w:pPr>
          </w:p>
        </w:tc>
      </w:tr>
      <w:tr>
        <w:trPr>
          <w:trHeight w:val="21"/>
        </w:trPr>
        <w:tc>
          <w:tcPr>
            <w:tcW w:w="1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Stockholders' Equity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960" w:type="dxa"/>
            <w:vAlign w:val="bottom"/>
          </w:tcPr>
          <w:p>
            <w:pPr>
              <w:spacing w:after="0"/>
              <w:rPr>
                <w:sz w:val="17"/>
                <w:szCs w:val="17"/>
                <w:color w:val="auto"/>
              </w:rPr>
            </w:pPr>
          </w:p>
        </w:tc>
        <w:tc>
          <w:tcPr>
            <w:tcW w:w="1440" w:type="dxa"/>
            <w:vAlign w:val="bottom"/>
            <w:gridSpan w:val="5"/>
          </w:tcPr>
          <w:p>
            <w:pPr>
              <w:ind w:left="80"/>
              <w:spacing w:after="0"/>
              <w:rPr>
                <w:sz w:val="20"/>
                <w:szCs w:val="20"/>
                <w:color w:val="auto"/>
              </w:rPr>
            </w:pPr>
            <w:r>
              <w:rPr>
                <w:rFonts w:ascii="Times New Roman" w:cs="Times New Roman" w:eastAsia="Times New Roman" w:hAnsi="Times New Roman"/>
                <w:sz w:val="17"/>
                <w:szCs w:val="17"/>
                <w:b w:val="1"/>
                <w:bCs w:val="1"/>
                <w:color w:val="auto"/>
              </w:rPr>
              <w:t>Common Shares</w:t>
            </w:r>
          </w:p>
        </w:tc>
        <w:tc>
          <w:tcPr>
            <w:tcW w:w="14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Treasury Stock</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restart"/>
          </w:tcPr>
          <w:p>
            <w:pPr>
              <w:jc w:val="center"/>
              <w:ind w:right="80"/>
              <w:spacing w:after="0" w:line="150"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5"/>
                <w:szCs w:val="5"/>
                <w:color w:val="auto"/>
              </w:rPr>
            </w:pPr>
          </w:p>
        </w:tc>
        <w:tc>
          <w:tcPr>
            <w:tcW w:w="1180" w:type="dxa"/>
            <w:vAlign w:val="bottom"/>
            <w:gridSpan w:val="2"/>
            <w:vMerge w:val="restart"/>
          </w:tcPr>
          <w:p>
            <w:pPr>
              <w:jc w:val="center"/>
              <w:ind w:right="220"/>
              <w:spacing w:after="0" w:line="150" w:lineRule="exact"/>
              <w:rPr>
                <w:sz w:val="20"/>
                <w:szCs w:val="20"/>
                <w:color w:val="auto"/>
              </w:rPr>
            </w:pPr>
            <w:r>
              <w:rPr>
                <w:rFonts w:ascii="Times New Roman" w:cs="Times New Roman" w:eastAsia="Times New Roman" w:hAnsi="Times New Roman"/>
                <w:sz w:val="17"/>
                <w:szCs w:val="17"/>
                <w:b w:val="1"/>
                <w:bCs w:val="1"/>
                <w:color w:val="auto"/>
              </w:rPr>
              <w:t>Other</w:t>
            </w:r>
          </w:p>
        </w:tc>
        <w:tc>
          <w:tcPr>
            <w:tcW w:w="8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Treasury</w:t>
            </w: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200" w:type="dxa"/>
            <w:vAlign w:val="bottom"/>
          </w:tcPr>
          <w:p>
            <w:pPr>
              <w:spacing w:after="0"/>
              <w:rPr>
                <w:sz w:val="5"/>
                <w:szCs w:val="5"/>
                <w:color w:val="auto"/>
              </w:rPr>
            </w:pPr>
          </w:p>
        </w:tc>
        <w:tc>
          <w:tcPr>
            <w:tcW w:w="900" w:type="dxa"/>
            <w:vAlign w:val="bottom"/>
            <w:vMerge w:val="restart"/>
          </w:tcPr>
          <w:p>
            <w:pPr>
              <w:jc w:val="center"/>
              <w:ind w:right="115"/>
              <w:spacing w:after="0" w:line="150"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62"/>
        </w:trPr>
        <w:tc>
          <w:tcPr>
            <w:tcW w:w="19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1960" w:type="dxa"/>
            <w:vAlign w:val="bottom"/>
          </w:tcPr>
          <w:p>
            <w:pPr>
              <w:spacing w:after="0"/>
              <w:rPr>
                <w:sz w:val="15"/>
                <w:szCs w:val="15"/>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7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5"/>
                <w:szCs w:val="15"/>
                <w:color w:val="auto"/>
              </w:rPr>
            </w:pPr>
          </w:p>
        </w:tc>
        <w:tc>
          <w:tcPr>
            <w:tcW w:w="84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7"/>
                <w:szCs w:val="17"/>
                <w:b w:val="1"/>
                <w:bCs w:val="1"/>
                <w:color w:val="auto"/>
                <w:w w:val="98"/>
              </w:rPr>
              <w:t>Paid-In</w:t>
            </w:r>
          </w:p>
        </w:tc>
        <w:tc>
          <w:tcPr>
            <w:tcW w:w="1300" w:type="dxa"/>
            <w:vAlign w:val="bottom"/>
            <w:gridSpan w:val="3"/>
          </w:tcPr>
          <w:p>
            <w:pPr>
              <w:ind w:left="40"/>
              <w:spacing w:after="0" w:line="17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880" w:type="dxa"/>
            <w:vAlign w:val="bottom"/>
            <w:gridSpan w:val="3"/>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10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8"/>
        </w:trPr>
        <w:tc>
          <w:tcPr>
            <w:tcW w:w="196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Loss</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00" w:type="dxa"/>
            <w:vAlign w:val="bottom"/>
          </w:tcPr>
          <w:p>
            <w:pPr>
              <w:spacing w:after="0"/>
              <w:rPr>
                <w:sz w:val="19"/>
                <w:szCs w:val="19"/>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20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200" w:type="dxa"/>
            <w:vAlign w:val="bottom"/>
          </w:tcPr>
          <w:p>
            <w:pPr>
              <w:spacing w:after="0"/>
              <w:rPr>
                <w:sz w:val="19"/>
                <w:szCs w:val="19"/>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48"/>
        </w:trPr>
        <w:tc>
          <w:tcPr>
            <w:tcW w:w="196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Balance at October 31,</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7,643.3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8,239.1</w:t>
            </w:r>
          </w:p>
        </w:tc>
        <w:tc>
          <w:tcPr>
            <w:tcW w:w="0" w:type="dxa"/>
            <w:vAlign w:val="bottom"/>
          </w:tcPr>
          <w:p>
            <w:pPr>
              <w:spacing w:after="0"/>
              <w:rPr>
                <w:sz w:val="1"/>
                <w:szCs w:val="1"/>
                <w:color w:val="auto"/>
              </w:rPr>
            </w:pPr>
          </w:p>
        </w:tc>
      </w:tr>
      <w:tr>
        <w:trPr>
          <w:trHeight w:val="22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Other comprehensive</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0" w:type="dxa"/>
            <w:vAlign w:val="bottom"/>
          </w:tcPr>
          <w:p>
            <w:pPr>
              <w:spacing w:after="0"/>
              <w:rPr>
                <w:sz w:val="1"/>
                <w:szCs w:val="1"/>
                <w:color w:val="auto"/>
              </w:rPr>
            </w:pPr>
          </w:p>
        </w:tc>
      </w:tr>
      <w:tr>
        <w:trPr>
          <w:trHeight w:val="22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net of 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for stock plans, net and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employee stock purchase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Share-based compensation</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2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repurchase</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(92.9)</w:t>
            </w:r>
          </w:p>
        </w:tc>
        <w:tc>
          <w:tcPr>
            <w:tcW w:w="0" w:type="dxa"/>
            <w:vAlign w:val="bottom"/>
          </w:tcPr>
          <w:p>
            <w:pPr>
              <w:spacing w:after="0"/>
              <w:rPr>
                <w:sz w:val="1"/>
                <w:szCs w:val="1"/>
                <w:color w:val="auto"/>
              </w:rPr>
            </w:pPr>
          </w:p>
        </w:tc>
      </w:tr>
      <w:tr>
        <w:trPr>
          <w:trHeight w:val="151"/>
        </w:trPr>
        <w:tc>
          <w:tcPr>
            <w:tcW w:w="196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7"/>
                <w:szCs w:val="17"/>
                <w:color w:val="auto"/>
              </w:rPr>
              <w:t>Balance at January 31,</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1,987.1</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(334.0)</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7,774.1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(1,085.2)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8,364.0</w:t>
            </w:r>
          </w:p>
        </w:tc>
        <w:tc>
          <w:tcPr>
            <w:tcW w:w="0" w:type="dxa"/>
            <w:vAlign w:val="bottom"/>
          </w:tcPr>
          <w:p>
            <w:pPr>
              <w:spacing w:after="0"/>
              <w:rPr>
                <w:sz w:val="1"/>
                <w:szCs w:val="1"/>
                <w:color w:val="auto"/>
              </w:rPr>
            </w:pPr>
          </w:p>
        </w:tc>
      </w:tr>
      <w:tr>
        <w:trPr>
          <w:trHeight w:val="217"/>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6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gridSpan w:val="2"/>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960" w:type="dxa"/>
            <w:vAlign w:val="bottom"/>
            <w:tcBorders>
              <w:top w:val="single" w:sz="8" w:color="CCEEFF"/>
            </w:tcBorders>
            <w:vMerge w:val="continue"/>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Other comprehensive</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2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net of tax</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Issuance of common stock</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for stock plans, net and</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employee stock purchase</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4"/>
                <w:szCs w:val="14"/>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4"/>
                <w:szCs w:val="14"/>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plan</w:t>
            </w:r>
          </w:p>
        </w:tc>
        <w:tc>
          <w:tcPr>
            <w:tcW w:w="6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9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Share-based compensation</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4"/>
                <w:szCs w:val="14"/>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24"/>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6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repurchase</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52"/>
        </w:trPr>
        <w:tc>
          <w:tcPr>
            <w:tcW w:w="1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April 30, 2026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(1,098.5)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8,239.1</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6"/>
        </w:trPr>
        <w:tc>
          <w:tcPr>
            <w:tcW w:w="8580" w:type="dxa"/>
            <w:vAlign w:val="bottom"/>
            <w:gridSpan w:val="2"/>
          </w:tcPr>
          <w:p>
            <w:pPr>
              <w:ind w:left="3460"/>
              <w:spacing w:after="0"/>
              <w:rPr>
                <w:sz w:val="20"/>
                <w:szCs w:val="20"/>
                <w:color w:val="auto"/>
              </w:rPr>
            </w:pPr>
            <w:r>
              <w:rPr>
                <w:rFonts w:ascii="Times New Roman" w:cs="Times New Roman" w:eastAsia="Times New Roman" w:hAnsi="Times New Roman"/>
                <w:sz w:val="17"/>
                <w:szCs w:val="17"/>
                <w:b w:val="1"/>
                <w:bCs w:val="1"/>
                <w:color w:val="auto"/>
              </w:rPr>
              <w:t>THE COOPER COMPANIES, INC. AND SUBSIDIARIES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624"/>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Consolidated Condensed Statements of Cash Flows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6"/>
        </w:trPr>
        <w:tc>
          <w:tcPr>
            <w:tcW w:w="74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millions, unaudited)</w:t>
            </w:r>
          </w:p>
        </w:tc>
        <w:tc>
          <w:tcPr>
            <w:tcW w:w="1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66"/>
        </w:trPr>
        <w:tc>
          <w:tcPr>
            <w:tcW w:w="744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7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Settlement of contingent consideration</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changes in operating capital</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Deferred income taxes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Other non-cash items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286.8</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Acquisitions of businesses and assets, net of cash acquired, and other</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w:t>
            </w: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Proceeds from long-term debt, net of issuance costs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1,418.9</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Repayments of long-term debt</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(1,444.1)</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Acquisition installment payment</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Net proceeds from short-term debt</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payments related to share-based compensation awards</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w:t>
            </w:r>
          </w:p>
        </w:tc>
      </w:tr>
      <w:tr>
        <w:trPr>
          <w:trHeight w:val="226"/>
        </w:trPr>
        <w:tc>
          <w:tcPr>
            <w:tcW w:w="74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Issuance of common stock for employee stock purchase plan</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33"/>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Settlement of contingent consideration</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2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 of cash flow information:</w:t>
            </w:r>
          </w:p>
        </w:tc>
        <w:tc>
          <w:tcPr>
            <w:tcW w:w="1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120" w:type="dxa"/>
            <w:vAlign w:val="bottom"/>
          </w:tcPr>
          <w:p>
            <w:pPr>
              <w:spacing w:after="0"/>
              <w:rPr>
                <w:sz w:val="19"/>
                <w:szCs w:val="19"/>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3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1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116.2</w:t>
            </w:r>
          </w:p>
        </w:tc>
      </w:tr>
      <w:tr>
        <w:trPr>
          <w:trHeight w:val="20"/>
        </w:trPr>
        <w:tc>
          <w:tcPr>
            <w:tcW w:w="7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 General</w:t>
      </w:r>
    </w:p>
    <w:p>
      <w:pPr>
        <w:spacing w:after="0" w:line="1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The accompanying Consolidated Condensed Financial Statements of The Cooper Companies, Inc. and its subsidiaries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12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accompanying Consolidated Condensed Financial Statements and related notes are unaudited and should be read in conjunction with the audited Consolidated Financial Statements of the Company and related notes as contained in the Company’s Annual Report on Form 10-K for the fiscal year ended October 31, 2025. The Consolidated Condensed Financial Statements include all adjustments (consisting only of normal recurring adjustments) and accruals necessary in the judgment of management for a fair presentation of the results for the interim periods presented.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Policies</w:t>
      </w:r>
    </w:p>
    <w:p>
      <w:pPr>
        <w:spacing w:after="0" w:line="17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There have been no material changes to our significant accounting policies described in our Annual Report on Form 10-K for the fiscal year ended October 31,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Estimates</w:t>
      </w:r>
    </w:p>
    <w:p>
      <w:pPr>
        <w:spacing w:after="0" w:line="17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Issued But Not Yet Adopted</w:t>
      </w:r>
    </w:p>
    <w:p>
      <w:pPr>
        <w:spacing w:after="0" w:line="18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 xml:space="preserve">In December 2025, the Financial Accounting Standards Board (FASB) issued Accounting Standards Update (ASU) 2025-10, </w:t>
      </w:r>
      <w:r>
        <w:rPr>
          <w:rFonts w:ascii="Times New Roman" w:cs="Times New Roman" w:eastAsia="Times New Roman" w:hAnsi="Times New Roman"/>
          <w:sz w:val="17"/>
          <w:szCs w:val="17"/>
          <w:i w:val="1"/>
          <w:iCs w:val="1"/>
          <w:color w:val="auto"/>
        </w:rPr>
        <w:t>Government Grants (Topic 832):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for Government Grants Received by Business Entities, </w:t>
      </w:r>
      <w:r>
        <w:rPr>
          <w:rFonts w:ascii="Times New Roman" w:cs="Times New Roman" w:eastAsia="Times New Roman" w:hAnsi="Times New Roman"/>
          <w:sz w:val="17"/>
          <w:szCs w:val="17"/>
          <w:color w:val="auto"/>
        </w:rPr>
        <w:t>which establishes authoritative guidance on the accounting for government grants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recognition, measurement, and presentation. This ASU is effective for fiscal years beginning after December 15, 2028, including interim periods within those fiscal years with early adoption permitted. The ASU can be applied on a modified prospective basis, modified retrospective basis, or full retrospective basis. We are currently evaluating the impact that the adoption of this guidance will have on our consolidated financial statements and disclosures.</w:t>
      </w:r>
    </w:p>
    <w:p>
      <w:pPr>
        <w:spacing w:after="0" w:line="1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2025-07, </w:t>
      </w:r>
      <w:r>
        <w:rPr>
          <w:rFonts w:ascii="Times New Roman" w:cs="Times New Roman" w:eastAsia="Times New Roman" w:hAnsi="Times New Roman"/>
          <w:sz w:val="17"/>
          <w:szCs w:val="17"/>
          <w:i w:val="1"/>
          <w:iCs w:val="1"/>
          <w:color w:val="auto"/>
        </w:rPr>
        <w:t>Derivatives and Hedging (Topic 815) and Revenue from Contracts with Customers (Topic 606)</w:t>
      </w:r>
      <w:r>
        <w:rPr>
          <w:rFonts w:ascii="Times New Roman" w:cs="Times New Roman" w:eastAsia="Times New Roman" w:hAnsi="Times New Roman"/>
          <w:sz w:val="17"/>
          <w:szCs w:val="17"/>
          <w:color w:val="auto"/>
        </w:rPr>
        <w:t>, which clarifies the application of derivative accounting to certain contracts. This update introduces a scope exception for contracts that are not exchange-traded and whose underlying is tied to operations or activities specific to one of the parties to the contract. It also clarifies the guidance for share-based noncash consideration from a customer, which is not applicable to us. This ASU is effective for fiscal years beginning after December 15, 2026, and interim periods within those annual reporting periods, with early adoption permitted and the option to apply on a prospective or modified retrospective basis. We do not expect the adoption of this guidance to have a material impact on our consolidated financial statements.</w:t>
      </w:r>
    </w:p>
    <w:p>
      <w:pPr>
        <w:spacing w:after="0" w:line="13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Intangibles—Goodwill and Other—Internal-Use Software (Subtopic 350-40)</w:t>
      </w:r>
      <w:r>
        <w:rPr>
          <w:rFonts w:ascii="Times New Roman" w:cs="Times New Roman" w:eastAsia="Times New Roman" w:hAnsi="Times New Roman"/>
          <w:sz w:val="17"/>
          <w:szCs w:val="17"/>
          <w:color w:val="auto"/>
        </w:rPr>
        <w:t>, which removes references to sequential project stages and requires capitalization of software costs to begin when: (1) management has authorized and committed to funding the software project, and (2) it is probable the project will be completed and the software will be used to perform the function intended. This ASU is effective for fiscal years beginning after December 15, 2027, and interim periods within those annual reporting periods, with early adoption permitted as of the beginning of an annual reporting period. The update permits either a prospective, modified prospective, or retrospective adoption approach. We are currently evaluating the impact that the adoption of this guidance will have on our consolidated financial statements and disclosures.</w:t>
      </w:r>
    </w:p>
    <w:p>
      <w:pPr>
        <w:spacing w:after="0" w:line="125"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7"/>
          <w:szCs w:val="17"/>
          <w:color w:val="auto"/>
        </w:rPr>
        <w:t xml:space="preserve">In July 2025, the FASB issued ASU 2025-05, </w:t>
      </w:r>
      <w:r>
        <w:rPr>
          <w:rFonts w:ascii="Times New Roman" w:cs="Times New Roman" w:eastAsia="Times New Roman" w:hAnsi="Times New Roman"/>
          <w:sz w:val="17"/>
          <w:szCs w:val="17"/>
          <w:i w:val="1"/>
          <w:iCs w:val="1"/>
          <w:color w:val="auto"/>
        </w:rPr>
        <w:t>Financial Instruments - Credit Losses (Topic 326): Measurement of Credit Losses for Accounts Receivable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Contract Assets</w:t>
      </w:r>
      <w:r>
        <w:rPr>
          <w:rFonts w:ascii="Times New Roman" w:cs="Times New Roman" w:eastAsia="Times New Roman" w:hAnsi="Times New Roman"/>
          <w:sz w:val="17"/>
          <w:szCs w:val="17"/>
          <w:color w:val="auto"/>
        </w:rPr>
        <w:t>, which provides a practical expedient to measure credit losses on current accounts receivable and current contract assets. The practical expedient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assumes that current conditions as of the balance sheet do not change for the remaining life of the asset. This ASU is effective for fiscal years beginning after December 15, 2025, and interim periods within those annual reporting periods, with early adoption permitted. We are currently evaluating the impact that the adoption of this guidance will have on our consolidated financial statements and disclosures.</w:t>
      </w:r>
    </w:p>
    <w:p>
      <w:pPr>
        <w:spacing w:after="0" w:line="12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 (Subtopic 220-40): Disaggregation of Income Statement Expenses</w:t>
      </w:r>
      <w:r>
        <w:rPr>
          <w:rFonts w:ascii="Times New Roman" w:cs="Times New Roman" w:eastAsia="Times New Roman" w:hAnsi="Times New Roman"/>
          <w:sz w:val="17"/>
          <w:szCs w:val="17"/>
          <w:color w:val="auto"/>
        </w:rPr>
        <w:t>, which requires additional disclosure of the nature of expenses included in the income statement. The standard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requires disclosures about specific types of</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We are currently evaluating the impact that the adoption of this guidance will have on our disclosures.</w:t>
      </w:r>
    </w:p>
    <w:p>
      <w:pPr>
        <w:spacing w:after="0" w:line="13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xml:space="preserve"> This ASU requires public entities to disclose specific categories in the effective tax rate reconciliation and additional information for reconciling items that exceed a quantitative threshold. The guidance also requires all disaggregated information pertaining to taxes paid, net of refunds received, for federal, state and foreign income taxes. The new guidance is effective for fiscal years beginning after December 15, 2024, with the option to apply prospectively or retrospectively. Early adoption is permitted. We are currently evaluating the impact that the adoption of this guidance will have on our consolidated financial statements and disclosures and expect to adopt this ASU for the fiscal year ending October 31, 2026.</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other recently issued accounting pronouncements had or are expected to have a material impact on our Consolidated Condensed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Note 2. Balance Sheet Components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83"/>
        </w:trPr>
        <w:tc>
          <w:tcPr>
            <w:tcW w:w="25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Inventories</w:t>
            </w:r>
          </w:p>
        </w:tc>
        <w:tc>
          <w:tcPr>
            <w:tcW w:w="5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9"/>
        </w:trPr>
        <w:tc>
          <w:tcPr>
            <w:tcW w:w="20" w:type="dxa"/>
            <w:vAlign w:val="bottom"/>
          </w:tcPr>
          <w:p>
            <w:pPr>
              <w:spacing w:after="0"/>
              <w:rPr>
                <w:sz w:val="24"/>
                <w:szCs w:val="24"/>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24"/>
                <w:szCs w:val="24"/>
                <w:color w:val="auto"/>
              </w:rPr>
            </w:pPr>
          </w:p>
        </w:tc>
        <w:tc>
          <w:tcPr>
            <w:tcW w:w="162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80" w:type="dxa"/>
            <w:vAlign w:val="bottom"/>
          </w:tcPr>
          <w:p>
            <w:pPr>
              <w:spacing w:after="0"/>
              <w:rPr>
                <w:sz w:val="24"/>
                <w:szCs w:val="24"/>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Raw materials</w:t>
            </w:r>
          </w:p>
        </w:tc>
        <w:tc>
          <w:tcPr>
            <w:tcW w:w="2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r>
      <w:tr>
        <w:trPr>
          <w:trHeight w:val="226"/>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9"/>
        </w:trPr>
        <w:tc>
          <w:tcPr>
            <w:tcW w:w="20" w:type="dxa"/>
            <w:vAlign w:val="bottom"/>
            <w:shd w:val="clear" w:color="auto" w:fill="CCEEFF"/>
          </w:tcPr>
          <w:p>
            <w:pPr>
              <w:spacing w:after="0"/>
              <w:rPr>
                <w:sz w:val="19"/>
                <w:szCs w:val="19"/>
                <w:color w:val="auto"/>
              </w:rPr>
            </w:pPr>
          </w:p>
        </w:tc>
        <w:tc>
          <w:tcPr>
            <w:tcW w:w="7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w:t>
            </w:r>
          </w:p>
        </w:tc>
      </w:tr>
      <w:tr>
        <w:trPr>
          <w:trHeight w:val="227"/>
        </w:trPr>
        <w:tc>
          <w:tcPr>
            <w:tcW w:w="20" w:type="dxa"/>
            <w:vAlign w:val="bottom"/>
          </w:tcPr>
          <w:p>
            <w:pPr>
              <w:spacing w:after="0"/>
              <w:rPr>
                <w:sz w:val="19"/>
                <w:szCs w:val="19"/>
                <w:color w:val="auto"/>
              </w:rPr>
            </w:pPr>
          </w:p>
        </w:tc>
        <w:tc>
          <w:tcPr>
            <w:tcW w:w="7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inventories</w:t>
            </w:r>
          </w:p>
        </w:tc>
        <w:tc>
          <w:tcPr>
            <w:tcW w:w="2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846.0</w:t>
            </w: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Deferred revenue</w:t>
      </w:r>
    </w:p>
    <w:p>
      <w:pPr>
        <w:spacing w:after="0" w:line="173"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7"/>
          <w:szCs w:val="17"/>
          <w:color w:val="auto"/>
        </w:rPr>
        <w:t>The Company recognized revenue of approximately $32.5 million and $64.5 million for the three and six months ended April 30, 2026, respectively, that was included in the deferred revenue balance at January 31, 2026 and October 31, 2025. The Company recognized revenue of approximately $31.6 million and $64.1 million for the three and six months ended April 30, 2025, respectively, that was included in the deferred revenue balance at January 31, 2025 and October 31, 2024.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Note 3. Intangible Assets</w:t>
            </w:r>
          </w:p>
        </w:tc>
        <w:tc>
          <w:tcPr>
            <w:tcW w:w="2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43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Intangible assets consisted of the following:</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1135"/>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5"/>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jc w:val="right"/>
              <w:ind w:right="555"/>
              <w:spacing w:after="0" w:line="162" w:lineRule="exact"/>
              <w:rPr>
                <w:sz w:val="20"/>
                <w:szCs w:val="20"/>
                <w:color w:val="auto"/>
              </w:rPr>
            </w:pPr>
            <w:r>
              <w:rPr>
                <w:rFonts w:ascii="Times New Roman" w:cs="Times New Roman" w:eastAsia="Times New Roman" w:hAnsi="Times New Roman"/>
                <w:sz w:val="17"/>
                <w:szCs w:val="17"/>
                <w:b w:val="1"/>
                <w:bCs w:val="1"/>
                <w:color w:val="auto"/>
              </w:rPr>
              <w:t>Gross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80" w:type="dxa"/>
            <w:vAlign w:val="bottom"/>
          </w:tcPr>
          <w:p>
            <w:pPr>
              <w:spacing w:after="0"/>
              <w:rPr>
                <w:sz w:val="14"/>
                <w:szCs w:val="14"/>
                <w:color w:val="auto"/>
              </w:rPr>
            </w:pPr>
          </w:p>
        </w:tc>
        <w:tc>
          <w:tcPr>
            <w:tcW w:w="1340" w:type="dxa"/>
            <w:vAlign w:val="bottom"/>
          </w:tcPr>
          <w:p>
            <w:pPr>
              <w:jc w:val="center"/>
              <w:ind w:right="235"/>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vMerge w:val="restart"/>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360" w:type="dxa"/>
            <w:vAlign w:val="bottom"/>
          </w:tcPr>
          <w:p>
            <w:pPr>
              <w:jc w:val="right"/>
              <w:ind w:right="415"/>
              <w:spacing w:after="0" w:line="176"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jc w:val="center"/>
              <w:ind w:right="195"/>
              <w:spacing w:after="0" w:line="176" w:lineRule="exact"/>
              <w:rPr>
                <w:sz w:val="20"/>
                <w:szCs w:val="20"/>
                <w:color w:val="auto"/>
              </w:rPr>
            </w:pPr>
            <w:r>
              <w:rPr>
                <w:rFonts w:ascii="Times New Roman" w:cs="Times New Roman" w:eastAsia="Times New Roman" w:hAnsi="Times New Roman"/>
                <w:sz w:val="17"/>
                <w:szCs w:val="17"/>
                <w:b w:val="1"/>
                <w:bCs w:val="1"/>
                <w:color w:val="auto"/>
                <w:w w:val="98"/>
              </w:rPr>
              <w:t>Carrying</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jc w:val="right"/>
              <w:ind w:right="435"/>
              <w:spacing w:after="0" w:line="176" w:lineRule="exact"/>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280" w:type="dxa"/>
            <w:vAlign w:val="bottom"/>
          </w:tcPr>
          <w:p>
            <w:pPr>
              <w:spacing w:after="0"/>
              <w:rPr>
                <w:sz w:val="15"/>
                <w:szCs w:val="15"/>
                <w:color w:val="auto"/>
              </w:rPr>
            </w:pPr>
          </w:p>
        </w:tc>
        <w:tc>
          <w:tcPr>
            <w:tcW w:w="1340" w:type="dxa"/>
            <w:vAlign w:val="bottom"/>
          </w:tcPr>
          <w:p>
            <w:pPr>
              <w:jc w:val="center"/>
              <w:ind w:right="215"/>
              <w:spacing w:after="0" w:line="176" w:lineRule="exact"/>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jc w:val="right"/>
              <w:ind w:right="235"/>
              <w:spacing w:after="0" w:line="176" w:lineRule="exact"/>
              <w:rPr>
                <w:sz w:val="20"/>
                <w:szCs w:val="20"/>
                <w:color w:val="auto"/>
              </w:rPr>
            </w:pPr>
            <w:r>
              <w:rPr>
                <w:rFonts w:ascii="Times New Roman" w:cs="Times New Roman" w:eastAsia="Times New Roman" w:hAnsi="Times New Roman"/>
                <w:sz w:val="17"/>
                <w:szCs w:val="17"/>
                <w:b w:val="1"/>
                <w:bCs w:val="1"/>
                <w:color w:val="auto"/>
              </w:rPr>
              <w:t>Amortization</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Customer relationships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1,142.2</w:t>
            </w:r>
          </w:p>
        </w:tc>
        <w:tc>
          <w:tcPr>
            <w:tcW w:w="340" w:type="dxa"/>
            <w:vAlign w:val="bottom"/>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1,137.6</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300" w:type="dxa"/>
            <w:vAlign w:val="bottom"/>
            <w:gridSpan w:val="3"/>
            <w:shd w:val="clear" w:color="auto" w:fill="CCEEFF"/>
          </w:tcPr>
          <w:p>
            <w:pPr>
              <w:ind w:left="120"/>
              <w:spacing w:after="0" w:line="233" w:lineRule="exact"/>
              <w:rPr>
                <w:sz w:val="20"/>
                <w:szCs w:val="20"/>
                <w:color w:val="auto"/>
              </w:rPr>
            </w:pPr>
            <w:r>
              <w:rPr>
                <w:rFonts w:ascii="Times New Roman" w:cs="Times New Roman" w:eastAsia="Times New Roman" w:hAnsi="Times New Roman"/>
                <w:sz w:val="17"/>
                <w:szCs w:val="17"/>
                <w:color w:val="auto"/>
              </w:rPr>
              <w:t xml:space="preserve">Composite intangible assets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Technology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Trademarks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7"/>
                <w:szCs w:val="17"/>
                <w:color w:val="auto"/>
              </w:rPr>
              <w:t>License and distribution rights and other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Less: accumulated amortization and translation</w:t>
            </w: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1,682.8</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1,584.5</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CCEEFF"/>
            </w:tcBorders>
            <w:vMerge w:val="continue"/>
          </w:tcPr>
          <w:p>
            <w:pPr>
              <w:spacing w:after="0"/>
              <w:rPr>
                <w:sz w:val="15"/>
                <w:szCs w:val="15"/>
                <w:color w:val="auto"/>
              </w:rPr>
            </w:pPr>
          </w:p>
        </w:tc>
        <w:tc>
          <w:tcPr>
            <w:tcW w:w="4300" w:type="dxa"/>
            <w:vAlign w:val="bottom"/>
            <w:tcBorders>
              <w:bottom w:val="single" w:sz="8" w:color="CCEEFF"/>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 with definite lives, net</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00" w:type="dxa"/>
            <w:vAlign w:val="bottom"/>
            <w:tcBorders>
              <w:bottom w:val="single" w:sz="8" w:color="CCEEFF"/>
            </w:tcBorders>
            <w:gridSpan w:val="3"/>
          </w:tcPr>
          <w:p>
            <w:pPr>
              <w:spacing w:after="0" w:line="229" w:lineRule="exact"/>
              <w:rPr>
                <w:sz w:val="20"/>
                <w:szCs w:val="20"/>
                <w:color w:val="auto"/>
              </w:rPr>
            </w:pPr>
            <w:r>
              <w:rPr>
                <w:rFonts w:ascii="Times New Roman" w:cs="Times New Roman" w:eastAsia="Times New Roman" w:hAnsi="Times New Roman"/>
                <w:sz w:val="17"/>
                <w:szCs w:val="17"/>
                <w:color w:val="auto"/>
              </w:rPr>
              <w:t xml:space="preserve">Intangible assets with indefinite lives, net </w:t>
            </w:r>
            <w:r>
              <w:rPr>
                <w:rFonts w:ascii="Times New Roman" w:cs="Times New Roman" w:eastAsia="Times New Roman" w:hAnsi="Times New Roman"/>
                <w:sz w:val="22"/>
                <w:szCs w:val="22"/>
                <w:color w:val="auto"/>
                <w:vertAlign w:val="superscript"/>
              </w:rPr>
              <w:t>(2)</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intangibles, net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firstLine="8"/>
        <w:spacing w:after="0" w:line="355" w:lineRule="auto"/>
        <w:tabs>
          <w:tab w:leader="none" w:pos="140" w:val="left"/>
        </w:tabs>
        <w:numPr>
          <w:ilvl w:val="0"/>
          <w:numId w:val="1"/>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3"/>
          <w:szCs w:val="13"/>
          <w:i w:val="1"/>
          <w:iCs w:val="1"/>
          <w:color w:val="auto"/>
        </w:rPr>
        <w:t>Composite intangible assets primarily consist of technology, trade name, New Drug Application approval and physician relationships</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i w:val="1"/>
          <w:iCs w:val="1"/>
          <w:color w:val="auto"/>
        </w:rPr>
        <w:t xml:space="preserve"> The components are not reflected separately or within the corresponding categories because they are inextricably linked.</w:t>
      </w:r>
    </w:p>
    <w:p>
      <w:pPr>
        <w:spacing w:after="0" w:line="60" w:lineRule="exact"/>
        <w:rPr>
          <w:rFonts w:ascii="Times New Roman" w:cs="Times New Roman" w:eastAsia="Times New Roman" w:hAnsi="Times New Roman"/>
          <w:sz w:val="16"/>
          <w:szCs w:val="16"/>
          <w:i w:val="1"/>
          <w:iCs w:val="1"/>
          <w:color w:val="auto"/>
          <w:vertAlign w:val="superscript"/>
        </w:rPr>
      </w:pPr>
    </w:p>
    <w:p>
      <w:pPr>
        <w:ind w:left="140" w:hanging="132"/>
        <w:spacing w:after="0"/>
        <w:tabs>
          <w:tab w:leader="none" w:pos="140" w:val="left"/>
        </w:tabs>
        <w:numPr>
          <w:ilvl w:val="0"/>
          <w:numId w:val="1"/>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3"/>
          <w:szCs w:val="13"/>
          <w:i w:val="1"/>
          <w:iCs w:val="1"/>
          <w:color w:val="auto"/>
        </w:rPr>
        <w:t>Intangible assets with indefinite lives include trademarks.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Balances include foreign currency translation adjustments.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April 30, 2026, the estimate of future amortization expenses for intangible assets with definite lives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Fiscal Years: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2026</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2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0" w:type="dxa"/>
            <w:vAlign w:val="bottom"/>
          </w:tcPr>
          <w:p>
            <w:pPr>
              <w:spacing w:after="0"/>
              <w:rPr>
                <w:sz w:val="1"/>
                <w:szCs w:val="1"/>
                <w:color w:val="auto"/>
              </w:rPr>
            </w:pPr>
          </w:p>
        </w:tc>
      </w:tr>
      <w:tr>
        <w:trPr>
          <w:trHeight w:val="233"/>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w:t>
            </w:r>
          </w:p>
        </w:tc>
        <w:tc>
          <w:tcPr>
            <w:tcW w:w="0" w:type="dxa"/>
            <w:vAlign w:val="bottom"/>
          </w:tcPr>
          <w:p>
            <w:pPr>
              <w:spacing w:after="0"/>
              <w:rPr>
                <w:sz w:val="1"/>
                <w:szCs w:val="1"/>
                <w:color w:val="auto"/>
              </w:rPr>
            </w:pPr>
          </w:p>
        </w:tc>
      </w:tr>
      <w:tr>
        <w:trPr>
          <w:trHeight w:val="226"/>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0" w:type="dxa"/>
            <w:vAlign w:val="bottom"/>
          </w:tcPr>
          <w:p>
            <w:pPr>
              <w:spacing w:after="0"/>
              <w:rPr>
                <w:sz w:val="1"/>
                <w:szCs w:val="1"/>
                <w:color w:val="auto"/>
              </w:rPr>
            </w:pPr>
          </w:p>
        </w:tc>
      </w:tr>
      <w:tr>
        <w:trPr>
          <w:trHeight w:val="233"/>
        </w:trPr>
        <w:tc>
          <w:tcPr>
            <w:tcW w:w="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5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Thereafter</w:t>
            </w:r>
          </w:p>
        </w:tc>
        <w:tc>
          <w:tcPr>
            <w:tcW w:w="34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726.9</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remaining amortization for intangible assets with definite lives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gridSpan w:val="6"/>
            <w:vMerge w:val="restart"/>
          </w:tcPr>
          <w:p>
            <w:pPr>
              <w:spacing w:after="0"/>
              <w:rPr>
                <w:sz w:val="20"/>
                <w:szCs w:val="20"/>
                <w:color w:val="auto"/>
              </w:rPr>
            </w:pPr>
            <w:r>
              <w:rPr>
                <w:rFonts w:ascii="Times New Roman" w:cs="Times New Roman" w:eastAsia="Times New Roman" w:hAnsi="Times New Roman"/>
                <w:sz w:val="17"/>
                <w:szCs w:val="17"/>
                <w:color w:val="auto"/>
              </w:rPr>
              <w:t>There was no material impairment of goodwill or intangible assets recorded in the six months ended April 30, 2026.</w:t>
            </w:r>
          </w:p>
        </w:tc>
        <w:tc>
          <w:tcPr>
            <w:tcW w:w="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980" w:type="dxa"/>
            <w:vAlign w:val="bottom"/>
            <w:gridSpan w:val="6"/>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Note 4. Financing Arrangements</w:t>
            </w:r>
          </w:p>
        </w:tc>
        <w:tc>
          <w:tcPr>
            <w:tcW w:w="5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The Company had outstanding debt as follows:</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4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20" w:type="dxa"/>
            <w:vAlign w:val="bottom"/>
          </w:tcPr>
          <w:p>
            <w:pPr>
              <w:spacing w:after="0"/>
              <w:rPr>
                <w:sz w:val="24"/>
                <w:szCs w:val="24"/>
                <w:color w:val="auto"/>
              </w:rPr>
            </w:pPr>
          </w:p>
        </w:tc>
        <w:tc>
          <w:tcPr>
            <w:tcW w:w="16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loans</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 excluding financing leases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debt</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Revolving credit</w:t>
            </w: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Term loans</w:t>
            </w:r>
          </w:p>
        </w:tc>
        <w:tc>
          <w:tcPr>
            <w:tcW w:w="34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excluding financing leases</w:t>
            </w: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76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6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Total debt</w:t>
            </w:r>
          </w:p>
        </w:tc>
        <w:tc>
          <w:tcPr>
            <w:tcW w:w="3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2,460.2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Additional information regarding our indebtedness is included in our notes to our consolidated financial statements in our Annual Report on Form 10-K for the fiscal year ended October 31, 2025. The carrying value of the Company's revolving credit facility and term loans approximates fair value based on current market rates (Level 2). As of April 30, 2026, the Company was in compliance with all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Revolving Credit Agreement on May 1, 2024</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On May 1, 2024, the Company entered into a Revolving Credit Agreement (the 2024 Credit Agreement), among the Company, CooperVision International Limited, the lenders from time to time party thereto, and PNC Bank, National Association, as administrative agent. The 2024 Credit Agreement provides for a multicurrency revolving credit facility (the 2024 Revolving Credit Facility) in an aggregate principal amount of $2,300.0 million which, unless terminated earlier, matures on May 1, 2029. On May 1, 2024, the Company used $1,170.0 million under the 2024 Revolving Credit Facility to fully repay all borrowings outstanding under the 2020 Term Loan Facility and the 2020 Revolving Credit Facility, and terminated the 2020 Credit Agreement (all as defined below). The Company has an uncommitted option to increase the revolving credit facility or establish a new term loan in an aggregate amount up to the greater of $1,150.0 million or 100% of consolidated Earnings Before Interest, Taxes, Depreciation and Amortization (EBITDA), as defined in the 2024 Credit Agreement.</w:t>
      </w:r>
    </w:p>
    <w:p>
      <w:pPr>
        <w:spacing w:after="0" w:line="14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2024 Credit Agreement will bear interest, at the Company’s option, at either the base rate, or the adjusted SOFR, or adjusted foreign currency rate, plus, in each case, an applicable rate of between 0.00% and 0.50% in respect of base rate loans, and between 0.87% and 1.50% in respect of adjusted SOFR or adjusted foreign currency rate loans, in each case in accordance with a pricing grid tied to the Total Leverage Ratio, as defined in the 2024 Credit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6"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7"/>
          <w:szCs w:val="17"/>
          <w:color w:val="auto"/>
        </w:rPr>
        <w:t>The Company pays an annual commitment fee that ranges from 0.10% to 0.20% of the unused portion of the 2024 Revolving Credit Facility based upon the Company’s Total Leverage Ratio, as defined in the 2024 Credit Agreement.</w:t>
      </w:r>
    </w:p>
    <w:p>
      <w:pPr>
        <w:spacing w:after="0" w:line="10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color w:val="auto"/>
        </w:rPr>
        <w:t>The 2024 Credit Agreement contains customary restrictive covenants, as well as financial covenants that require the Company to maintain a certain Total Leverage Ratio and Interest Coverage Ratio, each as defined in the 2024 Credit Agreement.</w:t>
      </w:r>
    </w:p>
    <w:p>
      <w:pPr>
        <w:spacing w:after="0" w:line="95"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On February 3, 2026, in connection with the Company’s entry into Amendment No. 3 to the 2021 Credit Agreement (discussed below), the Company entered into Amendment No. 1 to the 2024 Credit Agreement, modifying the 2024 Credit Agreement by, among other things, conforming certain provisions therein to those contained in the 2021 Credit Agreement, as amended by Amendment No. 3 to the 2021 Credit Agreement, including the removal of the credit spread adjustments.</w:t>
      </w:r>
    </w:p>
    <w:p>
      <w:pPr>
        <w:spacing w:after="0" w:line="122"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7"/>
          <w:szCs w:val="17"/>
          <w:color w:val="auto"/>
        </w:rPr>
        <w:t>On April 30, 2026, the Company had $911.7 million outstanding under the 2024 Revolving Credit Facility and the weighted-average interest rate on the 2024 Revolving Credit Facility was 4.66%.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 Loan Agreement on December 17, 2021</w:t>
      </w:r>
    </w:p>
    <w:p>
      <w:pPr>
        <w:spacing w:after="0" w:line="1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$1,500.0 million, which, unless terminated earlier, matures on December 17, 2026.</w:t>
      </w:r>
    </w:p>
    <w:p>
      <w:pPr>
        <w:spacing w:after="0" w:line="122"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color w:val="auto"/>
        </w:rPr>
        <w:t>On May 1, 2024, in connection with the Company's entry into the 2024 Credit Agreement, the Company entered into Amendment No. 2 to the 2021 Credit Agreement, modifying the 2021 Credit Agreement by, among other things, conforming certain provisions therein to those contained in the 2024 Credit Agreement.</w:t>
      </w:r>
    </w:p>
    <w:p>
      <w:pPr>
        <w:spacing w:after="0" w:line="9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color w:val="auto"/>
        </w:rPr>
        <w:t>On February 3, 2026, the Company entered into Amendment No. 3 to the 2021 Credit Agreement, by and among the Company, the lenders from time to time party thereto, and PNC Bank, National Association, as administrative agent. The amendment modifies the 2021 Credit Agreement by, among other things, extending the maturity date of $950.0 million of term loans to February 3, 2031, with the remaining $550.0 million of term loans retaining their original maturity date. The amendment also removes the credit spread adjustment and increases the cap on incremental term loans to the greater of $1,365.0 million and 100% of consolidated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EBITDA.</w:t>
      </w:r>
    </w:p>
    <w:p>
      <w:pPr>
        <w:spacing w:after="0" w:line="16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 addition, the amendment provides that, at the Company’s option, the applicable pricing rates may be determined based on the Company’s non-credit enhanced, senior unsecured long-term debt ratings or the existing basis of the Company’s ratio of consolidated net indebtedness to consolidated EBITDA.</w:t>
      </w:r>
    </w:p>
    <w:p>
      <w:pPr>
        <w:spacing w:after="0" w:line="109" w:lineRule="exact"/>
        <w:rPr>
          <w:sz w:val="20"/>
          <w:szCs w:val="20"/>
          <w:color w:val="auto"/>
        </w:rPr>
      </w:pPr>
    </w:p>
    <w:p>
      <w:pPr>
        <w:ind w:right="2000"/>
        <w:spacing w:after="0" w:line="455" w:lineRule="auto"/>
        <w:rPr>
          <w:sz w:val="20"/>
          <w:szCs w:val="20"/>
          <w:color w:val="auto"/>
        </w:rPr>
      </w:pPr>
      <w:r>
        <w:rPr>
          <w:rFonts w:ascii="Times New Roman" w:cs="Times New Roman" w:eastAsia="Times New Roman" w:hAnsi="Times New Roman"/>
          <w:sz w:val="17"/>
          <w:szCs w:val="17"/>
          <w:color w:val="auto"/>
        </w:rPr>
        <w:t xml:space="preserve">On April 30, 2026, the Company had $1,500.0 million outstanding under the 2021 Term Loan Facility and the interest rate was 4.54%. </w:t>
      </w:r>
      <w:r>
        <w:rPr>
          <w:rFonts w:ascii="Times New Roman" w:cs="Times New Roman" w:eastAsia="Times New Roman" w:hAnsi="Times New Roman"/>
          <w:sz w:val="17"/>
          <w:szCs w:val="17"/>
          <w:b w:val="1"/>
          <w:bCs w:val="1"/>
          <w:u w:val="single" w:color="auto"/>
          <w:color w:val="auto"/>
        </w:rPr>
        <w:t>Note 5. Income Taxes</w:t>
      </w:r>
    </w:p>
    <w:p>
      <w:pPr>
        <w:spacing w:after="0" w:line="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The effective tax rates for the three months ended April 30, 2026, and April 30, 2025, were (61.0)% and 39.3%, respectively. The effective tax rates for the six months ended April 30, 2026, and April 30, 2025, were 63.2% and 35.5%, respectively. The changes were primarily due to the discrete tax impact of the litigation accrual discussed below, partially offset by changes in the geographic composition of pre-tax earnings.</w:t>
      </w:r>
    </w:p>
    <w:p>
      <w:pPr>
        <w:spacing w:after="0" w:line="12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During the three months ended April 30, 2026, the Company recorded $271.6 million litigation expense, net of insurance recoveries, as described in Note 9. Contingencies and Commitments. As a result, the Company recognized a $42.8 million discrete income tax benefit, net of indirect tax effects, primarily driven by a reduction in U.S. taxable income.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Note 6. Earnings (Loss) Per Share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1860" w:type="dxa"/>
            <w:vAlign w:val="bottom"/>
            <w:gridSpan w:val="2"/>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2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 except per share amounts)</w:t>
            </w: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6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3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i w:val="1"/>
                <w:iCs w:val="1"/>
                <w:color w:val="auto"/>
              </w:rPr>
              <w:t>Basic: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43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Diluted:</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Weighted-average common shares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4320" w:type="dxa"/>
            <w:vAlign w:val="bottom"/>
            <w:gridSpan w:val="3"/>
            <w:shd w:val="clear" w:color="auto" w:fill="CCEEFF"/>
          </w:tcPr>
          <w:p>
            <w:pPr>
              <w:ind w:left="120"/>
              <w:spacing w:after="0" w:line="233" w:lineRule="exact"/>
              <w:rPr>
                <w:sz w:val="20"/>
                <w:szCs w:val="20"/>
                <w:color w:val="auto"/>
              </w:rPr>
            </w:pPr>
            <w:r>
              <w:rPr>
                <w:rFonts w:ascii="Times New Roman" w:cs="Times New Roman" w:eastAsia="Times New Roman" w:hAnsi="Times New Roman"/>
                <w:sz w:val="17"/>
                <w:szCs w:val="17"/>
                <w:color w:val="auto"/>
              </w:rPr>
              <w:t xml:space="preserve">Effect of dilutive stock plans </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Diluted weighted-average common shares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196.1</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Diluted earnings (loss) per share</w:t>
            </w: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firstLine="8"/>
        <w:spacing w:after="0" w:line="229" w:lineRule="auto"/>
        <w:tabs>
          <w:tab w:leader="none" w:pos="184" w:val="left"/>
        </w:tabs>
        <w:numPr>
          <w:ilvl w:val="0"/>
          <w:numId w:val="2"/>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For the three months ended April 30, 2026, the number of diluted weighted-average common shares used to calculate diluted loss per share excludes all potentially dilutive instruments because they would be antidilutive due to the net loss position for the period.</w:t>
      </w:r>
    </w:p>
    <w:p>
      <w:pPr>
        <w:spacing w:after="0" w:line="15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The following table sets forth stock options to purchase our common stock and restricted stock units that were not included in the diluted earnings (loss) per share calculation because their effect would have been antidilutive for the periods presented: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228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40" w:type="dxa"/>
            <w:vAlign w:val="bottom"/>
            <w:tcBorders>
              <w:bottom w:val="single" w:sz="8" w:color="auto"/>
            </w:tcBorders>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39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thousands, except exercise prices)</w:t>
            </w:r>
          </w:p>
        </w:tc>
        <w:tc>
          <w:tcPr>
            <w:tcW w:w="1660" w:type="dxa"/>
            <w:vAlign w:val="bottom"/>
          </w:tcPr>
          <w:p>
            <w:pPr>
              <w:jc w:val="right"/>
              <w:ind w:right="57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57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5"/>
                <w:szCs w:val="15"/>
                <w:color w:val="auto"/>
              </w:rPr>
            </w:pPr>
          </w:p>
        </w:tc>
        <w:tc>
          <w:tcPr>
            <w:tcW w:w="1660" w:type="dxa"/>
            <w:vAlign w:val="bottom"/>
          </w:tcPr>
          <w:p>
            <w:pPr>
              <w:jc w:val="right"/>
              <w:ind w:right="57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55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 shares excluded</w:t>
            </w:r>
          </w:p>
        </w:tc>
        <w:tc>
          <w:tcPr>
            <w:tcW w:w="16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3,480</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r>
      <w:tr>
        <w:trPr>
          <w:trHeight w:val="226"/>
        </w:trPr>
        <w:tc>
          <w:tcPr>
            <w:tcW w:w="2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prices</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$43.83 - $101.54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$82.46 - $101.54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$78.51 - $101.54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$82.46 - $101.54</w:t>
            </w:r>
          </w:p>
        </w:tc>
      </w:tr>
      <w:tr>
        <w:trPr>
          <w:trHeight w:val="233"/>
        </w:trPr>
        <w:tc>
          <w:tcPr>
            <w:tcW w:w="20" w:type="dxa"/>
            <w:vAlign w:val="bottom"/>
            <w:shd w:val="clear" w:color="auto" w:fill="CCEEFF"/>
          </w:tcPr>
          <w:p>
            <w:pPr>
              <w:spacing w:after="0"/>
              <w:rPr>
                <w:sz w:val="20"/>
                <w:szCs w:val="20"/>
                <w:color w:val="auto"/>
              </w:rPr>
            </w:pPr>
          </w:p>
        </w:tc>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stock units excluded</w:t>
            </w:r>
          </w:p>
        </w:tc>
        <w:tc>
          <w:tcPr>
            <w:tcW w:w="166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1,961</w:t>
            </w: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7. Share-Based Compensation</w:t>
      </w:r>
    </w:p>
    <w:p>
      <w:pPr>
        <w:spacing w:after="0" w:line="135"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7"/>
          <w:szCs w:val="17"/>
          <w:color w:val="auto"/>
        </w:rPr>
        <w:t>The Company has several stock plans that are described in the Company’s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fiscal year ended October 31, 2025. The compensation expense and related income tax benefit recognized in our Consolidated Condensed Statements of Income (Loss) and Comprehensive Income (Loss) for share-based awards, including the employee stock purchase plan,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60" w:type="dxa"/>
            <w:vAlign w:val="bottom"/>
            <w:tcBorders>
              <w:bottom w:val="single" w:sz="8" w:color="auto"/>
            </w:tcBorders>
          </w:tcPr>
          <w:p>
            <w:pPr>
              <w:spacing w:after="0"/>
              <w:rPr>
                <w:sz w:val="20"/>
                <w:szCs w:val="20"/>
                <w:color w:val="auto"/>
              </w:rPr>
            </w:pPr>
          </w:p>
        </w:tc>
      </w:tr>
      <w:tr>
        <w:trPr>
          <w:trHeight w:val="175"/>
        </w:trPr>
        <w:tc>
          <w:tcPr>
            <w:tcW w:w="20" w:type="dxa"/>
            <w:vAlign w:val="bottom"/>
          </w:tcPr>
          <w:p>
            <w:pPr>
              <w:spacing w:after="0"/>
              <w:rPr>
                <w:sz w:val="15"/>
                <w:szCs w:val="15"/>
                <w:color w:val="auto"/>
              </w:rPr>
            </w:pPr>
          </w:p>
        </w:tc>
        <w:tc>
          <w:tcPr>
            <w:tcW w:w="432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r>
      <w:tr>
        <w:trPr>
          <w:trHeight w:val="226"/>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9"/>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27"/>
        </w:trPr>
        <w:tc>
          <w:tcPr>
            <w:tcW w:w="2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share-based compensation expense</w:t>
            </w: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Related income tax benefit</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Market-based award</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During the three months ended January 31, 2026, the Company granted 78,286 restricted stock units to selected key employees which vest over approximately three years and are earned based on the Company's total shareholder return (TSR) relative to a designated peer group over a three-year performance period. The TSR metric is considered a market condition. The Company measured the fair value of such awards on the grant date using Monte Carlo simulation, incorporating valuation inputs including (a) simulation term of 2.9 years, (b) risk-free interest rate of 3.6%, (c) historical volatility of 29.2%, and (d) dividend yield of 0%. The grant-date fair value of the TSR award was $116.05 per share. The performance shares ultimately earned will range from zero to 200% of the target number of shares.</w:t>
      </w:r>
    </w:p>
    <w:p>
      <w:pPr>
        <w:spacing w:after="0" w:line="1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recognize compensation expense ratably over the requisite service period regardless of actual TSR achievement. As of April 30, 2026, there was $8.0 million of total unrecognized compensation cost related to unvested TSR award, which is expected to be recognized over a remaining weighted-average period of 2.8 years.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Note 8. Stockholders' Equity</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598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Analysis of Changes in Accumulated Other Comprehensive Loss: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Foreign Currency</w:t>
            </w:r>
          </w:p>
        </w:tc>
        <w:tc>
          <w:tcPr>
            <w:tcW w:w="120" w:type="dxa"/>
            <w:vAlign w:val="bottom"/>
          </w:tcPr>
          <w:p>
            <w:pPr>
              <w:spacing w:after="0"/>
              <w:rPr>
                <w:sz w:val="24"/>
                <w:szCs w:val="2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Minimum Pension</w:t>
            </w:r>
          </w:p>
        </w:tc>
        <w:tc>
          <w:tcPr>
            <w:tcW w:w="220" w:type="dxa"/>
            <w:vAlign w:val="bottom"/>
          </w:tcPr>
          <w:p>
            <w:pPr>
              <w:spacing w:after="0"/>
              <w:rPr>
                <w:sz w:val="24"/>
                <w:szCs w:val="24"/>
                <w:color w:val="auto"/>
              </w:rPr>
            </w:pPr>
          </w:p>
        </w:tc>
        <w:tc>
          <w:tcPr>
            <w:tcW w:w="14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Derivative</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7"/>
                <w:szCs w:val="17"/>
                <w:b w:val="1"/>
                <w:bCs w:val="1"/>
                <w:color w:val="auto"/>
              </w:rPr>
              <w:t>Adjustment</w:t>
            </w:r>
          </w:p>
        </w:tc>
        <w:tc>
          <w:tcPr>
            <w:tcW w:w="120" w:type="dxa"/>
            <w:vAlign w:val="bottom"/>
          </w:tcPr>
          <w:p>
            <w:pPr>
              <w:spacing w:after="0"/>
              <w:rPr>
                <w:sz w:val="15"/>
                <w:szCs w:val="15"/>
                <w:color w:val="auto"/>
              </w:rPr>
            </w:pPr>
          </w:p>
        </w:tc>
        <w:tc>
          <w:tcPr>
            <w:tcW w:w="156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7"/>
                <w:szCs w:val="17"/>
                <w:b w:val="1"/>
                <w:bCs w:val="1"/>
                <w:color w:val="auto"/>
                <w:w w:val="99"/>
              </w:rPr>
              <w:t>Liability</w:t>
            </w: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7"/>
                <w:szCs w:val="17"/>
                <w:b w:val="1"/>
                <w:bCs w:val="1"/>
                <w:color w:val="auto"/>
              </w:rPr>
              <w:t>Instruments</w:t>
            </w:r>
          </w:p>
        </w:tc>
        <w:tc>
          <w:tcPr>
            <w:tcW w:w="3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October 31, 2024</w:t>
            </w: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w:t>
            </w:r>
          </w:p>
        </w:tc>
        <w:tc>
          <w:tcPr>
            <w:tcW w:w="2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April 30, 2025</w:t>
            </w:r>
          </w:p>
        </w:tc>
        <w:tc>
          <w:tcPr>
            <w:tcW w:w="2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(410.7)</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at October 31, 2025</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change in value</w:t>
            </w:r>
          </w:p>
        </w:tc>
        <w:tc>
          <w:tcPr>
            <w:tcW w:w="2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Tax effect</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52"/>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April 30, 2026</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September 2025, the authorization under the 2012 Share Repurchase Program was increased to $2.0 billion by the Company's Board of Directors. As of April 30, 2026, $860.8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six months ended April 30, 2026, the Company repurchased 0.2 million and 1.3 million shares of its common stock for $13.1 million and</w:t>
      </w:r>
    </w:p>
    <w:p>
      <w:pPr>
        <w:spacing w:after="0" w:line="2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7"/>
          <w:szCs w:val="17"/>
          <w:color w:val="auto"/>
        </w:rPr>
        <w:t>$105.6 million, at a weighted average price of $75.84 and $81.21 per share. During the three and six months ended April 30, 2025, the Company repurchased 0.5 million shares of its common stock for $40.6 million, at a weighted average price of $75.60 per share.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9. Contingencies and Commitments</w:t>
      </w:r>
    </w:p>
    <w:p>
      <w:pPr>
        <w:spacing w:after="0" w:line="17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Legal fees are expensed as incurred.</w:t>
      </w:r>
    </w:p>
    <w:p>
      <w:pPr>
        <w:spacing w:after="0" w:line="1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The Company has been in a dispute with HM Revenue &amp; Customs (HMRC) relating to payroll tax withholding matters related to consideration paid to company founders in the acquisition of the Sauflon Group in 2014 before the U.K. First-tier Tribunal (FTT). The FTT issued a decision on March 2, 2026 that largely supports HMRC’s position that the Company had failed to properly withhold payroll taxes with respect to a portion of the consideration paid by the Company in the Sauflon acquisition.</w:t>
      </w:r>
    </w:p>
    <w:p>
      <w:pPr>
        <w:spacing w:after="0" w:line="1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The Company believes the FTT’s decision was incorrect and is in the process of appealing the FTT’s decision. Although the Company does not believe that a loss is probable, an adverse outcome is reasonably possible. Depending on the results of the appeal, the Company could prevail on some or all of the issues in dispute, which could result in an obligation to pay a portion or all of the assessed amounts, with an estimated loss ranging from £0 to £71.7 million, plus accrued interest. Because the ultimate outcome of the matter remains uncertain as of the issuance date of the financial statements included in this report, the Company has not recorded any liability in its financial statements.</w:t>
      </w:r>
    </w:p>
    <w:p>
      <w:pPr>
        <w:spacing w:after="0" w:line="132" w:lineRule="exact"/>
        <w:rPr>
          <w:sz w:val="20"/>
          <w:szCs w:val="20"/>
          <w:color w:val="auto"/>
        </w:rPr>
      </w:pPr>
    </w:p>
    <w:p>
      <w:pPr>
        <w:jc w:val="both"/>
        <w:ind w:right="340"/>
        <w:spacing w:after="0" w:line="238" w:lineRule="auto"/>
        <w:rPr>
          <w:sz w:val="20"/>
          <w:szCs w:val="20"/>
          <w:color w:val="auto"/>
        </w:rPr>
      </w:pPr>
      <w:r>
        <w:rPr>
          <w:rFonts w:ascii="Times New Roman" w:cs="Times New Roman" w:eastAsia="Times New Roman" w:hAnsi="Times New Roman"/>
          <w:sz w:val="17"/>
          <w:szCs w:val="17"/>
          <w:color w:val="auto"/>
        </w:rPr>
        <w:t>In December 2023, CooperSurgical initiated a voluntary recall of three specific lots of CooperSurgical’s LifeGlobal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global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w:t>
      </w:r>
    </w:p>
    <w:p>
      <w:pPr>
        <w:spacing w:after="0" w:line="14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Between December 2023 and mid-March 2026, the Company resolved a significant number of claims and lawsuits through settlements. The Company recorded an immaterial accrual in the first quarter of fiscal 2024, related to insurance deductibles and other additional costs. Based on historical settlement experience and other considerations, the Company believed a material loss was not probable and that there was no reasonable basis to estimate aggregate losses in excess of historical settlement levels after taking into account available insurance coverage.</w:t>
      </w:r>
    </w:p>
    <w:p>
      <w:pPr>
        <w:spacing w:after="0" w:line="122"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Subsequently, the Company identified developments, including the procedural acceleration of multiple litigated cases, receipt of additional claimant information, updated damage valuation analysis, and significantly increased projected defense and expert costs.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color w:val="auto"/>
        </w:rPr>
        <w:t>This resulted in reassessment of exposure. As of June 5, 2026, more than 140 lawsuits were filed, including three putative class actions, none of which has been certified, and over 1,500 claimants have been proffered to the Company. Based on these developments, management concluded that a loss was probable and reasonably estimable, particularly with respect to potential exposure exceeding available insurance coverage. The net impact to the consolidated statements of operations to resolve outstanding claims was $271.6 million, consisting of $324.1 million accrued litigation liability, partially offset by $52.5 million of insurance recoveries. The net amount was recorded within Selling, General and Administrative expenses.</w:t>
      </w:r>
    </w:p>
    <w:p>
      <w:pPr>
        <w:spacing w:after="0" w:line="1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As of April 30, 2026, the Company entered into additional leases that have not yet commenced in order to expand manufacturing as well as research and development capacity. The undiscounted lease payments are estimated at $140.2 million for leases that will commence starting in the fourth quarter of fiscal 2026, with initial terms ranging from 20 to 24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10. Business Segment Information</w:t>
      </w:r>
    </w:p>
    <w:p>
      <w:pPr>
        <w:spacing w:after="0" w:line="173"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The Company discloses information about its operating segments, which were established based on the way that our Chief Operating Decision Maker (CODM) organizes segments within the Company for making operating decisions and assessing financial performance. Our CODM is our Chief Executive Officer. The Company's two operating segments are described below.</w:t>
      </w:r>
    </w:p>
    <w:p>
      <w:pPr>
        <w:spacing w:after="0" w:line="118" w:lineRule="exact"/>
        <w:rPr>
          <w:sz w:val="20"/>
          <w:szCs w:val="20"/>
          <w:color w:val="auto"/>
        </w:rPr>
      </w:pPr>
    </w:p>
    <w:p>
      <w:pPr>
        <w:ind w:left="660" w:right="300" w:hanging="328"/>
        <w:spacing w:after="0" w:line="286" w:lineRule="auto"/>
        <w:tabs>
          <w:tab w:leader="none" w:pos="652"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Competes in the worldwide contact lens market by developing, manufacturing and marketing a broad range of products for contact lens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wearers, featuring advanced materials and optics.</w:t>
      </w:r>
    </w:p>
    <w:p>
      <w:pPr>
        <w:spacing w:after="0" w:line="114" w:lineRule="exact"/>
        <w:rPr>
          <w:rFonts w:ascii="Times New Roman" w:cs="Times New Roman" w:eastAsia="Times New Roman" w:hAnsi="Times New Roman"/>
          <w:sz w:val="17"/>
          <w:szCs w:val="17"/>
          <w:i w:val="1"/>
          <w:iCs w:val="1"/>
          <w:color w:val="auto"/>
        </w:rPr>
      </w:pPr>
    </w:p>
    <w:p>
      <w:pPr>
        <w:ind w:left="660" w:right="340" w:hanging="328"/>
        <w:spacing w:after="0" w:line="286" w:lineRule="auto"/>
        <w:tabs>
          <w:tab w:leader="none" w:pos="65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CooperSurgical. </w:t>
      </w:r>
      <w:r>
        <w:rPr>
          <w:rFonts w:ascii="Times New Roman" w:cs="Times New Roman" w:eastAsia="Times New Roman" w:hAnsi="Times New Roman"/>
          <w:sz w:val="17"/>
          <w:szCs w:val="17"/>
          <w:color w:val="auto"/>
        </w:rPr>
        <w:t>Competes in the fertility and women's health care market through its diversified portfolio of products and services, including fertility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products and services, medical devices, cryostorage (such as cord blood and cord tissue storage) and contraception.</w:t>
      </w:r>
    </w:p>
    <w:p>
      <w:pPr>
        <w:spacing w:after="0" w:line="1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The CODM uses operating income (loss), as presented in our financial reports, as the primary measure of segment profitability to assess the performance of the segments and make decisions on resource allocation across segments. The CODM evaluates segment operating income (loss) on a quarterly basis by comparing actual results to forecasted amounts and historical performance. These evaluations, supported by discussions with the leadership team responsible for managing the operations of each reportable segment, are used to assess segment results, monitor operating trends, and support decisions regarding the allocation of resources and consideration of investment opportunities. The Company does not allocate costs from corporate functions to segment operating income (loss). The Company uses the same accounting policies to generate segment results as it does for consolidated results.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revenue and other financial information by reportable segment: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Segment information:</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46"/>
        </w:trPr>
        <w:tc>
          <w:tcPr>
            <w:tcW w:w="20" w:type="dxa"/>
            <w:vAlign w:val="bottom"/>
          </w:tcPr>
          <w:p>
            <w:pPr>
              <w:spacing w:after="0"/>
              <w:rPr>
                <w:sz w:val="24"/>
                <w:szCs w:val="24"/>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4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8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43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400" w:type="dxa"/>
            <w:vAlign w:val="bottom"/>
          </w:tcPr>
          <w:p>
            <w:pPr>
              <w:spacing w:after="0"/>
              <w:rPr>
                <w:sz w:val="15"/>
                <w:szCs w:val="15"/>
                <w:color w:val="auto"/>
              </w:rPr>
            </w:pPr>
          </w:p>
        </w:tc>
        <w:tc>
          <w:tcPr>
            <w:tcW w:w="1320" w:type="dxa"/>
            <w:vAlign w:val="bottom"/>
          </w:tcPr>
          <w:p>
            <w:pPr>
              <w:jc w:val="right"/>
              <w:ind w:right="59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jc w:val="right"/>
              <w:ind w:right="59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51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53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 net sales by category:</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3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Toric and multifocal</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w:t>
            </w:r>
          </w:p>
        </w:tc>
        <w:tc>
          <w:tcPr>
            <w:tcW w:w="16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647.8</w:t>
            </w:r>
          </w:p>
        </w:tc>
      </w:tr>
      <w:tr>
        <w:trPr>
          <w:trHeight w:val="233"/>
        </w:trPr>
        <w:tc>
          <w:tcPr>
            <w:tcW w:w="2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Sphere, other</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6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702.5</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667.9</w:t>
            </w:r>
          </w:p>
        </w:tc>
      </w:tr>
      <w:tr>
        <w:trPr>
          <w:trHeight w:val="219"/>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CooperVision net sales</w:t>
            </w:r>
          </w:p>
        </w:tc>
        <w:tc>
          <w:tcPr>
            <w:tcW w:w="4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1,315.7</w:t>
            </w:r>
          </w:p>
        </w:tc>
      </w:tr>
      <w:tr>
        <w:trPr>
          <w:trHeight w:val="213"/>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CooperSurgical net sales by category:</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43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Office and surgical</w:t>
            </w: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60" w:type="dxa"/>
            <w:vAlign w:val="bottom"/>
          </w:tcPr>
          <w:p>
            <w:pPr>
              <w:spacing w:after="0"/>
              <w:rPr>
                <w:sz w:val="19"/>
                <w:szCs w:val="19"/>
                <w:color w:val="auto"/>
              </w:rPr>
            </w:pPr>
          </w:p>
        </w:tc>
        <w:tc>
          <w:tcPr>
            <w:tcW w:w="560" w:type="dxa"/>
            <w:vAlign w:val="bottom"/>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w:t>
            </w:r>
          </w:p>
        </w:tc>
      </w:tr>
      <w:tr>
        <w:trPr>
          <w:trHeight w:val="233"/>
        </w:trPr>
        <w:tc>
          <w:tcPr>
            <w:tcW w:w="20" w:type="dxa"/>
            <w:vAlign w:val="bottom"/>
            <w:shd w:val="clear" w:color="auto" w:fill="CCEEFF"/>
          </w:tcPr>
          <w:p>
            <w:pPr>
              <w:spacing w:after="0"/>
              <w:rPr>
                <w:sz w:val="20"/>
                <w:szCs w:val="20"/>
                <w:color w:val="auto"/>
              </w:rPr>
            </w:pPr>
          </w:p>
        </w:tc>
        <w:tc>
          <w:tcPr>
            <w:tcW w:w="43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Fertility</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6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1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r>
      <w:tr>
        <w:trPr>
          <w:trHeight w:val="219"/>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3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CooperSurgical net sales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651.3</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net sales</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1,081.5</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87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7"/>
        </w:trPr>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CooperVision</w:t>
            </w:r>
          </w:p>
        </w:tc>
        <w:tc>
          <w:tcPr>
            <w:tcW w:w="16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CooperSurgical</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22"/>
                <w:szCs w:val="22"/>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 2026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1,081.5</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shd w:val="clear" w:color="auto" w:fill="CCEEFF"/>
          </w:tcPr>
          <w:p>
            <w:pPr>
              <w:spacing w:after="0"/>
              <w:rPr>
                <w:sz w:val="19"/>
                <w:szCs w:val="19"/>
                <w:color w:val="auto"/>
              </w:rPr>
            </w:pPr>
          </w:p>
        </w:tc>
        <w:tc>
          <w:tcPr>
            <w:tcW w:w="5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April 30, 2026</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7,626.0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 2025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shd w:val="clear" w:color="auto" w:fill="CCEEFF"/>
          </w:tcPr>
          <w:p>
            <w:pPr>
              <w:spacing w:after="0"/>
              <w:rPr>
                <w:sz w:val="19"/>
                <w:szCs w:val="19"/>
                <w:color w:val="auto"/>
              </w:rPr>
            </w:pPr>
          </w:p>
        </w:tc>
        <w:tc>
          <w:tcPr>
            <w:tcW w:w="5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 of October 31, 2025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Identifiable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12,394.8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Corporate SGA expenses are not allocated to the segments.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16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CooperVision</w:t>
            </w:r>
          </w:p>
        </w:tc>
        <w:tc>
          <w:tcPr>
            <w:tcW w:w="160" w:type="dxa"/>
            <w:vAlign w:val="bottom"/>
          </w:tcPr>
          <w:p>
            <w:pPr>
              <w:spacing w:after="0"/>
              <w:rPr>
                <w:sz w:val="22"/>
                <w:szCs w:val="22"/>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CooperSurgical</w:t>
            </w: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Corporate </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22"/>
                <w:szCs w:val="22"/>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 2026</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2,105.6</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27"/>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 2025</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1,967.0</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627.7</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Amortization expense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0" w:type="dxa"/>
            <w:vAlign w:val="bottom"/>
          </w:tcPr>
          <w:p>
            <w:pPr>
              <w:spacing w:after="0"/>
              <w:rPr>
                <w:sz w:val="1"/>
                <w:szCs w:val="1"/>
                <w:color w:val="auto"/>
              </w:rPr>
            </w:pPr>
          </w:p>
        </w:tc>
      </w:tr>
      <w:tr>
        <w:trPr>
          <w:trHeight w:val="227"/>
        </w:trPr>
        <w:tc>
          <w:tcPr>
            <w:tcW w:w="20" w:type="dxa"/>
            <w:vAlign w:val="bottom"/>
            <w:tcBorders>
              <w:top w:val="single" w:sz="8" w:color="CCEEFF"/>
            </w:tcBorders>
            <w:shd w:val="clear" w:color="auto" w:fill="CCEEFF"/>
          </w:tcPr>
          <w:p>
            <w:pPr>
              <w:spacing w:after="0"/>
              <w:rPr>
                <w:sz w:val="19"/>
                <w:szCs w:val="19"/>
                <w:color w:val="auto"/>
              </w:rPr>
            </w:pPr>
          </w:p>
        </w:tc>
        <w:tc>
          <w:tcPr>
            <w:tcW w:w="50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Capital expenditures</w:t>
            </w: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Corporate SGA expenses are not allocated to the segments.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Geographic information:</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33"/>
        </w:trPr>
        <w:tc>
          <w:tcPr>
            <w:tcW w:w="2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92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528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41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jc w:val="right"/>
              <w:ind w:right="415"/>
              <w:spacing w:after="0" w:line="176" w:lineRule="exact"/>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3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jc w:val="right"/>
              <w:ind w:right="41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 to unaffiliated customers by country of domicile: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2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547.8</w:t>
            </w:r>
          </w:p>
        </w:tc>
        <w:tc>
          <w:tcPr>
            <w:tcW w:w="16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515.2</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1,061.7</w:t>
            </w:r>
          </w:p>
        </w:tc>
        <w:tc>
          <w:tcPr>
            <w:tcW w:w="8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1,011.6</w:t>
            </w:r>
          </w:p>
        </w:tc>
      </w:tr>
      <w:tr>
        <w:trPr>
          <w:trHeight w:val="233"/>
        </w:trPr>
        <w:tc>
          <w:tcPr>
            <w:tcW w:w="20" w:type="dxa"/>
            <w:vAlign w:val="bottom"/>
            <w:shd w:val="clear" w:color="auto" w:fill="CCEEFF"/>
          </w:tcPr>
          <w:p>
            <w:pPr>
              <w:spacing w:after="0"/>
              <w:rPr>
                <w:sz w:val="20"/>
                <w:szCs w:val="20"/>
                <w:color w:val="auto"/>
              </w:rPr>
            </w:pPr>
          </w:p>
        </w:tc>
        <w:tc>
          <w:tcPr>
            <w:tcW w:w="52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Europe</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341.6</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668.0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579.4</w:t>
            </w:r>
          </w:p>
        </w:tc>
      </w:tr>
      <w:tr>
        <w:trPr>
          <w:trHeight w:val="226"/>
        </w:trPr>
        <w:tc>
          <w:tcPr>
            <w:tcW w:w="2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7"/>
                <w:szCs w:val="17"/>
                <w:color w:val="auto"/>
              </w:rPr>
              <w:t>Rest of world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375.9</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376.0</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52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1,081.5</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April 30, 2026</w:t>
            </w:r>
          </w:p>
        </w:tc>
        <w:tc>
          <w:tcPr>
            <w:tcW w:w="180" w:type="dxa"/>
            <w:vAlign w:val="bottom"/>
          </w:tcPr>
          <w:p>
            <w:pPr>
              <w:spacing w:after="0"/>
              <w:rPr>
                <w:sz w:val="16"/>
                <w:szCs w:val="16"/>
                <w:color w:val="auto"/>
              </w:rPr>
            </w:pPr>
          </w:p>
        </w:tc>
        <w:tc>
          <w:tcPr>
            <w:tcW w:w="156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October 31, 2025</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property, plant and equipment by country of domicile:</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750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United States</w:t>
            </w:r>
          </w:p>
        </w:tc>
        <w:tc>
          <w:tcPr>
            <w:tcW w:w="2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1,429.1</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1,389.4</w:t>
            </w:r>
          </w:p>
        </w:tc>
      </w:tr>
      <w:tr>
        <w:trPr>
          <w:trHeight w:val="233"/>
        </w:trPr>
        <w:tc>
          <w:tcPr>
            <w:tcW w:w="20" w:type="dxa"/>
            <w:vAlign w:val="bottom"/>
            <w:shd w:val="clear" w:color="auto" w:fill="CCEEFF"/>
          </w:tcPr>
          <w:p>
            <w:pPr>
              <w:spacing w:after="0"/>
              <w:rPr>
                <w:sz w:val="20"/>
                <w:szCs w:val="20"/>
                <w:color w:val="auto"/>
              </w:rPr>
            </w:pPr>
          </w:p>
        </w:tc>
        <w:tc>
          <w:tcPr>
            <w:tcW w:w="7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Europe</w:t>
            </w: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429.1</w:t>
            </w:r>
          </w:p>
        </w:tc>
      </w:tr>
      <w:tr>
        <w:trPr>
          <w:trHeight w:val="226"/>
        </w:trPr>
        <w:tc>
          <w:tcPr>
            <w:tcW w:w="20" w:type="dxa"/>
            <w:vAlign w:val="bottom"/>
            <w:tcBorders>
              <w:bottom w:val="single" w:sz="8" w:color="CCEEFF"/>
            </w:tcBorders>
          </w:tcPr>
          <w:p>
            <w:pPr>
              <w:spacing w:after="0"/>
              <w:rPr>
                <w:sz w:val="19"/>
                <w:szCs w:val="19"/>
                <w:color w:val="auto"/>
              </w:rPr>
            </w:pPr>
          </w:p>
        </w:tc>
        <w:tc>
          <w:tcPr>
            <w:tcW w:w="75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7"/>
                <w:szCs w:val="17"/>
                <w:color w:val="auto"/>
              </w:rPr>
              <w:t>Rest of world</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257.4</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263.5</w:t>
            </w: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2,132.2</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Note 11. Financial Derivatives and Hedging</w:t>
      </w:r>
    </w:p>
    <w:p>
      <w:pPr>
        <w:spacing w:after="0" w:line="187"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As of April 30, 2026, the notional amount of outstanding foreign currency forward contracts was $54.5 million. The resulting impact on our Consolidated Financial Statements from currency hedging activities was not significant for the three and six months ended April 30, 2026 and April 30, 2025.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Notes to Consolidated Condensed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31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As of April 30, 2026, the Company has five interest rate swap contracts that have a total notional amount of $1.3 billion and remaining maturities of less than two years.</w:t>
      </w:r>
    </w:p>
    <w:p>
      <w:pPr>
        <w:spacing w:after="0" w:line="10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7"/>
          <w:szCs w:val="17"/>
          <w:color w:val="auto"/>
        </w:rPr>
        <w:t>The following table summarizes the amounts recognized with respect to our derivative instruments within the accompanying Consolidated Condensed Statements of Income (Loss) and Comprehensive Income (Loss):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4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760" w:type="dxa"/>
            <w:vAlign w:val="bottom"/>
          </w:tcPr>
          <w:p>
            <w:pPr>
              <w:spacing w:after="0"/>
              <w:rPr>
                <w:sz w:val="20"/>
                <w:szCs w:val="20"/>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2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6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9"/>
              </w:rPr>
              <w:t>2025</w:t>
            </w:r>
          </w:p>
        </w:tc>
      </w:tr>
      <w:tr>
        <w:trPr>
          <w:trHeight w:val="157"/>
        </w:trPr>
        <w:tc>
          <w:tcPr>
            <w:tcW w:w="2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spacing w:after="0" w:line="157" w:lineRule="exact"/>
              <w:rPr>
                <w:sz w:val="20"/>
                <w:szCs w:val="20"/>
                <w:color w:val="auto"/>
              </w:rPr>
            </w:pPr>
            <w:r>
              <w:rPr>
                <w:rFonts w:ascii="Times New Roman" w:cs="Times New Roman" w:eastAsia="Times New Roman" w:hAnsi="Times New Roman"/>
                <w:sz w:val="17"/>
                <w:szCs w:val="17"/>
                <w:b w:val="1"/>
                <w:bCs w:val="1"/>
                <w:color w:val="auto"/>
                <w:w w:val="99"/>
              </w:rPr>
              <w:t>Derivatives designated as cash flow</w:t>
            </w:r>
          </w:p>
        </w:tc>
        <w:tc>
          <w:tcPr>
            <w:tcW w:w="3520" w:type="dxa"/>
            <w:vAlign w:val="bottom"/>
            <w:gridSpan w:val="5"/>
            <w:shd w:val="clear" w:color="auto" w:fill="CCEEFF"/>
          </w:tcPr>
          <w:p>
            <w:pPr>
              <w:jc w:val="center"/>
              <w:ind w:left="435"/>
              <w:spacing w:after="0" w:line="157" w:lineRule="exact"/>
              <w:rPr>
                <w:sz w:val="20"/>
                <w:szCs w:val="20"/>
                <w:color w:val="auto"/>
              </w:rPr>
            </w:pPr>
            <w:r>
              <w:rPr>
                <w:rFonts w:ascii="Times New Roman" w:cs="Times New Roman" w:eastAsia="Times New Roman" w:hAnsi="Times New Roman"/>
                <w:sz w:val="17"/>
                <w:szCs w:val="17"/>
                <w:b w:val="1"/>
                <w:bCs w:val="1"/>
                <w:color w:val="auto"/>
              </w:rPr>
              <w:t>Location of (Gain)/Loss Recognized on</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7"/>
                <w:szCs w:val="17"/>
                <w:b w:val="1"/>
                <w:bCs w:val="1"/>
                <w:color w:val="auto"/>
                <w:w w:val="97"/>
              </w:rPr>
              <w:t>hedges</w:t>
            </w: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22"/>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Interest rate swap contracts</w:t>
            </w:r>
          </w:p>
        </w:tc>
        <w:tc>
          <w:tcPr>
            <w:tcW w:w="3520" w:type="dxa"/>
            <w:vAlign w:val="bottom"/>
            <w:gridSpan w:val="5"/>
          </w:tcPr>
          <w:p>
            <w:pPr>
              <w:ind w:left="54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bl>
    <w:p>
      <w:pPr>
        <w:spacing w:after="0" w:line="24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cumulative pre-tax impact of the gain on derivatives designated for hedge accounting is recognized in "Accumulated other comprehensive loss". The following table details the changes in the cumulative pre-tax impact of the gain on derivatives designated for hedge accounting:</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240" w:type="dxa"/>
            <w:vAlign w:val="bottom"/>
          </w:tcPr>
          <w:p>
            <w:pPr>
              <w:spacing w:after="0"/>
              <w:rPr>
                <w:sz w:val="20"/>
                <w:szCs w:val="20"/>
                <w:color w:val="auto"/>
              </w:rPr>
            </w:pPr>
          </w:p>
        </w:tc>
        <w:tc>
          <w:tcPr>
            <w:tcW w:w="220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0" w:type="dxa"/>
            <w:vAlign w:val="bottom"/>
          </w:tcPr>
          <w:p>
            <w:pPr>
              <w:spacing w:after="0"/>
              <w:rPr>
                <w:sz w:val="1"/>
                <w:szCs w:val="1"/>
                <w:color w:val="auto"/>
              </w:rPr>
            </w:pPr>
          </w:p>
        </w:tc>
      </w:tr>
      <w:tr>
        <w:trPr>
          <w:trHeight w:val="225"/>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gain</w:t>
            </w: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167"/>
        </w:trPr>
        <w:tc>
          <w:tcPr>
            <w:tcW w:w="596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Amount recognized in accumulated other comprehensive income on interest rate</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swap contracts, gross</w:t>
            </w:r>
          </w:p>
        </w:tc>
        <w:tc>
          <w:tcPr>
            <w:tcW w:w="2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9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Amount reclassified from accumulated other comprehensive income into earnings,</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 gain</w:t>
            </w: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amount recognized in other comprehensive income on interest rate swap contracts was $4.4 million and $5.1 million, net of tax, for the three and six months ended April 30, 2026, respectively, and $(12.7) million and $(6.3) million, net of tax, for the three and six months ended April 30, 2025, respectively.</w:t>
      </w:r>
    </w:p>
    <w:p>
      <w:pPr>
        <w:spacing w:after="0" w:line="109"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7"/>
          <w:szCs w:val="17"/>
          <w:color w:val="auto"/>
        </w:rPr>
        <w:t>The amount reclassified from other comprehensive income into earnings was $(4.0) million and $(8.7) million, net of tax, for the three and six months ended April 30, 2026, respectively, and $(6.9) million and $(15.3) million, net of tax, for the three and six months ended April 30, 2025, respectively.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8. Stockholders' Equity for amounts presented net of the related tax impact in "Accumulated other comprehensive loss."</w:t>
      </w:r>
    </w:p>
    <w:p>
      <w:pPr>
        <w:spacing w:after="0" w:line="16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The Company expects that $(19.4) million recorded as a component of "Accumulated other comprehensive loss" will be realized in the Consolidated Condensed Statements of Income (Loss) over the next twelve months and the amount will vary depending on prevailing interest rates.</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 numbers refer to “Notes to Consolidated Condensed Financial Statements” in Item 1. Unaudited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32" w:lineRule="exact"/>
        <w:rPr>
          <w:sz w:val="20"/>
          <w:szCs w:val="20"/>
          <w:color w:val="auto"/>
        </w:rPr>
      </w:pPr>
    </w:p>
    <w:p>
      <w:pPr>
        <w:ind w:left="660" w:right="220" w:hanging="652"/>
        <w:spacing w:after="0" w:line="255"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w:t>
      </w:r>
    </w:p>
    <w:p>
      <w:pPr>
        <w:spacing w:after="0" w:line="2" w:lineRule="exact"/>
        <w:rPr>
          <w:rFonts w:ascii="Times New Roman" w:cs="Times New Roman" w:eastAsia="Times New Roman" w:hAnsi="Times New Roman"/>
          <w:sz w:val="17"/>
          <w:szCs w:val="17"/>
          <w:color w:val="auto"/>
        </w:rPr>
      </w:pPr>
    </w:p>
    <w:p>
      <w:pPr>
        <w:ind w:left="660" w:right="20" w:hanging="652"/>
        <w:spacing w:after="0" w:line="256"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international conflicts, including the ongoing conflict in the Middle East, and the global response to international conflicts on the global and local economy, financial markets, energy markets, currency rates and our ability to supply product to, or through, or around, affected countries.</w:t>
      </w:r>
    </w:p>
    <w:p>
      <w:pPr>
        <w:spacing w:after="0" w:line="1" w:lineRule="exact"/>
        <w:rPr>
          <w:rFonts w:ascii="Times New Roman" w:cs="Times New Roman" w:eastAsia="Times New Roman" w:hAnsi="Times New Roman"/>
          <w:sz w:val="17"/>
          <w:szCs w:val="17"/>
          <w:color w:val="auto"/>
        </w:rPr>
      </w:pPr>
    </w:p>
    <w:p>
      <w:pPr>
        <w:ind w:left="660" w:right="700" w:hanging="652"/>
        <w:spacing w:after="0" w:line="248"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and expanding international operations and the challenges of managing an organization spread throughout multiple countries and complying with a variety of legal, compliance and regulatory requirements.</w:t>
      </w:r>
    </w:p>
    <w:p>
      <w:pPr>
        <w:spacing w:after="0" w:line="1" w:lineRule="exact"/>
        <w:rPr>
          <w:rFonts w:ascii="Times New Roman" w:cs="Times New Roman" w:eastAsia="Times New Roman" w:hAnsi="Times New Roman"/>
          <w:sz w:val="17"/>
          <w:szCs w:val="17"/>
          <w:color w:val="auto"/>
        </w:rPr>
      </w:pPr>
    </w:p>
    <w:p>
      <w:pPr>
        <w:ind w:left="660" w:right="20" w:hanging="652"/>
        <w:spacing w:after="0" w:line="237"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w:t>
      </w:r>
    </w:p>
    <w:p>
      <w:pPr>
        <w:spacing w:after="0" w:line="1" w:lineRule="exact"/>
        <w:rPr>
          <w:rFonts w:ascii="Times New Roman" w:cs="Times New Roman" w:eastAsia="Times New Roman" w:hAnsi="Times New Roman"/>
          <w:sz w:val="17"/>
          <w:szCs w:val="17"/>
          <w:color w:val="auto"/>
        </w:rPr>
      </w:pPr>
    </w:p>
    <w:p>
      <w:pPr>
        <w:ind w:left="660" w:right="480" w:hanging="652"/>
        <w:spacing w:after="0" w:line="248"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Times New Roman" w:cs="Times New Roman" w:eastAsia="Times New Roman" w:hAnsi="Times New Roman"/>
          <w:sz w:val="17"/>
          <w:szCs w:val="17"/>
          <w:color w:val="auto"/>
        </w:rPr>
      </w:pPr>
    </w:p>
    <w:p>
      <w:pPr>
        <w:ind w:left="660" w:right="40" w:hanging="652"/>
        <w:spacing w:after="0" w:line="248"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examinations by tax authorities, and changes in our geographic composition of income.</w:t>
      </w:r>
    </w:p>
    <w:p>
      <w:pPr>
        <w:spacing w:after="0" w:line="8" w:lineRule="exact"/>
        <w:rPr>
          <w:rFonts w:ascii="Times New Roman" w:cs="Times New Roman" w:eastAsia="Times New Roman" w:hAnsi="Times New Roman"/>
          <w:sz w:val="17"/>
          <w:szCs w:val="17"/>
          <w:color w:val="auto"/>
        </w:rPr>
      </w:pPr>
    </w:p>
    <w:p>
      <w:pPr>
        <w:ind w:left="660" w:right="160" w:hanging="652"/>
        <w:spacing w:after="0" w:line="253"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3" w:lineRule="exact"/>
        <w:rPr>
          <w:rFonts w:ascii="Times New Roman" w:cs="Times New Roman" w:eastAsia="Times New Roman" w:hAnsi="Times New Roman"/>
          <w:sz w:val="17"/>
          <w:szCs w:val="17"/>
          <w:color w:val="auto"/>
        </w:rPr>
      </w:pPr>
    </w:p>
    <w:p>
      <w:pPr>
        <w:ind w:left="660" w:right="20" w:hanging="652"/>
        <w:spacing w:after="0" w:line="248"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w:t>
      </w:r>
    </w:p>
    <w:p>
      <w:pPr>
        <w:spacing w:after="0" w:line="1" w:lineRule="exact"/>
        <w:rPr>
          <w:rFonts w:ascii="Times New Roman" w:cs="Times New Roman" w:eastAsia="Times New Roman" w:hAnsi="Times New Roman"/>
          <w:sz w:val="17"/>
          <w:szCs w:val="17"/>
          <w:color w:val="auto"/>
        </w:rPr>
      </w:pPr>
    </w:p>
    <w:p>
      <w:pPr>
        <w:jc w:val="both"/>
        <w:ind w:left="660" w:right="320" w:hanging="652"/>
        <w:spacing w:after="0" w:line="254"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w:t>
      </w:r>
    </w:p>
    <w:p>
      <w:pPr>
        <w:ind w:left="660" w:right="200" w:hanging="652"/>
        <w:spacing w:after="0" w:line="248"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w:t>
      </w:r>
    </w:p>
    <w:p>
      <w:pPr>
        <w:spacing w:after="0" w:line="1" w:lineRule="exact"/>
        <w:rPr>
          <w:rFonts w:ascii="Times New Roman" w:cs="Times New Roman" w:eastAsia="Times New Roman" w:hAnsi="Times New Roman"/>
          <w:sz w:val="17"/>
          <w:szCs w:val="17"/>
          <w:color w:val="auto"/>
        </w:rPr>
      </w:pPr>
    </w:p>
    <w:p>
      <w:pPr>
        <w:ind w:left="660" w:right="280" w:hanging="652"/>
        <w:spacing w:after="0" w:line="275" w:lineRule="auto"/>
        <w:tabs>
          <w:tab w:leader="none" w:pos="6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successful cybersecurity attack which could interrupt or disrupt our information technology systems, or those of our third-party service providers, or cause the loss of confidential or protected data.</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235" w:lineRule="exact"/>
        <w:rPr>
          <w:sz w:val="20"/>
          <w:szCs w:val="20"/>
          <w:color w:val="auto"/>
        </w:rPr>
      </w:pPr>
    </w:p>
    <w:p>
      <w:pPr>
        <w:ind w:left="660" w:right="200" w:hanging="652"/>
        <w:spacing w:after="0" w:line="259"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supplies of raw materials, particularly components used to manufacture our silicone hydrogel lenses.</w:t>
      </w:r>
    </w:p>
    <w:p>
      <w:pPr>
        <w:spacing w:after="0" w:line="8" w:lineRule="exact"/>
        <w:rPr>
          <w:rFonts w:ascii="Times New Roman" w:cs="Times New Roman" w:eastAsia="Times New Roman" w:hAnsi="Times New Roman"/>
          <w:sz w:val="17"/>
          <w:szCs w:val="17"/>
          <w:color w:val="auto"/>
        </w:rPr>
      </w:pPr>
    </w:p>
    <w:p>
      <w:pPr>
        <w:ind w:left="660" w:right="100" w:hanging="652"/>
        <w:spacing w:after="0" w:line="252"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w:t>
      </w:r>
    </w:p>
    <w:p>
      <w:pPr>
        <w:ind w:left="660" w:hanging="652"/>
        <w:spacing w:after="0" w:line="256"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costs, insurance expenses, settlement costs and the risk of an adverse decision, prohibitive injunction or settlement related to product liability, patent infringement, contractual disputes, or other litigation.</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sales following product introductions due to poor market acceptance.</w:t>
      </w:r>
    </w:p>
    <w:p>
      <w:pPr>
        <w:spacing w:after="0" w:line="7" w:lineRule="exact"/>
        <w:rPr>
          <w:rFonts w:ascii="Times New Roman" w:cs="Times New Roman" w:eastAsia="Times New Roman" w:hAnsi="Times New Roman"/>
          <w:sz w:val="17"/>
          <w:szCs w:val="17"/>
          <w:color w:val="auto"/>
        </w:rPr>
      </w:pPr>
    </w:p>
    <w:p>
      <w:pPr>
        <w:ind w:left="660" w:right="36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Times New Roman" w:cs="Times New Roman" w:eastAsia="Times New Roman" w:hAnsi="Times New Roman"/>
          <w:sz w:val="17"/>
          <w:szCs w:val="17"/>
          <w:color w:val="auto"/>
        </w:rPr>
      </w:pPr>
    </w:p>
    <w:p>
      <w:pPr>
        <w:ind w:left="660" w:right="240" w:hanging="652"/>
        <w:spacing w:after="0" w:line="249"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sales, loss of customers, reputational harm and costs and expenses, including from claims and litigation related to product recalls and warning letters.</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receive, or delays in receiving, regulatory approvals or certifications for products.</w:t>
      </w:r>
    </w:p>
    <w:p>
      <w:pPr>
        <w:spacing w:after="0" w:line="1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customers and end users to obtain adequate coverage and reimbursement from third-party payers for our products and services.</w:t>
      </w:r>
    </w:p>
    <w:p>
      <w:pPr>
        <w:spacing w:after="0" w:line="7" w:lineRule="exact"/>
        <w:rPr>
          <w:rFonts w:ascii="Times New Roman" w:cs="Times New Roman" w:eastAsia="Times New Roman" w:hAnsi="Times New Roman"/>
          <w:sz w:val="17"/>
          <w:szCs w:val="17"/>
          <w:color w:val="auto"/>
        </w:rPr>
      </w:pPr>
    </w:p>
    <w:p>
      <w:pPr>
        <w:ind w:left="660" w:right="10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research and development activities and other start-up projects.</w:t>
      </w:r>
    </w:p>
    <w:p>
      <w:pPr>
        <w:spacing w:after="0" w:line="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Dilution to earnings per share from acquisitions or issuing stock.</w:t>
      </w:r>
    </w:p>
    <w:p>
      <w:pPr>
        <w:spacing w:after="0" w:line="18"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and costs incurred from changes in accounting standards and policies.</w:t>
      </w:r>
    </w:p>
    <w:p>
      <w:pPr>
        <w:spacing w:after="0" w:line="7" w:lineRule="exact"/>
        <w:rPr>
          <w:rFonts w:ascii="Times New Roman" w:cs="Times New Roman" w:eastAsia="Times New Roman" w:hAnsi="Times New Roman"/>
          <w:sz w:val="17"/>
          <w:szCs w:val="17"/>
          <w:color w:val="auto"/>
        </w:rPr>
      </w:pPr>
    </w:p>
    <w:p>
      <w:pPr>
        <w:ind w:left="660" w:right="300" w:hanging="652"/>
        <w:spacing w:after="0" w:line="248"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laws and requirements applicable to our facilities, products or manufacturing processes, including evolving regulations regarding the use of hazardous substances or chemicals in our products.</w:t>
      </w:r>
    </w:p>
    <w:p>
      <w:pPr>
        <w:spacing w:after="0" w:line="1" w:lineRule="exact"/>
        <w:rPr>
          <w:rFonts w:ascii="Times New Roman" w:cs="Times New Roman" w:eastAsia="Times New Roman" w:hAnsi="Times New Roman"/>
          <w:sz w:val="17"/>
          <w:szCs w:val="17"/>
          <w:color w:val="auto"/>
        </w:rPr>
      </w:pPr>
    </w:p>
    <w:p>
      <w:pPr>
        <w:ind w:left="660" w:right="100" w:hanging="652"/>
        <w:spacing w:after="0" w:line="256"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environmental, social and corporate governance issues, including those related to regulatory and disclosure requirements, climate change and sustainability.</w:t>
      </w:r>
    </w:p>
    <w:p>
      <w:pPr>
        <w:spacing w:after="0" w:line="1" w:lineRule="exact"/>
        <w:rPr>
          <w:rFonts w:ascii="Times New Roman" w:cs="Times New Roman" w:eastAsia="Times New Roman" w:hAnsi="Times New Roman"/>
          <w:sz w:val="17"/>
          <w:szCs w:val="17"/>
          <w:color w:val="auto"/>
        </w:rPr>
      </w:pPr>
    </w:p>
    <w:p>
      <w:pPr>
        <w:ind w:left="660" w:right="20" w:hanging="652"/>
        <w:spacing w:after="0" w:line="254" w:lineRule="auto"/>
        <w:tabs>
          <w:tab w:leader="none" w:pos="6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described in our United States Securities and Exchange Commission filings, including the “Business” and “Risk Factors” sections in our Annual Report on Form 10-K for the fiscal year ended October 31, 2025, as such Risk Factors may be updated in quarterly filings including updates made in this filing.</w:t>
      </w:r>
    </w:p>
    <w:p>
      <w:pPr>
        <w:spacing w:after="0" w:line="13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We caution investors that forward-looking statements reflect our analysis only on their stated date. We disclaim any obligation to update or revise them except as required by law.</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In this section, we discuss the results of our operations for the second quarter of fiscal 2026 ended April 30, 2026, compared with the same period of fiscal 2025.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Outlook</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Part II, Item 1A "Risk Factors" herein. These risks include uncertain global and regional business, political and economic conditions, including but not limited to those associated with man-made or natural disasters, pandemic conditions, inflation, foreign exchange rate fluctuations, regulatory developments, supply chain disruptions, and escalating global trade barriers and disruptions, such as the impact of tariffs. These risks and uncertainties have adversely affected our sales, cash flow and performance in the past and could further adversely affect our future sales, cash flow and performance.</w:t>
      </w:r>
    </w:p>
    <w:p>
      <w:pPr>
        <w:spacing w:after="0" w:line="12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 We compete in the worldwide contact lens market with our spherical, toric, multifocal and toric multifocal contact lenses offered in materials like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silicone hydrogel Aquaform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CooperVision also competes in the myopia management and specialty eye care contact lens markets with myopia management contact lenses using its ActivControl technology and with products such as orthokeratology (ortho-k) and scleral lenses. CooperVision has U.S. Food and Drug Administration (FDA) approval for its MiSight 1 day lens, which is the first and only FDA-approved product indicated to slow the progression of myopia in children with treatment initiated between the ages of 8-12. Further, CooperVision received Chinese National Medical Products Administration approval for use of the MiSight 1 day lens in China and received Japanese Ministry of Health, Labour and Welfare approval for use of the MiSight 1 day lens in Japan. CooperVision is focused on greater worldwide market penetration using recently introduced products, and we continue to expand our presence in existing and emerging markets, including through acquisitions.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 MyDay and MyDay Energys remain a focus as we expect increasing demand for these products, as well as future single-use products, as the global contact lens market continues to shift to this modality. Outside of single-use, the Biofinity and Avaira Vitality product families comprise our focus in the FRP, or frequent replacement product, market which encompasses the monthly and two-week modalities. Included in this segment are unique products such as Biofinity Energys, which helps individuals with digital eye fatigue.</w:t>
      </w:r>
    </w:p>
    <w:p>
      <w:pPr>
        <w:spacing w:after="0" w:line="12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CooperSurgical - </w:t>
      </w:r>
      <w:r>
        <w:rPr>
          <w:rFonts w:ascii="Times New Roman" w:cs="Times New Roman" w:eastAsia="Times New Roman" w:hAnsi="Times New Roman"/>
          <w:sz w:val="17"/>
          <w:szCs w:val="17"/>
          <w:color w:val="auto"/>
        </w:rPr>
        <w:t>Our CooperSurgical business competes in the fertility and women's health care market through its diversified portfolio of products and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fertility products and services, medical devices, cryostorage (such as cord blood and cord tissue storage) and contraception. CooperSurgical has established its market presence and distribution system by developing products and acquiring companies, products and services that complement its business model.</w:t>
      </w:r>
    </w:p>
    <w:p>
      <w:pPr>
        <w:spacing w:after="0" w:line="13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Competitive factors in the segments in which CooperSurgical competes include technological and scientific advances, product quality and availability, price and customer service (including response time and effective communication of product information to physicians, consumers, fertility clinics and hospitals).</w:t>
      </w:r>
    </w:p>
    <w:p>
      <w:pPr>
        <w:spacing w:after="0" w:line="10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We protect our products through patents and trademark registrations, both in the United States and in international markets. We monitor competitive products trademark use worldwide and, when determined appropriate, we have enforced and plan to continue to enforce and defend our patent and trademark rights. We also rely upon trade secrets, licenses, technical know-how and continuing technological innovation to develop and maintain our competitive position.</w:t>
      </w:r>
    </w:p>
    <w:p>
      <w:pPr>
        <w:spacing w:after="0" w:line="13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CooperVision, CooperSurgical, and other trade names, trademarks or service marks of the Company and its subsidiaries appearing in this report are the property of the Company and its subsidiaries. Trade names, trademarks and service marks of the other companies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77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212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contact lens market has two major product categories:</w:t>
      </w:r>
    </w:p>
    <w:p>
      <w:pPr>
        <w:spacing w:after="0" w:line="169" w:lineRule="exact"/>
        <w:rPr>
          <w:sz w:val="20"/>
          <w:szCs w:val="20"/>
          <w:color w:val="auto"/>
        </w:rPr>
      </w:pPr>
    </w:p>
    <w:p>
      <w:pPr>
        <w:ind w:left="340" w:right="100" w:hanging="332"/>
        <w:spacing w:after="0" w:line="281" w:lineRule="auto"/>
        <w:tabs>
          <w:tab w:leader="none" w:pos="33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 and</w:t>
      </w:r>
    </w:p>
    <w:p>
      <w:pPr>
        <w:spacing w:after="0" w:line="109" w:lineRule="exact"/>
        <w:rPr>
          <w:rFonts w:ascii="Times New Roman" w:cs="Times New Roman" w:eastAsia="Times New Roman" w:hAnsi="Times New Roman"/>
          <w:sz w:val="17"/>
          <w:szCs w:val="17"/>
          <w:color w:val="auto"/>
        </w:rPr>
      </w:pPr>
    </w:p>
    <w:p>
      <w:pPr>
        <w:ind w:left="340" w:right="280" w:hanging="332"/>
        <w:spacing w:after="0" w:line="281" w:lineRule="auto"/>
        <w:tabs>
          <w:tab w:leader="none" w:pos="33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Spherical lenses, including lenses that correct near- and farsightedness uncomplicated by more complex visual defects, myopia management lenses, which slow the progression of and correct myopia in age-appropriate children, and other specialty lenses.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80645</wp:posOffset>
            </wp:positionV>
            <wp:extent cx="5143500" cy="2451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43"/>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3"/>
                <w:szCs w:val="3"/>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56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Toric and multifocal</w:t>
            </w:r>
          </w:p>
        </w:tc>
        <w:tc>
          <w:tcPr>
            <w:tcW w:w="3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Sphere, other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341.2</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52"/>
        </w:trPr>
        <w:tc>
          <w:tcPr>
            <w:tcW w:w="5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36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349885</wp:posOffset>
            </wp:positionV>
            <wp:extent cx="5143500" cy="2451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44"/>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3"/>
                <w:szCs w:val="3"/>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5660" w:type="dxa"/>
            <w:vAlign w:val="bottom"/>
            <w:tcBorders>
              <w:bottom w:val="single" w:sz="8" w:color="CCEEFF"/>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Toric and multifocal</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647.8</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2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Sphere, other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667.9</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52"/>
        </w:trPr>
        <w:tc>
          <w:tcPr>
            <w:tcW w:w="5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1,315.7</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7"/>
          <w:szCs w:val="17"/>
          <w:color w:val="auto"/>
        </w:rPr>
        <w:t>In the three and six months ended April 30, 2026, the growth experienced across all categories was positively impacted by favorable foreign exchange rate fluctuations of approximately $28.4 million and $56.5 million, respectively.</w:t>
      </w:r>
    </w:p>
    <w:p>
      <w:pPr>
        <w:spacing w:after="0" w:line="10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Toric and multifocal grew primarily through the success of Biofinity and MyDay.</w:t>
      </w:r>
    </w:p>
    <w:p>
      <w:pPr>
        <w:spacing w:after="0" w:line="169"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Sphere, other grew primarily through MyDay and MiSight.</w:t>
      </w:r>
    </w:p>
    <w:p>
      <w:pPr>
        <w:spacing w:after="0" w:line="169"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products represented less than 1% of net sales in the three and six months ended April 30, 2026 and 2025,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CooperVision Net Sales by Geography</w:t>
      </w:r>
    </w:p>
    <w:p>
      <w:pPr>
        <w:spacing w:after="0" w:line="173"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CooperVision competes in the worldwide soft contact lens market and services in three primary regions: the Americas, EMEA (Europe, Middle East and Africa) and Asia Pacific.</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280" w:type="dxa"/>
            <w:vAlign w:val="bottom"/>
          </w:tcPr>
          <w:p>
            <w:pPr>
              <w:spacing w:after="0"/>
              <w:rPr>
                <w:sz w:val="14"/>
                <w:szCs w:val="14"/>
                <w:color w:val="auto"/>
              </w:rPr>
            </w:pPr>
          </w:p>
        </w:tc>
        <w:tc>
          <w:tcPr>
            <w:tcW w:w="1000" w:type="dxa"/>
            <w:vAlign w:val="bottom"/>
            <w:vMerge w:val="restart"/>
          </w:tcPr>
          <w:p>
            <w:pPr>
              <w:jc w:val="right"/>
              <w:ind w:right="3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2026 vs 2025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4"/>
                <w:szCs w:val="14"/>
                <w:color w:val="auto"/>
              </w:rPr>
            </w:pPr>
          </w:p>
        </w:tc>
        <w:tc>
          <w:tcPr>
            <w:tcW w:w="1600" w:type="dxa"/>
            <w:vAlign w:val="bottom"/>
          </w:tcPr>
          <w:p>
            <w:pPr>
              <w:jc w:val="right"/>
              <w:ind w:right="255"/>
              <w:spacing w:after="0" w:line="162" w:lineRule="exact"/>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228"/>
        </w:trPr>
        <w:tc>
          <w:tcPr>
            <w:tcW w:w="24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 Change</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Americas</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6"/>
        </w:trPr>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267.3</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7"/>
        </w:trPr>
        <w:tc>
          <w:tcPr>
            <w:tcW w:w="246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723.5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669.6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7"/>
          <w:szCs w:val="17"/>
          <w:color w:val="auto"/>
        </w:rPr>
        <w:t>CooperVision's growth in net sales in the Americas and EMEA was primarily attributable to market gains of silicone hydrogel contact lenses. In Asia Pacific, net sales declined due to softness in Japan. The growth in EMEA was positively impacted by favorable foreign exchange rate fluctuations. Refer to CooperVision Net Sales by Category above for further discussion.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CooperSurgical supplies the fertility and women's health care market with a diversified portfolio of products and services in two categories:</w:t>
      </w:r>
    </w:p>
    <w:p>
      <w:pPr>
        <w:spacing w:after="0" w:line="169" w:lineRule="exact"/>
        <w:rPr>
          <w:sz w:val="20"/>
          <w:szCs w:val="20"/>
          <w:color w:val="auto"/>
        </w:rPr>
      </w:pPr>
    </w:p>
    <w:p>
      <w:pPr>
        <w:ind w:left="340" w:right="120" w:hanging="332"/>
        <w:spacing w:after="0" w:line="273" w:lineRule="auto"/>
        <w:tabs>
          <w:tab w:leader="none" w:pos="33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and surgical offerings include products that facilitate surgical and non-surgical procedures that are commonly performed primarily by obstetricians and gynecologists in hospitals, surgical centers, and medical offices. This includes medical devices, cryostorage (such as cord blood and cord tissue storage), and contraception.</w:t>
      </w:r>
    </w:p>
    <w:p>
      <w:pPr>
        <w:spacing w:after="0" w:line="115" w:lineRule="exact"/>
        <w:rPr>
          <w:rFonts w:ascii="Times New Roman" w:cs="Times New Roman" w:eastAsia="Times New Roman" w:hAnsi="Times New Roman"/>
          <w:sz w:val="17"/>
          <w:szCs w:val="17"/>
          <w:color w:val="auto"/>
        </w:rPr>
      </w:pPr>
    </w:p>
    <w:p>
      <w:pPr>
        <w:ind w:left="340" w:right="20" w:hanging="332"/>
        <w:spacing w:after="0" w:line="265" w:lineRule="auto"/>
        <w:tabs>
          <w:tab w:leader="none" w:pos="33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Fertility offerings include highly specialized products and services that target the in vitro fertilization process, including diagnostics testing with a goal to make fertility treatment safer, more efficient and convenient. This includes fertility consumables and equipment, donor gamete services, and genomic services (including genetic testing).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CooperSurgical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72390</wp:posOffset>
            </wp:positionV>
            <wp:extent cx="5160645" cy="2468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06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160" w:type="dxa"/>
            <w:vAlign w:val="bottom"/>
          </w:tcPr>
          <w:p>
            <w:pPr>
              <w:spacing w:after="0"/>
              <w:rPr>
                <w:sz w:val="21"/>
                <w:szCs w:val="21"/>
                <w:color w:val="auto"/>
              </w:rPr>
            </w:pPr>
          </w:p>
        </w:tc>
        <w:tc>
          <w:tcPr>
            <w:tcW w:w="156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1"/>
                <w:szCs w:val="21"/>
                <w:color w:val="auto"/>
              </w:rPr>
            </w:pPr>
          </w:p>
        </w:tc>
        <w:tc>
          <w:tcPr>
            <w:tcW w:w="22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6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and surgical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Fertility</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126.9</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jc w:val="right"/>
              <w:ind w:right="1255"/>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349885</wp:posOffset>
            </wp:positionV>
            <wp:extent cx="5160645" cy="2468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6064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40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vMerge w:val="restart"/>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Pr>
          <w:p>
            <w:pPr>
              <w:spacing w:after="0"/>
              <w:rPr>
                <w:sz w:val="21"/>
                <w:szCs w:val="21"/>
                <w:color w:val="auto"/>
              </w:rPr>
            </w:pPr>
          </w:p>
        </w:tc>
        <w:tc>
          <w:tcPr>
            <w:tcW w:w="186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gridSpan w:val="2"/>
          </w:tcPr>
          <w:p>
            <w:pPr>
              <w:spacing w:after="0" w:line="155"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jc w:val="right"/>
              <w:ind w:right="455"/>
              <w:spacing w:after="0" w:line="155"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and surgical</w:t>
            </w: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Fertility</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In the three months ended April 30, 2026, office and surgical net sales increased primarily due to increased sales of surgical products. Fertility net sales increased primarily due to an increase in revenue from consumable products and genetic testing.</w:t>
      </w:r>
    </w:p>
    <w:p>
      <w:pPr>
        <w:spacing w:after="0" w:line="10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In the six months ended April 30, 2026, office and surgical net sales increased primarily due to increased sales of surgical products, partially offset by a decrease in revenue of Paragard contraceptive intrauterine devices. Fertility net sales increased primarily due to an increase in revenue from consumable products and genetic testing.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Margin.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gross margin remained flat at 68% for both the three and six months ended April 30, 2026 and April 30,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 Expenses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4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435"/>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41 %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194 %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399.0</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6"/>
                <w:szCs w:val="16"/>
                <w:color w:val="auto"/>
              </w:rPr>
            </w:pPr>
          </w:p>
        </w:tc>
        <w:tc>
          <w:tcPr>
            <w:tcW w:w="1240" w:type="dxa"/>
            <w:vAlign w:val="bottom"/>
            <w:vMerge w:val="restart"/>
          </w:tcPr>
          <w:p>
            <w:pPr>
              <w:jc w:val="right"/>
              <w:ind w:right="53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Pr>
          <w:p>
            <w:pPr>
              <w:spacing w:after="0"/>
              <w:rPr>
                <w:sz w:val="16"/>
                <w:szCs w:val="16"/>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6"/>
                <w:szCs w:val="16"/>
                <w:color w:val="auto"/>
              </w:rPr>
            </w:pPr>
          </w:p>
        </w:tc>
        <w:tc>
          <w:tcPr>
            <w:tcW w:w="1800" w:type="dxa"/>
            <w:vAlign w:val="bottom"/>
          </w:tcPr>
          <w:p>
            <w:pPr>
              <w:jc w:val="right"/>
              <w:ind w:right="355"/>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jc w:val="right"/>
              <w:ind w:right="435"/>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35 %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530.8</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42 %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1,066.4</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786.9</w:t>
            </w: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40 %</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CooperVision's SGA expenses increased in the three and six months ended April 30, 2026, compared to the three and six months ended April 30, 2025, primarily due to increased selling activities.</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7"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CooperSurgical's SGA expenses increased in the three and six months ended April 30, 2026, compared to the three and six months ended April 30, 2025, primarily due to the $271.6 million litigation expense, net of insurance recoveries. Refer to Note 9. Contingencies and Commitments for additional information.</w:t>
      </w:r>
    </w:p>
    <w:p>
      <w:pPr>
        <w:spacing w:after="0" w:line="109"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Corporate SGA expenses decreased in the three and six months ended April 30, 2026, compared to the three and six months ended April 30, 2025, primarily due to a decrease in share-based compensation related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Research and Development (R&amp;D) Expenses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7"/>
                <w:szCs w:val="17"/>
                <w:color w:val="auto"/>
              </w:rPr>
            </w:pPr>
          </w:p>
        </w:tc>
        <w:tc>
          <w:tcPr>
            <w:tcW w:w="126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7"/>
                <w:szCs w:val="17"/>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80" w:type="dxa"/>
            <w:vAlign w:val="bottom"/>
          </w:tcPr>
          <w:p>
            <w:pPr>
              <w:spacing w:after="0"/>
              <w:rPr>
                <w:sz w:val="16"/>
                <w:szCs w:val="16"/>
                <w:color w:val="auto"/>
              </w:rPr>
            </w:pPr>
          </w:p>
        </w:tc>
        <w:tc>
          <w:tcPr>
            <w:tcW w:w="126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6"/>
                <w:szCs w:val="16"/>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6"/>
                <w:szCs w:val="16"/>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7"/>
          <w:szCs w:val="17"/>
          <w:color w:val="auto"/>
        </w:rPr>
        <w:t>CooperVision's R&amp;D expenses decreased in the three and six months ended April 30, 2026, compared to the three and six months ended April 30, 2025, primarily due to a decrease in R&amp;D project spend. CooperVision's R&amp;D projects are primarily focused on the development of contact lenses, manufacturing technology, and process enhancements.</w:t>
      </w:r>
    </w:p>
    <w:p>
      <w:pPr>
        <w:spacing w:after="0" w:line="116"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7"/>
          <w:szCs w:val="17"/>
          <w:color w:val="auto"/>
        </w:rPr>
        <w:t>CooperSurgical's R&amp;D expenses increased in the three and six months ended April 30, 2026, compared to the three and six months ended April 30, 2025, primarily due to an increase in R&amp;D project spend and pharmacovigilance related fees. CooperSurgical's R&amp;D projects are primarily focused on the development of surgical devices and fertility solutions, manufacturing technology, and process enhancements.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Amortization Expense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7"/>
                <w:szCs w:val="17"/>
                <w:color w:val="auto"/>
              </w:rPr>
            </w:pPr>
          </w:p>
        </w:tc>
        <w:tc>
          <w:tcPr>
            <w:tcW w:w="1320" w:type="dxa"/>
            <w:vAlign w:val="bottom"/>
            <w:vMerge w:val="restart"/>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6"/>
                <w:szCs w:val="16"/>
                <w:color w:val="auto"/>
              </w:rPr>
            </w:pPr>
          </w:p>
        </w:tc>
        <w:tc>
          <w:tcPr>
            <w:tcW w:w="1320" w:type="dxa"/>
            <w:vAlign w:val="bottom"/>
            <w:vMerge w:val="restart"/>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6"/>
                <w:szCs w:val="16"/>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w w:val="98"/>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3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CooperVision's amortization expense decreased in the three and six months ended April 30, 2026, compared to the three and six months ended April 30, 2025, primarily due to certain intangible assets being fully amortized.</w:t>
      </w:r>
    </w:p>
    <w:p>
      <w:pPr>
        <w:spacing w:after="0" w:line="10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CooperSurgical's amortization expense decreased in the three and six months ended April 30, 2026, compared to the three and six months ended April 30, 2025, primarily due to certain intangible assets being fully amortized and the write-off of an intangible asset in fiscal 2025.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Operating Income (Loss)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36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CooperVision</w:t>
            </w:r>
          </w:p>
        </w:tc>
        <w:tc>
          <w:tcPr>
            <w:tcW w:w="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CooperSurgical</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CooperVision's operating income increased in the three and six months ended April 30, 2026, compared to the three and six months ended April 30, 2025, primarily due to the increase in net sales outpacing the increase in operating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CooperSurgical reported operating loss in the three and six months ended April 30, 2026, compared to the operating income in the three and six months ended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30, 2025, primarily due to increased SGA expenses related to the $271.6 million litigation expense, net of insurance recoveries. Refer to Note 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Contingencies and Commitments for additional information.</w:t>
      </w:r>
    </w:p>
    <w:p>
      <w:pPr>
        <w:spacing w:after="0" w:line="151"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color w:val="auto"/>
        </w:rPr>
        <w:t>Corporate operating loss decreased in the three and six months ended April 30, 2026, compared to the three and six months ended April 30, 2025, primarily due to a decrease in share-based compensation related expenses.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1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Three Months Ended April 30,</w:t>
            </w: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7"/>
                <w:szCs w:val="17"/>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7"/>
                <w:szCs w:val="17"/>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2026 vs 2025</w:t>
            </w: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380" w:type="dxa"/>
            <w:vAlign w:val="bottom"/>
          </w:tcPr>
          <w:p>
            <w:pPr>
              <w:spacing w:after="0"/>
              <w:rPr>
                <w:sz w:val="16"/>
                <w:szCs w:val="16"/>
                <w:color w:val="auto"/>
              </w:rPr>
            </w:pPr>
          </w:p>
        </w:tc>
        <w:tc>
          <w:tcPr>
            <w:tcW w:w="1280" w:type="dxa"/>
            <w:vAlign w:val="bottom"/>
            <w:vMerge w:val="restart"/>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6"/>
                <w:szCs w:val="16"/>
                <w:color w:val="auto"/>
              </w:rPr>
            </w:pPr>
          </w:p>
        </w:tc>
        <w:tc>
          <w:tcPr>
            <w:tcW w:w="11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 Net Sales</w:t>
            </w:r>
          </w:p>
        </w:tc>
        <w:tc>
          <w:tcPr>
            <w:tcW w:w="12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color w:val="auto"/>
        </w:rPr>
        <w:t>Interest expense decreased during the three and six months ended April 30, 2026, compared to the three and six months ended April 30, 2025, due to lower interest rates and lower average debt balances.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47"/>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Periods Ended April 30,</w:t>
            </w: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Three Months</w:t>
            </w: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Six Months</w:t>
            </w:r>
          </w:p>
        </w:tc>
        <w:tc>
          <w:tcPr>
            <w:tcW w:w="1220" w:type="dxa"/>
            <w:vAlign w:val="bottom"/>
            <w:tcBorders>
              <w:bottom w:val="single" w:sz="8" w:color="auto"/>
            </w:tcBorders>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3800" w:type="dxa"/>
            <w:vAlign w:val="bottom"/>
            <w:gridSpan w:val="2"/>
          </w:tcPr>
          <w:p>
            <w:pPr>
              <w:spacing w:after="0" w:line="176"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400" w:type="dxa"/>
            <w:vAlign w:val="bottom"/>
          </w:tcPr>
          <w:p>
            <w:pPr>
              <w:spacing w:after="0"/>
              <w:rPr>
                <w:sz w:val="15"/>
                <w:szCs w:val="15"/>
                <w:color w:val="auto"/>
              </w:rPr>
            </w:pPr>
          </w:p>
        </w:tc>
        <w:tc>
          <w:tcPr>
            <w:tcW w:w="1380" w:type="dxa"/>
            <w:vAlign w:val="bottom"/>
          </w:tcPr>
          <w:p>
            <w:pPr>
              <w:jc w:val="right"/>
              <w:ind w:right="63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jc w:val="right"/>
              <w:ind w:right="63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tcPr>
          <w:p>
            <w:pPr>
              <w:jc w:val="right"/>
              <w:ind w:right="635"/>
              <w:spacing w:after="0" w:line="176" w:lineRule="exact"/>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ind w:right="615"/>
              <w:spacing w:after="0" w:line="176" w:lineRule="exact"/>
              <w:rPr>
                <w:sz w:val="20"/>
                <w:szCs w:val="20"/>
                <w:color w:val="auto"/>
              </w:rPr>
            </w:pPr>
            <w:r>
              <w:rPr>
                <w:rFonts w:ascii="Times New Roman" w:cs="Times New Roman" w:eastAsia="Times New Roman" w:hAnsi="Times New Roman"/>
                <w:sz w:val="17"/>
                <w:szCs w:val="17"/>
                <w:b w:val="1"/>
                <w:bCs w:val="1"/>
                <w:color w:val="auto"/>
              </w:rPr>
              <w:t>2025</w:t>
            </w: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exchange loss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center"/>
              <w:ind w:left="935"/>
              <w:spacing w:after="0"/>
              <w:rPr>
                <w:sz w:val="20"/>
                <w:szCs w:val="20"/>
                <w:color w:val="auto"/>
              </w:rPr>
            </w:pPr>
            <w:r>
              <w:rPr>
                <w:rFonts w:ascii="Times New Roman" w:cs="Times New Roman" w:eastAsia="Times New Roman" w:hAnsi="Times New Roman"/>
                <w:sz w:val="17"/>
                <w:szCs w:val="17"/>
                <w:color w:val="auto"/>
                <w:w w:val="93"/>
              </w:rPr>
              <w:t>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center"/>
              <w:ind w:left="935"/>
              <w:spacing w:after="0"/>
              <w:rPr>
                <w:sz w:val="20"/>
                <w:szCs w:val="20"/>
                <w:color w:val="auto"/>
              </w:rPr>
            </w:pPr>
            <w:r>
              <w:rPr>
                <w:rFonts w:ascii="Times New Roman" w:cs="Times New Roman" w:eastAsia="Times New Roman" w:hAnsi="Times New Roman"/>
                <w:sz w:val="17"/>
                <w:szCs w:val="17"/>
                <w:color w:val="auto"/>
                <w:w w:val="93"/>
              </w:rPr>
              <w:t>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26"/>
        </w:trPr>
        <w:tc>
          <w:tcPr>
            <w:tcW w:w="2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5"/>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15"/>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center"/>
              <w:ind w:left="915"/>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Foreign exchange loss decreased during the three and six months ended April 30, 2026, compared to the three and six months ended April 30, 2025, primarily due to movements of U.S. dollar against various foreign currencies and the effect on intercompany receivables and payables.</w:t>
      </w:r>
    </w:p>
    <w:p>
      <w:pPr>
        <w:spacing w:after="0" w:line="12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7"/>
          <w:szCs w:val="17"/>
          <w:color w:val="auto"/>
        </w:rPr>
        <w:t>Other (income) expense, net changed from expense in the three and six months ended April 30, 2025 to income in the three and six months ended April 30, 2026, primarily due to a $15.7 million loss on the disposal of a minority interest investment in fiscal year 2025.</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7"/>
          <w:szCs w:val="17"/>
          <w:color w:val="auto"/>
        </w:rPr>
        <w:t>The effective tax rates for the three months ended April 30, 2026, and April 30, 2025, were (61.0)% and 39.3%, respectively. The effective tax rates for the six months ended April 30, 2026, and April 30, 2025, were 63.2% and 35.5%, respectively. The changes were primarily due to the discrete tax impact of the litigation accrual discussed below, partially offset by changes in the geographic composition of pre-tax earnings.</w:t>
      </w:r>
    </w:p>
    <w:p>
      <w:pPr>
        <w:spacing w:after="0" w:line="13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During the three months ended April 30, 2026, the Company recorded $271.6 million litigation expense, net of insurance recoveries, as described in Note 9. Contingencies and Commitments. As a result, the Company recognized a $42.8 million discrete income tax benefit, net of indirect tax effects, primarily driven by a reduction in U.S. taxable income.</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Capital Resources and Liquidity</w:t>
      </w:r>
    </w:p>
    <w:p>
      <w:pPr>
        <w:spacing w:after="0" w:line="17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Working capital as of April 30, 2026 and October 31, 2025 was $495.1 million and $993.6 million, respectively. The decrease in working capital was primarily due to an increase in short-term debt.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Six Months Ended April 30,</w:t>
            </w: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8"/>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 in millions)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3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w:t>
            </w:r>
          </w:p>
        </w:tc>
      </w:tr>
      <w:tr>
        <w:trPr>
          <w:trHeight w:val="23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r>
      <w:tr>
        <w:trPr>
          <w:trHeight w:val="251"/>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37"/>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restricted cash</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5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Cash Flow</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Cash provided by operating activities in the first six months of fiscal 2026 increased compared to the first six months of fiscal 2025, primarily due to increased cash inflows from net income after adjusting for the non-cash accrual for litigation liability. Refer to Note 9. Contingencies and Commitments for additional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Investing Cash Flow</w:t>
      </w:r>
    </w:p>
    <w:p>
      <w:pPr>
        <w:spacing w:after="0" w:line="173"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7"/>
          <w:szCs w:val="17"/>
          <w:color w:val="auto"/>
        </w:rPr>
        <w:t>Cash used in investing activities in the first six months of fiscal 2026 increased compared to the first six months of fiscal 2025, primarily due to an increase in purchases of property, plant and equipment, partially offset by a decrease in spending on equity investments.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Financing Cash Flow</w:t>
      </w:r>
    </w:p>
    <w:p>
      <w:pPr>
        <w:spacing w:after="0" w:line="173"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Cash used in financing activities in the first six months of fiscal 2026 increased compared to the first six months of fiscal 2025, primarily due to an increase in repurchase of common stock, higher net repayments on the revolving credit and lower net proceeds from short-term debt.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summary of the maximum commitments and the net amounts available to us under different credit facilities as of April 30, 2026:</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 in millions)</w:t>
            </w:r>
          </w:p>
        </w:tc>
        <w:tc>
          <w:tcPr>
            <w:tcW w:w="100" w:type="dxa"/>
            <w:vAlign w:val="bottom"/>
          </w:tcPr>
          <w:p>
            <w:pPr>
              <w:spacing w:after="0"/>
              <w:rPr>
                <w:sz w:val="16"/>
                <w:szCs w:val="16"/>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Facility Limit</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7"/>
              </w:rPr>
              <w:t>Total Amount</w:t>
            </w:r>
          </w:p>
        </w:tc>
        <w:tc>
          <w:tcPr>
            <w:tcW w:w="100" w:type="dxa"/>
            <w:vAlign w:val="bottom"/>
          </w:tcPr>
          <w:p>
            <w:pPr>
              <w:spacing w:after="0"/>
              <w:rPr>
                <w:sz w:val="16"/>
                <w:szCs w:val="16"/>
                <w:color w:val="auto"/>
              </w:rPr>
            </w:pPr>
          </w:p>
        </w:tc>
        <w:tc>
          <w:tcPr>
            <w:tcW w:w="2020" w:type="dxa"/>
            <w:vAlign w:val="bottom"/>
            <w:vMerge w:val="restart"/>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Maturity Date</w:t>
            </w:r>
          </w:p>
        </w:tc>
        <w:tc>
          <w:tcPr>
            <w:tcW w:w="0" w:type="dxa"/>
            <w:vAlign w:val="bottom"/>
          </w:tcPr>
          <w:p>
            <w:pPr>
              <w:spacing w:after="0"/>
              <w:rPr>
                <w:sz w:val="1"/>
                <w:szCs w:val="1"/>
                <w:color w:val="auto"/>
              </w:rPr>
            </w:pPr>
          </w:p>
        </w:tc>
      </w:tr>
      <w:tr>
        <w:trPr>
          <w:trHeight w:val="174"/>
        </w:trPr>
        <w:tc>
          <w:tcPr>
            <w:tcW w:w="34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7"/>
                <w:szCs w:val="17"/>
                <w:b w:val="1"/>
                <w:bCs w:val="1"/>
                <w:color w:val="auto"/>
                <w:w w:val="98"/>
              </w:rPr>
              <w:t>Borrowings</w:t>
            </w:r>
          </w:p>
        </w:tc>
        <w:tc>
          <w:tcPr>
            <w:tcW w:w="1460" w:type="dxa"/>
            <w:vAlign w:val="bottom"/>
            <w:gridSpan w:val="3"/>
          </w:tcPr>
          <w:p>
            <w:pPr>
              <w:jc w:val="right"/>
              <w:ind w:right="180"/>
              <w:spacing w:after="0" w:line="154" w:lineRule="exact"/>
              <w:rPr>
                <w:sz w:val="20"/>
                <w:szCs w:val="20"/>
                <w:color w:val="auto"/>
              </w:rPr>
            </w:pPr>
            <w:r>
              <w:rPr>
                <w:rFonts w:ascii="Times New Roman" w:cs="Times New Roman" w:eastAsia="Times New Roman" w:hAnsi="Times New Roman"/>
                <w:sz w:val="17"/>
                <w:szCs w:val="17"/>
                <w:b w:val="1"/>
                <w:bCs w:val="1"/>
                <w:color w:val="auto"/>
              </w:rPr>
              <w:t>Letters of Credit</w:t>
            </w:r>
          </w:p>
        </w:tc>
        <w:tc>
          <w:tcPr>
            <w:tcW w:w="100" w:type="dxa"/>
            <w:vAlign w:val="bottom"/>
          </w:tcPr>
          <w:p>
            <w:pPr>
              <w:spacing w:after="0"/>
              <w:rPr>
                <w:sz w:val="15"/>
                <w:szCs w:val="15"/>
                <w:color w:val="auto"/>
              </w:rPr>
            </w:pPr>
          </w:p>
        </w:tc>
        <w:tc>
          <w:tcPr>
            <w:tcW w:w="1140" w:type="dxa"/>
            <w:vAlign w:val="bottom"/>
          </w:tcPr>
          <w:p>
            <w:pPr>
              <w:jc w:val="right"/>
              <w:ind w:right="195"/>
              <w:spacing w:after="0" w:line="154" w:lineRule="exact"/>
              <w:rPr>
                <w:sz w:val="20"/>
                <w:szCs w:val="20"/>
                <w:color w:val="auto"/>
              </w:rPr>
            </w:pPr>
            <w:r>
              <w:rPr>
                <w:rFonts w:ascii="Times New Roman" w:cs="Times New Roman" w:eastAsia="Times New Roman" w:hAnsi="Times New Roman"/>
                <w:sz w:val="17"/>
                <w:szCs w:val="17"/>
                <w:b w:val="1"/>
                <w:bCs w:val="1"/>
                <w:color w:val="auto"/>
              </w:rPr>
              <w:t>Available</w:t>
            </w:r>
          </w:p>
        </w:tc>
        <w:tc>
          <w:tcPr>
            <w:tcW w:w="1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380" w:type="dxa"/>
            <w:vAlign w:val="bottom"/>
            <w:tcBorders>
              <w:top w:val="single" w:sz="8" w:color="auto"/>
              <w:bottom w:val="single" w:sz="8" w:color="CCEEFF"/>
            </w:tcBorders>
          </w:tcPr>
          <w:p>
            <w:pPr>
              <w:spacing w:after="0"/>
              <w:rPr>
                <w:sz w:val="2"/>
                <w:szCs w:val="2"/>
                <w:color w:val="auto"/>
              </w:rPr>
            </w:pPr>
          </w:p>
        </w:tc>
        <w:tc>
          <w:tcPr>
            <w:tcW w:w="640" w:type="dxa"/>
            <w:vAlign w:val="bottom"/>
            <w:tcBorders>
              <w:top w:val="single" w:sz="8" w:color="auto"/>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Revolving Credit: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Revolving Credit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1,383.0</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May 1, 2029</w:t>
            </w:r>
          </w:p>
        </w:tc>
        <w:tc>
          <w:tcPr>
            <w:tcW w:w="0" w:type="dxa"/>
            <w:vAlign w:val="bottom"/>
          </w:tcPr>
          <w:p>
            <w:pPr>
              <w:spacing w:after="0"/>
              <w:rPr>
                <w:sz w:val="1"/>
                <w:szCs w:val="1"/>
                <w:color w:val="auto"/>
              </w:rPr>
            </w:pPr>
          </w:p>
        </w:tc>
      </w:tr>
      <w:tr>
        <w:trPr>
          <w:trHeight w:val="233"/>
        </w:trPr>
        <w:tc>
          <w:tcPr>
            <w:tcW w:w="3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Term loan:</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December 17, 2026</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February 3, 2031</w:t>
            </w:r>
          </w:p>
        </w:tc>
        <w:tc>
          <w:tcPr>
            <w:tcW w:w="0" w:type="dxa"/>
            <w:vAlign w:val="bottom"/>
          </w:tcPr>
          <w:p>
            <w:pPr>
              <w:spacing w:after="0"/>
              <w:rPr>
                <w:sz w:val="1"/>
                <w:szCs w:val="1"/>
                <w:color w:val="auto"/>
              </w:rPr>
            </w:pPr>
          </w:p>
        </w:tc>
      </w:tr>
      <w:tr>
        <w:trPr>
          <w:trHeight w:val="227"/>
        </w:trPr>
        <w:tc>
          <w:tcPr>
            <w:tcW w:w="346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1,383.0</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As of April 30, 2026, the Company was in compliance with all debt covenants. On May 1, 2024, the Company entered into a Revolving Credit Agreement (the 2024 Credit Agreement). The Company drew on the 2024 Credit Agreement to fully repay borrowings outstanding under the 2020 Term Loan Facility and 2020 Revolving Credit Facility and terminated the 2020 Credit Agreement. On February 3, 2026, the Company entered into Amendment No. 3 to the 2021 Credit Agreement. The amendment modifies the 2021 Credit Agreement by, among other things, extending the maturity date of $950.0 million of term loans to February 3, 2031, with the remaining $550.0 million of term loans retaining their original maturity date. See Note 4. Financing Arrangements of the Consolidated Condensed Financial Statements for further information.</w:t>
      </w:r>
    </w:p>
    <w:p>
      <w:pPr>
        <w:spacing w:after="0" w:line="13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We have re-evaluated our operating cash flows and cash requirements and continue to believe that current cash, cash equivalents, future cash flow from operating activities and cash available under our 2024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for acquisitions, share repurchases or other activities as we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execute our business strategy, we anticipate that additional funds could be obtained through the incurrence of additional indebtedness, additional equity financings or a combination of these potential sources of funds; however, such financing may not be available on favorable terms, or at all.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September 2025, the authorization under the 2012 Share Repurchase Program was increased to $2.0 billion by the Company's Board of Directors. As of April 30, 2026, $860.8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and six months ended April 30, 2026, the Company repurchased 0.2 million and 1.3 million shares of its common stock for $13.1 million and</w:t>
      </w:r>
    </w:p>
    <w:p>
      <w:pPr>
        <w:spacing w:after="0" w:line="25"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7"/>
          <w:szCs w:val="17"/>
          <w:color w:val="auto"/>
        </w:rPr>
        <w:t>$105.6 million, at a weighted average price of $75.84 and $81.21 per share. During the three and six months ended April 30, 2025, the Company repurchased 0.5 million shares of its common stock for $40.6 million, at a weighted average price of $75.60 per share.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Contingencies</w:t>
      </w:r>
    </w:p>
    <w:p>
      <w:pPr>
        <w:spacing w:after="0" w:line="1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On March 2, 2026, the U.K. FTT issued a decision that largely supports HMRC in the Company's dispute relating to payroll tax matters arising from the acquisition of the Sauflon Group in 2014.</w:t>
      </w:r>
    </w:p>
    <w:p>
      <w:pPr>
        <w:spacing w:after="0" w:line="10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Company believes the FTT’s decision was incorrect and is in the process of appealing the FTT’s decision. Depending on the results of the appeal, the Company could prevail on some or all of the issues in dispute, which could result in an obligation to pay a portion or all of the assessed amounts, with an estimated loss ranging from £0 to £71.7 million, plus accrued interest.</w:t>
      </w:r>
    </w:p>
    <w:p>
      <w:pPr>
        <w:spacing w:after="0" w:line="127" w:lineRule="exact"/>
        <w:rPr>
          <w:sz w:val="20"/>
          <w:szCs w:val="20"/>
          <w:color w:val="auto"/>
        </w:rPr>
      </w:pPr>
    </w:p>
    <w:p>
      <w:pPr>
        <w:jc w:val="both"/>
        <w:ind w:right="340"/>
        <w:spacing w:after="0" w:line="236" w:lineRule="auto"/>
        <w:rPr>
          <w:sz w:val="20"/>
          <w:szCs w:val="20"/>
          <w:color w:val="auto"/>
        </w:rPr>
      </w:pPr>
      <w:r>
        <w:rPr>
          <w:rFonts w:ascii="Times New Roman" w:cs="Times New Roman" w:eastAsia="Times New Roman" w:hAnsi="Times New Roman"/>
          <w:sz w:val="17"/>
          <w:szCs w:val="17"/>
          <w:color w:val="auto"/>
        </w:rPr>
        <w:t>In December 2023, CooperSurgical initiated a voluntary recall of three specific lots of CooperSurgical’s LifeGlobal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global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w:t>
      </w:r>
    </w:p>
    <w:p>
      <w:pPr>
        <w:spacing w:after="0" w:line="14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Between December 2023 and mid-March 2026, the Company resolved a significant number of claims and lawsuits through settlements. The Company recorded an immaterial accrual in the first quarter of fiscal 2024, related to insurance deductibles and other additional costs. Based on historical settlement experience and other considerations, the Company believed a material loss was not probable and that there was no reasonable basis to estimate aggregate losses in excess of historical settlement levels after taking into account available insurance coverage.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Subsequently, the Company identified developments, including the procedural acceleration of multiple litigated cases, receipt of additional claimant information, updated damage valuation analysis, and significantly increased projected defense and expert costs. This resulted in reassessment of exposure. As of June 5, 2026, more than 140 lawsuits were filed, including three putative class actions, none of which has been certified, and over 1,500 claimants have been proffered to the Company. Based on these developments, management concluded that a loss was probable and reasonably estimable, particularly with respect to potential exposure exceeding available insurance coverage. The net impact to the consolidated statements of operations to resolve outstanding claims was $271.6 million, consisting of $324.1 million accrued litigation liability, partially offset by $52.5 million of insurance recoveries. The net amount was recorded within Selling, General and Administrative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future payments required would impact the Company’s liquidity and cash flow in the period of resolution.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Estimates and Critical Accounting Policies</w:t>
      </w:r>
    </w:p>
    <w:p>
      <w:pPr>
        <w:spacing w:after="0" w:line="187"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7"/>
          <w:szCs w:val="17"/>
          <w:color w:val="auto"/>
        </w:rPr>
        <w:t>Information regarding estimates and critical accounting policies is included in Management's Discussion and Analysis in our Form 10-K for the fiscal year ended October 31, 2025. There have been no material changes in our policies from those previously discussed in our Form 10-K for the fiscal year ended October 31, 2025, except as follows: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Litigation Contingencies</w:t>
      </w:r>
    </w:p>
    <w:p>
      <w:pPr>
        <w:spacing w:after="0" w:line="17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We are or may be subject to litigation loss contingencies. We accrue for loss contingencies to the extent that we conclude that it is probable that a loss will be incurred and the amount of the loss can be reasonably estimated. If a reasonable estimate of a known or probable loss cannot be made, but a range of probable losses can be estimated, the low end of the range of losses is recognized if no amount within the range is a better estimate than any other. If we determine that a loss is possible, but not probable, and the range of the loss can be reasonably determined, then we disclose the range of the possible loss. Potential insurance recoveries in connection with recognized loss contingencies are recognized as assets in the period in which such recoveries are determined to be probable of realization. These matters raise difficult and complex factual and legal issues and are subject to many uncertainties, including, but not limited to, the facts and circumstances of each particular case or claim, the jurisdiction in which each suit is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Item 2. Management’s Discussion and Analysis of Financial Condition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and Results of Operations</w:t>
      </w:r>
    </w:p>
    <w:p>
      <w:pPr>
        <w:spacing w:after="0" w:line="200" w:lineRule="exact"/>
        <w:rPr>
          <w:sz w:val="20"/>
          <w:szCs w:val="20"/>
          <w:color w:val="auto"/>
        </w:rPr>
      </w:pPr>
    </w:p>
    <w:p>
      <w:pPr>
        <w:spacing w:after="0" w:line="397"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7"/>
          <w:szCs w:val="17"/>
          <w:color w:val="auto"/>
        </w:rPr>
        <w:t>brought, and differences in applicable law. As such, significant judgment is required in determining our legal accruals. Refer to Note 9. Contingencies and Commitments for additional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w:t>
      </w:r>
    </w:p>
    <w:p>
      <w:pPr>
        <w:spacing w:after="0" w:line="18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Information regarding new accounting pronouncements is included in Note 1. General of the Consolidated Condensed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Quantitative and Qualitative Disclosure About Market Risk</w:t>
      </w:r>
    </w:p>
    <w:p>
      <w:pPr>
        <w:spacing w:after="0" w:line="16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have exposure to multiple foreign currencies, including, among others, the British pound, Euro and Japanese yen. We have taken steps to minimize our balance sheet exposure by entering into foreign currency forward contracts to minimize the short-term impact of foreign currency exchange rate fluctuations on certain trade and intercompany receivables and payables.</w:t>
      </w:r>
    </w:p>
    <w:p>
      <w:pPr>
        <w:spacing w:after="0" w:line="13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At April 30, 2026, a uniform hypothetical 10% increase or decrease in the foreign currency exchange rates in comparison to the value of the U.S. dollar would have resulted in a corresponding increase or decrease of approximately $35.5 million in operating income (loss) for the fiscal quarter ended April 30, 2026. See Note 11. Financial Derivatives and Hedging of the Consolidated Condensed Financial Statements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87"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Net of interest rate swaps, the majority of our total indebtedness remains subject to US-based variable interest rate risk tied to changes in the federal funds rate and SOFR. We have entered, and in the future may enter, into interest rate swaps to manage interest rate risk.</w:t>
      </w:r>
    </w:p>
    <w:p>
      <w:pPr>
        <w:spacing w:after="0" w:line="12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Our ultimate realized gain or loss with respect to interest rate fluctuations will depend on interest rates, the exposures that arise during the period and our hedging strategies at that time. As an example, if interest rates were to increase or decrease by 1% or 100 basis points, the quarterly interest expense would not have a material impact, based on average debt outstanding, after consideration of our interest rate swap contracts, during the second quarter of fiscal 2026. See Note 4. Financing Arrangements of the Consolidated Condensed Financial Statements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7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as of April 30, 2026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required by Rules 13a-15(d) and 15d-15(d) of the Exchange Act during our second quarter of fiscal 2026, that have materially affected, or are reasonably likely to materially affect,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93" w:right="37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PART II—OTHER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 Legal Proceedings</w:t>
      </w:r>
    </w:p>
    <w:p>
      <w:pPr>
        <w:spacing w:after="0" w:line="16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color w:val="auto"/>
        </w:rPr>
        <w:t>On March 2, 2026, the U.K. FTT issued a decision that largely supports HMRC in the Company’s dispute regarding payroll tax matters arising from the acquisition of the Sauflon Group in 2014.</w:t>
      </w:r>
    </w:p>
    <w:p>
      <w:pPr>
        <w:spacing w:after="0" w:line="9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The Company believes the FTT’s decision was incorrect and is in the process of appealing the FTT’s decision. Depending on the results of the appeal, the Company could prevail on some or all of the issues in dispute, which could result in an obligation to pay a portion or all of the assessed amounts, with an estimated loss ranging from £0 to £71.7 million, plus accrued interest.</w:t>
      </w:r>
    </w:p>
    <w:p>
      <w:pPr>
        <w:spacing w:after="0" w:line="122" w:lineRule="exact"/>
        <w:rPr>
          <w:sz w:val="20"/>
          <w:szCs w:val="20"/>
          <w:color w:val="auto"/>
        </w:rPr>
      </w:pPr>
    </w:p>
    <w:p>
      <w:pPr>
        <w:jc w:val="both"/>
        <w:ind w:right="340"/>
        <w:spacing w:after="0" w:line="238" w:lineRule="auto"/>
        <w:rPr>
          <w:sz w:val="20"/>
          <w:szCs w:val="20"/>
          <w:color w:val="auto"/>
        </w:rPr>
      </w:pPr>
      <w:r>
        <w:rPr>
          <w:rFonts w:ascii="Times New Roman" w:cs="Times New Roman" w:eastAsia="Times New Roman" w:hAnsi="Times New Roman"/>
          <w:sz w:val="17"/>
          <w:szCs w:val="17"/>
          <w:color w:val="auto"/>
        </w:rPr>
        <w:t>In December 2023, CooperSurgical initiated a voluntary recall of three specific lots of CooperSurgical’s LifeGlobal</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global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embryo culture media that it had produced. Subsequently, claims and lawsuits in various U.S. and international jurisdictions were brought by individuals who generally allege that they suffered damages associated with the use of the recalled product, including claims of embryo loss or reduced embryo viability.</w:t>
      </w:r>
    </w:p>
    <w:p>
      <w:pPr>
        <w:spacing w:after="0" w:line="14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color w:val="auto"/>
        </w:rPr>
        <w:t>Between December 2023 and mid-March 2026, the Company resolved a significant number of claims and lawsuits through settlements. The Company recorded an immaterial accrual in the first quarter of fiscal 2024, related to insurance deductibles and other additional costs. Based on historical settlement experience and other considerations, the Company believed a material loss was not probable and that there was no reasonable basis to estimate aggregate losses in excess of historical settlement levels after taking into account available insurance coverage.</w:t>
      </w:r>
    </w:p>
    <w:p>
      <w:pPr>
        <w:spacing w:after="0" w:line="14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7"/>
          <w:szCs w:val="17"/>
          <w:color w:val="auto"/>
        </w:rPr>
        <w:t>Subsequently, the Company identified developments, including the procedural acceleration of multiple litigated cases, receipt of additional claimant information, updated damage valuation analysis, and significantly increased projected defense and expert costs. This resulted in reassessment of exposure. As of June 5, 2026, more than 140 lawsuits were filed, including three putative class actions, none of which has been certified, and over 1,500 claimants have been proffered to the Company. Based on these developments, management concluded that a loss was probable and reasonably estimable, particularly with respect to potential exposure exceeding available insurance coverage. The net impact to the consolidated statements of operations to resolve outstanding claims was $271.6 million, consisting of $324.1 million accrued litigation liability, partially offset by $52.5 million of insurance recoveries. The net amount was recorded within Selling, General and Administrative expenses.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 to Note 9. Contingencies and Commitments for additional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Risk Factors</w:t>
      </w:r>
    </w:p>
    <w:p>
      <w:pPr>
        <w:spacing w:after="0" w:line="165"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7"/>
          <w:szCs w:val="17"/>
          <w:i w:val="1"/>
          <w:iCs w:val="1"/>
          <w:color w:val="auto"/>
        </w:rPr>
        <w:t>Our business faces significant risks. These risks include those referenced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15"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Risk factors describing the major risks to our business can be found under Item 1A. Risk Factors in our Annual Report on Form 10-K for the fiscal year ended October 31, 2025. There have been no material changes to the risk factors previously disclosed in our Annual Report on Form 10-K for the fiscal year ended October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 Unregistered Sales of Equity Securities and Use of Proceeds</w:t>
      </w:r>
    </w:p>
    <w:p>
      <w:pPr>
        <w:spacing w:after="0" w:line="18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In September 2025, the authorization under the 2012 Share Repurchase Program was increased to $2.0 billion by the Company's Board of Directors. As of April 30, 2026, $860.8 million remains authorized for repurchase.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about the shares repurchased by the Company for the three months ended April 30, 2026:</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74"/>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Total 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w w:val="99"/>
              </w:rPr>
              <w:t>value of shares that may yet</w:t>
            </w: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Average price paid</w:t>
            </w:r>
          </w:p>
        </w:tc>
        <w:tc>
          <w:tcPr>
            <w:tcW w:w="222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b w:val="1"/>
                <w:bCs w:val="1"/>
                <w:color w:val="auto"/>
              </w:rPr>
              <w:t>purchased as part of publicly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tcPr>
          <w:p>
            <w:pPr>
              <w:jc w:val="center"/>
              <w:ind w:right="55"/>
              <w:spacing w:after="0" w:line="162" w:lineRule="exact"/>
              <w:rPr>
                <w:sz w:val="20"/>
                <w:szCs w:val="20"/>
                <w:color w:val="auto"/>
              </w:rPr>
            </w:pPr>
            <w:r>
              <w:rPr>
                <w:rFonts w:ascii="Times New Roman" w:cs="Times New Roman" w:eastAsia="Times New Roman" w:hAnsi="Times New Roman"/>
                <w:sz w:val="17"/>
                <w:szCs w:val="17"/>
                <w:b w:val="1"/>
                <w:bCs w:val="1"/>
                <w:color w:val="auto"/>
              </w:rPr>
              <w:t>be purchased under the</w:t>
            </w:r>
          </w:p>
        </w:tc>
        <w:tc>
          <w:tcPr>
            <w:tcW w:w="0" w:type="dxa"/>
            <w:vAlign w:val="bottom"/>
          </w:tcPr>
          <w:p>
            <w:pPr>
              <w:spacing w:after="0"/>
              <w:rPr>
                <w:sz w:val="1"/>
                <w:szCs w:val="1"/>
                <w:color w:val="auto"/>
              </w:rPr>
            </w:pPr>
          </w:p>
        </w:tc>
      </w:tr>
      <w:tr>
        <w:trPr>
          <w:trHeight w:val="175"/>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shares purchased</w:t>
            </w: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announced plan</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jc w:val="center"/>
              <w:ind w:right="75"/>
              <w:spacing w:after="0" w:line="176" w:lineRule="exact"/>
              <w:rPr>
                <w:sz w:val="20"/>
                <w:szCs w:val="20"/>
                <w:color w:val="auto"/>
              </w:rPr>
            </w:pPr>
            <w:r>
              <w:rPr>
                <w:rFonts w:ascii="Times New Roman" w:cs="Times New Roman" w:eastAsia="Times New Roman" w:hAnsi="Times New Roman"/>
                <w:sz w:val="17"/>
                <w:szCs w:val="17"/>
                <w:b w:val="1"/>
                <w:bCs w:val="1"/>
                <w:color w:val="auto"/>
              </w:rPr>
              <w:t>plan</w:t>
            </w:r>
          </w:p>
        </w:tc>
        <w:tc>
          <w:tcPr>
            <w:tcW w:w="0" w:type="dxa"/>
            <w:vAlign w:val="bottom"/>
          </w:tcPr>
          <w:p>
            <w:pPr>
              <w:spacing w:after="0"/>
              <w:rPr>
                <w:sz w:val="1"/>
                <w:szCs w:val="1"/>
                <w:color w:val="auto"/>
              </w:rPr>
            </w:pPr>
          </w:p>
        </w:tc>
      </w:tr>
      <w:tr>
        <w:trPr>
          <w:trHeight w:val="229"/>
        </w:trPr>
        <w:tc>
          <w:tcPr>
            <w:tcW w:w="3480" w:type="dxa"/>
            <w:vAlign w:val="bottom"/>
            <w:gridSpan w:val="2"/>
            <w:vMerge w:val="continue"/>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per share</w:t>
            </w: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0" w:type="dxa"/>
            <w:vAlign w:val="bottom"/>
          </w:tcPr>
          <w:p>
            <w:pPr>
              <w:spacing w:after="0"/>
              <w:rPr>
                <w:sz w:val="1"/>
                <w:szCs w:val="1"/>
                <w:color w:val="auto"/>
              </w:rPr>
            </w:pPr>
          </w:p>
        </w:tc>
      </w:tr>
      <w:tr>
        <w:trPr>
          <w:trHeight w:val="224"/>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February 1, 2026 to February 28, 2026</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873.9</w:t>
            </w:r>
          </w:p>
        </w:tc>
        <w:tc>
          <w:tcPr>
            <w:tcW w:w="0" w:type="dxa"/>
            <w:vAlign w:val="bottom"/>
          </w:tcPr>
          <w:p>
            <w:pPr>
              <w:spacing w:after="0"/>
              <w:rPr>
                <w:sz w:val="1"/>
                <w:szCs w:val="1"/>
                <w:color w:val="auto"/>
              </w:rPr>
            </w:pPr>
          </w:p>
        </w:tc>
      </w:tr>
      <w:tr>
        <w:trPr>
          <w:trHeight w:val="22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1, 2026 to March 31, 2026</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75.84</w:t>
            </w:r>
          </w:p>
        </w:tc>
        <w:tc>
          <w:tcPr>
            <w:tcW w:w="12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860.8</w:t>
            </w:r>
          </w:p>
        </w:tc>
        <w:tc>
          <w:tcPr>
            <w:tcW w:w="0" w:type="dxa"/>
            <w:vAlign w:val="bottom"/>
          </w:tcPr>
          <w:p>
            <w:pPr>
              <w:spacing w:after="0"/>
              <w:rPr>
                <w:sz w:val="1"/>
                <w:szCs w:val="1"/>
                <w:color w:val="auto"/>
              </w:rPr>
            </w:pPr>
          </w:p>
        </w:tc>
      </w:tr>
      <w:tr>
        <w:trPr>
          <w:trHeight w:val="230"/>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2026 to April 30, 2026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860.8</w:t>
            </w:r>
          </w:p>
        </w:tc>
        <w:tc>
          <w:tcPr>
            <w:tcW w:w="0" w:type="dxa"/>
            <w:vAlign w:val="bottom"/>
          </w:tcPr>
          <w:p>
            <w:pPr>
              <w:spacing w:after="0"/>
              <w:rPr>
                <w:sz w:val="1"/>
                <w:szCs w:val="1"/>
                <w:color w:val="auto"/>
              </w:rPr>
            </w:pPr>
          </w:p>
        </w:tc>
      </w:tr>
      <w:tr>
        <w:trPr>
          <w:trHeight w:val="227"/>
        </w:trPr>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173.6</w:t>
            </w:r>
          </w:p>
        </w:tc>
        <w:tc>
          <w:tcPr>
            <w:tcW w:w="36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75.84</w:t>
            </w:r>
          </w:p>
        </w:tc>
        <w:tc>
          <w:tcPr>
            <w:tcW w:w="120" w:type="dxa"/>
            <w:vAlign w:val="bottom"/>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860.8</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Defaults Upon Senior Securities</w:t>
      </w:r>
    </w:p>
    <w:p>
      <w:pPr>
        <w:sectPr>
          <w:pgSz w:w="11900" w:h="16838" w:orient="portrait"/>
          <w:cols w:equalWidth="0" w:num="1">
            <w:col w:w="11240"/>
          </w:cols>
          <w:pgMar w:left="320" w:top="7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type w:val="continuous"/>
        </w:sectPr>
      </w:pPr>
    </w:p>
    <w:bookmarkStart w:id="32" w:name="page33"/>
    <w:bookmarkEnd w:id="32"/>
    <w:p>
      <w:pPr>
        <w:jc w:val="center"/>
        <w:ind w:right="-199"/>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Mine Safety Disclosures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Other Information</w:t>
      </w:r>
    </w:p>
    <w:p>
      <w:pPr>
        <w:spacing w:after="0" w:line="1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During the three months ended April 30, 2026, no director or officer of the Company adopted, terminated or modified a Rule 10b5-1 trading arrangement or non-Rule 10b5-1 trading arrangement, as each term is defined in Item 408(a) of Regulation S-K.</w:t>
      </w: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93" w:right="5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20" w:type="dxa"/>
            <w:vAlign w:val="bottom"/>
            <w:gridSpan w:val="6"/>
          </w:tcPr>
          <w:p>
            <w:pPr>
              <w:ind w:left="300"/>
              <w:spacing w:after="0"/>
              <w:rPr>
                <w:sz w:val="20"/>
                <w:szCs w:val="20"/>
                <w:color w:val="auto"/>
              </w:rPr>
            </w:pPr>
            <w:r>
              <w:rPr>
                <w:rFonts w:ascii="Times New Roman" w:cs="Times New Roman" w:eastAsia="Times New Roman" w:hAnsi="Times New Roman"/>
                <w:sz w:val="17"/>
                <w:szCs w:val="17"/>
                <w:color w:val="auto"/>
              </w:rPr>
              <w:t>THE COOPER COMPANIES, INC. AND SUBSIDIARIES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1"/>
        </w:trPr>
        <w:tc>
          <w:tcPr>
            <w:tcW w:w="830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Item 6. Exhibits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20" w:type="dxa"/>
            <w:vAlign w:val="bottom"/>
            <w:gridSpan w:val="3"/>
          </w:tcPr>
          <w:p>
            <w:pPr>
              <w:ind w:left="78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0" w:type="dxa"/>
            <w:vAlign w:val="bottom"/>
            <w:gridSpan w:val="2"/>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Exhibit</w:t>
            </w: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20" w:type="dxa"/>
            <w:vAlign w:val="bottom"/>
            <w:gridSpan w:val="6"/>
          </w:tcPr>
          <w:p>
            <w:pPr>
              <w:spacing w:after="0" w:line="171" w:lineRule="exact"/>
              <w:rPr>
                <w:sz w:val="20"/>
                <w:szCs w:val="20"/>
                <w:color w:val="auto"/>
              </w:rPr>
            </w:pPr>
            <w:r>
              <w:rPr>
                <w:rFonts w:ascii="Times New Roman" w:cs="Times New Roman" w:eastAsia="Times New Roman" w:hAnsi="Times New Roman"/>
                <w:sz w:val="17"/>
                <w:szCs w:val="17"/>
                <w:b w:val="1"/>
                <w:bCs w:val="1"/>
                <w:color w:val="auto"/>
              </w:rPr>
              <w:t>Description of Document</w:t>
            </w:r>
          </w:p>
        </w:tc>
        <w:tc>
          <w:tcPr>
            <w:tcW w:w="840" w:type="dxa"/>
            <w:vAlign w:val="bottom"/>
          </w:tcPr>
          <w:p>
            <w:pPr>
              <w:spacing w:after="0"/>
              <w:rPr>
                <w:sz w:val="16"/>
                <w:szCs w:val="16"/>
                <w:color w:val="auto"/>
              </w:rPr>
            </w:pPr>
          </w:p>
        </w:tc>
        <w:tc>
          <w:tcPr>
            <w:tcW w:w="114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Filing Date/</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40" w:type="dxa"/>
            <w:vAlign w:val="bottom"/>
            <w:gridSpan w:val="2"/>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Number</w:t>
            </w: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Form</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140" w:type="dxa"/>
            <w:vAlign w:val="bottom"/>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Period End</w:t>
            </w:r>
          </w:p>
        </w:tc>
        <w:tc>
          <w:tcPr>
            <w:tcW w:w="820" w:type="dxa"/>
            <w:vAlign w:val="bottom"/>
          </w:tcPr>
          <w:p>
            <w:pPr>
              <w:jc w:val="center"/>
              <w:ind w:left="36"/>
              <w:spacing w:after="0" w:line="136" w:lineRule="exact"/>
              <w:rPr>
                <w:sz w:val="20"/>
                <w:szCs w:val="20"/>
                <w:color w:val="auto"/>
              </w:rPr>
            </w:pPr>
            <w:r>
              <w:rPr>
                <w:rFonts w:ascii="Times New Roman" w:cs="Times New Roman" w:eastAsia="Times New Roman" w:hAnsi="Times New Roman"/>
                <w:sz w:val="15"/>
                <w:szCs w:val="15"/>
                <w:b w:val="1"/>
                <w:bCs w:val="1"/>
                <w:color w:val="auto"/>
              </w:rPr>
              <w:t>Filed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820" w:type="dxa"/>
            <w:vAlign w:val="bottom"/>
          </w:tcPr>
          <w:p>
            <w:pPr>
              <w:jc w:val="center"/>
              <w:ind w:left="56"/>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272"/>
        </w:trPr>
        <w:tc>
          <w:tcPr>
            <w:tcW w:w="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31.1</w:t>
            </w:r>
          </w:p>
        </w:tc>
        <w:tc>
          <w:tcPr>
            <w:tcW w:w="220" w:type="dxa"/>
            <w:vAlign w:val="bottom"/>
          </w:tcPr>
          <w:p>
            <w:pPr>
              <w:spacing w:after="0"/>
              <w:rPr>
                <w:sz w:val="23"/>
                <w:szCs w:val="23"/>
                <w:color w:val="auto"/>
              </w:rPr>
            </w:pPr>
          </w:p>
        </w:tc>
        <w:tc>
          <w:tcPr>
            <w:tcW w:w="74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Rule 13a-14(a) under the Securities</w:t>
            </w:r>
          </w:p>
        </w:tc>
        <w:tc>
          <w:tcPr>
            <w:tcW w:w="8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20" w:type="dxa"/>
            <w:vAlign w:val="bottom"/>
            <w:vMerge w:val="restart"/>
          </w:tcPr>
          <w:p>
            <w:pPr>
              <w:jc w:val="center"/>
              <w:ind w:left="56"/>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7"/>
                <w:szCs w:val="17"/>
                <w:color w:val="0000FF"/>
                <w:w w:val="99"/>
              </w:rPr>
              <w:t>Exchange Act of 1934</w:t>
            </w:r>
          </w:p>
        </w:tc>
        <w:tc>
          <w:tcPr>
            <w:tcW w:w="4760" w:type="dxa"/>
            <w:vAlign w:val="bottom"/>
            <w:tcBorders>
              <w:top w:val="single" w:sz="8" w:color="0000FF"/>
            </w:tcBorders>
            <w:gridSpan w:val="6"/>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rPr>
              <w:t>31.2</w:t>
            </w:r>
          </w:p>
        </w:tc>
        <w:tc>
          <w:tcPr>
            <w:tcW w:w="220" w:type="dxa"/>
            <w:vAlign w:val="bottom"/>
          </w:tcPr>
          <w:p>
            <w:pPr>
              <w:spacing w:after="0"/>
              <w:rPr>
                <w:sz w:val="24"/>
                <w:szCs w:val="24"/>
                <w:color w:val="auto"/>
              </w:rPr>
            </w:pPr>
          </w:p>
        </w:tc>
        <w:tc>
          <w:tcPr>
            <w:tcW w:w="74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Rule 13a-14(a) under the Securities</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vMerge w:val="restart"/>
          </w:tcPr>
          <w:p>
            <w:pPr>
              <w:jc w:val="center"/>
              <w:ind w:left="56"/>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5" w:lineRule="exact"/>
              <w:rPr>
                <w:sz w:val="20"/>
                <w:szCs w:val="20"/>
                <w:color w:val="auto"/>
              </w:rPr>
            </w:pPr>
            <w:r>
              <w:rPr>
                <w:rFonts w:ascii="Times New Roman" w:cs="Times New Roman" w:eastAsia="Times New Roman" w:hAnsi="Times New Roman"/>
                <w:sz w:val="17"/>
                <w:szCs w:val="17"/>
                <w:color w:val="0000FF"/>
                <w:w w:val="99"/>
              </w:rPr>
              <w:t>Exchange Act of 1934</w:t>
            </w:r>
          </w:p>
        </w:tc>
        <w:tc>
          <w:tcPr>
            <w:tcW w:w="4720" w:type="dxa"/>
            <w:vAlign w:val="bottom"/>
            <w:tcBorders>
              <w:top w:val="single" w:sz="8" w:color="0000FF"/>
            </w:tcBorders>
            <w:gridSpan w:val="5"/>
          </w:tcPr>
          <w:p>
            <w:pPr>
              <w:spacing w:after="0"/>
              <w:rPr>
                <w:sz w:val="13"/>
                <w:szCs w:val="13"/>
                <w:color w:val="auto"/>
              </w:rPr>
            </w:pPr>
          </w:p>
        </w:tc>
        <w:tc>
          <w:tcPr>
            <w:tcW w:w="118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w w:val="99"/>
              </w:rPr>
              <w:t>32.1*</w:t>
            </w:r>
          </w:p>
        </w:tc>
        <w:tc>
          <w:tcPr>
            <w:tcW w:w="220" w:type="dxa"/>
            <w:vAlign w:val="bottom"/>
          </w:tcPr>
          <w:p>
            <w:pPr>
              <w:spacing w:after="0"/>
              <w:rPr>
                <w:sz w:val="24"/>
                <w:szCs w:val="24"/>
                <w:color w:val="auto"/>
              </w:rPr>
            </w:pPr>
          </w:p>
        </w:tc>
        <w:tc>
          <w:tcPr>
            <w:tcW w:w="74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the Chief Executive Officer, pursuant to 18 U.S.C. Section 1350</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304"/>
        </w:trPr>
        <w:tc>
          <w:tcPr>
            <w:tcW w:w="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w w:val="99"/>
              </w:rPr>
              <w:t>32.2*</w:t>
            </w:r>
          </w:p>
        </w:tc>
        <w:tc>
          <w:tcPr>
            <w:tcW w:w="220" w:type="dxa"/>
            <w:vAlign w:val="bottom"/>
          </w:tcPr>
          <w:p>
            <w:pPr>
              <w:spacing w:after="0"/>
              <w:rPr>
                <w:sz w:val="24"/>
                <w:szCs w:val="24"/>
                <w:color w:val="auto"/>
              </w:rPr>
            </w:pPr>
          </w:p>
        </w:tc>
        <w:tc>
          <w:tcPr>
            <w:tcW w:w="54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the Chief Financial Officer, pursuant to 18 U.S.C. Section 1350</w:t>
            </w:r>
          </w:p>
        </w:tc>
        <w:tc>
          <w:tcPr>
            <w:tcW w:w="40" w:type="dxa"/>
            <w:vAlign w:val="bottom"/>
            <w:tcBorders>
              <w:top w:val="single" w:sz="8" w:color="0000FF"/>
            </w:tcBorders>
          </w:tcPr>
          <w:p>
            <w:pPr>
              <w:spacing w:after="0"/>
              <w:rPr>
                <w:sz w:val="24"/>
                <w:szCs w:val="24"/>
                <w:color w:val="auto"/>
              </w:rPr>
            </w:pPr>
          </w:p>
        </w:tc>
        <w:tc>
          <w:tcPr>
            <w:tcW w:w="196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jc w:val="center"/>
              <w:ind w:left="56"/>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96"/>
        </w:trPr>
        <w:tc>
          <w:tcPr>
            <w:tcW w:w="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w w:val="99"/>
              </w:rPr>
              <w:t>101.1</w:t>
            </w:r>
          </w:p>
        </w:tc>
        <w:tc>
          <w:tcPr>
            <w:tcW w:w="220" w:type="dxa"/>
            <w:vAlign w:val="bottom"/>
          </w:tcPr>
          <w:p>
            <w:pPr>
              <w:spacing w:after="0"/>
              <w:rPr>
                <w:sz w:val="24"/>
                <w:szCs w:val="24"/>
                <w:color w:val="auto"/>
              </w:rPr>
            </w:pPr>
          </w:p>
        </w:tc>
        <w:tc>
          <w:tcPr>
            <w:tcW w:w="74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The following materials from the Company's Quarterly Report on Form 10-Q for the three and</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40" w:type="dxa"/>
            <w:vAlign w:val="bottom"/>
            <w:gridSpan w:val="9"/>
          </w:tcPr>
          <w:p>
            <w:pPr>
              <w:spacing w:after="0" w:line="176" w:lineRule="exact"/>
              <w:rPr>
                <w:sz w:val="20"/>
                <w:szCs w:val="20"/>
                <w:color w:val="auto"/>
              </w:rPr>
            </w:pPr>
            <w:r>
              <w:rPr>
                <w:rFonts w:ascii="Times New Roman" w:cs="Times New Roman" w:eastAsia="Times New Roman" w:hAnsi="Times New Roman"/>
                <w:sz w:val="17"/>
                <w:szCs w:val="17"/>
                <w:color w:val="auto"/>
              </w:rPr>
              <w:t>six months periods ended April 30, 2026 formatted in Inline XBRL (Extensible Business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40" w:type="dxa"/>
            <w:vAlign w:val="bottom"/>
            <w:gridSpan w:val="9"/>
          </w:tcPr>
          <w:p>
            <w:pPr>
              <w:spacing w:after="0" w:line="171" w:lineRule="exact"/>
              <w:rPr>
                <w:sz w:val="20"/>
                <w:szCs w:val="20"/>
                <w:color w:val="auto"/>
              </w:rPr>
            </w:pPr>
            <w:r>
              <w:rPr>
                <w:rFonts w:ascii="Times New Roman" w:cs="Times New Roman" w:eastAsia="Times New Roman" w:hAnsi="Times New Roman"/>
                <w:sz w:val="17"/>
                <w:szCs w:val="17"/>
                <w:color w:val="auto"/>
              </w:rPr>
              <w:t>Reporting Language): (i) Consolidated Condensed Statements of Income (Loss) and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40" w:type="dxa"/>
            <w:vAlign w:val="bottom"/>
            <w:gridSpan w:val="9"/>
          </w:tcPr>
          <w:p>
            <w:pPr>
              <w:spacing w:after="0" w:line="167" w:lineRule="exact"/>
              <w:rPr>
                <w:sz w:val="20"/>
                <w:szCs w:val="20"/>
                <w:color w:val="auto"/>
              </w:rPr>
            </w:pPr>
            <w:r>
              <w:rPr>
                <w:rFonts w:ascii="Times New Roman" w:cs="Times New Roman" w:eastAsia="Times New Roman" w:hAnsi="Times New Roman"/>
                <w:sz w:val="17"/>
                <w:szCs w:val="17"/>
                <w:color w:val="auto"/>
              </w:rPr>
              <w:t>Comprehensive Income (Loss), (ii) Consolidated Condensed Balance Sheets, (iii) Consolidated</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40" w:type="dxa"/>
            <w:vAlign w:val="bottom"/>
            <w:gridSpan w:val="9"/>
          </w:tcPr>
          <w:p>
            <w:pPr>
              <w:spacing w:after="0" w:line="171" w:lineRule="exact"/>
              <w:rPr>
                <w:sz w:val="20"/>
                <w:szCs w:val="20"/>
                <w:color w:val="auto"/>
              </w:rPr>
            </w:pPr>
            <w:r>
              <w:rPr>
                <w:rFonts w:ascii="Times New Roman" w:cs="Times New Roman" w:eastAsia="Times New Roman" w:hAnsi="Times New Roman"/>
                <w:sz w:val="17"/>
                <w:szCs w:val="17"/>
                <w:color w:val="auto"/>
              </w:rPr>
              <w:t>Condensed Statements of Stockholders' Equity, (iv) Consolidated Condensed Statements of Cash</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Flows and (v) related Notes to Consolidated Condensed Financial Statements.</w:t>
            </w: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640" w:type="dxa"/>
            <w:vAlign w:val="bottom"/>
            <w:gridSpan w:val="2"/>
          </w:tcPr>
          <w:p>
            <w:pPr>
              <w:jc w:val="center"/>
              <w:ind w:left="135"/>
              <w:spacing w:after="0"/>
              <w:rPr>
                <w:sz w:val="20"/>
                <w:szCs w:val="20"/>
                <w:color w:val="auto"/>
              </w:rPr>
            </w:pPr>
            <w:r>
              <w:rPr>
                <w:rFonts w:ascii="Times New Roman" w:cs="Times New Roman" w:eastAsia="Times New Roman" w:hAnsi="Times New Roman"/>
                <w:sz w:val="17"/>
                <w:szCs w:val="17"/>
                <w:color w:val="auto"/>
                <w:w w:val="99"/>
              </w:rPr>
              <w:t>104.1</w:t>
            </w:r>
          </w:p>
        </w:tc>
        <w:tc>
          <w:tcPr>
            <w:tcW w:w="220" w:type="dxa"/>
            <w:vAlign w:val="bottom"/>
          </w:tcPr>
          <w:p>
            <w:pPr>
              <w:spacing w:after="0"/>
              <w:rPr>
                <w:sz w:val="24"/>
                <w:szCs w:val="24"/>
                <w:color w:val="auto"/>
              </w:rPr>
            </w:pPr>
          </w:p>
        </w:tc>
        <w:tc>
          <w:tcPr>
            <w:tcW w:w="74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93" w:right="479" w:bottom="1440" w:gutter="0" w:footer="0" w:header="0"/>
        </w:sectPr>
      </w:pPr>
    </w:p>
    <w:bookmarkStart w:id="34" w:name="page35"/>
    <w:bookmarkEnd w:id="34"/>
    <w:p>
      <w:pPr>
        <w:ind w:left="3580"/>
        <w:spacing w:after="0"/>
        <w:rPr>
          <w:sz w:val="20"/>
          <w:szCs w:val="20"/>
          <w:color w:val="auto"/>
        </w:rPr>
      </w:pPr>
      <w:r>
        <w:rPr>
          <w:rFonts w:ascii="Times New Roman" w:cs="Times New Roman" w:eastAsia="Times New Roman" w:hAnsi="Times New Roman"/>
          <w:sz w:val="17"/>
          <w:szCs w:val="17"/>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u w:val="single" w:color="auto"/>
          <w:color w:val="auto"/>
        </w:rPr>
        <w:t>SIGNATURES</w:t>
      </w:r>
    </w:p>
    <w:p>
      <w:pPr>
        <w:spacing w:after="0" w:line="1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7"/>
          <w:szCs w:val="17"/>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26670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7"/>
          <w:szCs w:val="17"/>
          <w:color w:val="auto"/>
        </w:rPr>
        <w:t>(Registrant)</w:t>
      </w:r>
    </w:p>
    <w:p>
      <w:pPr>
        <w:spacing w:after="0" w:line="304" w:lineRule="exact"/>
        <w:rPr>
          <w:sz w:val="20"/>
          <w:szCs w:val="20"/>
          <w:color w:val="auto"/>
        </w:rPr>
      </w:pPr>
    </w:p>
    <w:p>
      <w:pPr>
        <w:ind w:left="20"/>
        <w:spacing w:after="0"/>
        <w:tabs>
          <w:tab w:leader="none" w:pos="7320" w:val="left"/>
        </w:tabs>
        <w:rPr>
          <w:sz w:val="20"/>
          <w:szCs w:val="20"/>
          <w:color w:val="auto"/>
        </w:rPr>
      </w:pPr>
      <w:r>
        <w:rPr>
          <w:rFonts w:ascii="Times New Roman" w:cs="Times New Roman" w:eastAsia="Times New Roman" w:hAnsi="Times New Roman"/>
          <w:sz w:val="17"/>
          <w:szCs w:val="17"/>
          <w:color w:val="auto"/>
        </w:rPr>
        <w:t>Date: June 5, 2026</w:t>
      </w:r>
      <w:r>
        <w:rPr>
          <w:sz w:val="20"/>
          <w:szCs w:val="20"/>
          <w:color w:val="auto"/>
        </w:rPr>
        <w:tab/>
      </w: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26670</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Brian G. Andrews</w:t>
      </w:r>
    </w:p>
    <w:p>
      <w:pPr>
        <w:spacing w:after="0" w:line="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ind w:left="594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700"/>
          </w:cols>
          <w:pgMar w:left="320" w:top="793" w:right="8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Brian G. Andrews</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jc w:val="center"/>
        <w:ind w:right="-299"/>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36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Albert G. White III,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April 30, 2026,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Albert G. White III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G. White III</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Brian G. Andrews,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April 30, 2026,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 Andrews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Andrews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2026-06-05T15:52:07Z</dcterms:created>
  <dcterms:modified xsi:type="dcterms:W3CDTF">2026-06-05T15:52:07Z</dcterms:modified>
</cp:coreProperties>
</file>