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680085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jc w:val="center"/>
        <w:spacing w:after="0" w:line="209"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line="193" w:lineRule="auto"/>
        <w:rPr>
          <w:sz w:val="20"/>
          <w:szCs w:val="20"/>
          <w:color w:val="auto"/>
        </w:rPr>
      </w:pPr>
      <w:r>
        <w:rPr>
          <w:rFonts w:ascii="Times New Roman" w:cs="Times New Roman" w:eastAsia="Times New Roman" w:hAnsi="Times New Roman"/>
          <w:sz w:val="17"/>
          <w:szCs w:val="17"/>
          <w:b w:val="1"/>
          <w:bCs w:val="1"/>
          <w:color w:val="auto"/>
        </w:rPr>
        <w:t>WASHINGTON, D.C. 20549</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334" w:lineRule="exact"/>
        <w:rPr>
          <w:sz w:val="24"/>
          <w:szCs w:val="24"/>
          <w:color w:val="auto"/>
        </w:rPr>
      </w:pPr>
    </w:p>
    <w:p>
      <w:pPr>
        <w:ind w:left="1120" w:hanging="1078"/>
        <w:spacing w:after="0"/>
        <w:tabs>
          <w:tab w:leader="none" w:pos="11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OCTOBER 31, 2025</w:t>
      </w:r>
    </w:p>
    <w:p>
      <w:pPr>
        <w:spacing w:after="0" w:line="146" w:lineRule="exact"/>
        <w:rPr>
          <w:sz w:val="24"/>
          <w:szCs w:val="24"/>
          <w:color w:val="auto"/>
        </w:rPr>
      </w:pPr>
    </w:p>
    <w:p>
      <w:pPr>
        <w:ind w:left="920" w:hanging="878"/>
        <w:spacing w:after="0"/>
        <w:tabs>
          <w:tab w:leader="none" w:pos="9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FOR THE TRANSITION PERIOD FROM TO</w:t>
            </w:r>
          </w:p>
        </w:tc>
        <w:tc>
          <w:tcPr>
            <w:tcW w:w="2180" w:type="dxa"/>
            <w:vAlign w:val="bottom"/>
          </w:tcPr>
          <w:p>
            <w:pPr>
              <w:spacing w:after="0"/>
              <w:rPr>
                <w:sz w:val="19"/>
                <w:szCs w:val="19"/>
                <w:color w:val="auto"/>
              </w:rPr>
            </w:pPr>
          </w:p>
        </w:tc>
      </w:tr>
      <w:tr>
        <w:trPr>
          <w:trHeight w:val="383"/>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COMMISSION FILE NO. 001-08597</w:t>
            </w:r>
          </w:p>
        </w:tc>
        <w:tc>
          <w:tcPr>
            <w:tcW w:w="2180" w:type="dxa"/>
            <w:vAlign w:val="bottom"/>
          </w:tcPr>
          <w:p>
            <w:pPr>
              <w:spacing w:after="0"/>
              <w:rPr>
                <w:sz w:val="24"/>
                <w:szCs w:val="24"/>
                <w:color w:val="auto"/>
              </w:rPr>
            </w:pPr>
          </w:p>
        </w:tc>
      </w:t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8"/>
              </w:rPr>
              <w:t>________________________</w:t>
            </w:r>
          </w:p>
        </w:tc>
        <w:tc>
          <w:tcPr>
            <w:tcW w:w="2180" w:type="dxa"/>
            <w:vAlign w:val="bottom"/>
          </w:tcPr>
          <w:p>
            <w:pPr>
              <w:spacing w:after="0"/>
              <w:rPr>
                <w:sz w:val="19"/>
                <w:szCs w:val="19"/>
                <w:color w:val="auto"/>
              </w:rPr>
            </w:pPr>
          </w:p>
        </w:tc>
      </w:tr>
      <w:tr>
        <w:trPr>
          <w:trHeight w:val="187"/>
        </w:trPr>
        <w:tc>
          <w:tcPr>
            <w:tcW w:w="6300" w:type="dxa"/>
            <w:vAlign w:val="bottom"/>
          </w:tcPr>
          <w:p>
            <w:pPr>
              <w:jc w:val="center"/>
              <w:ind w:left="2436"/>
              <w:spacing w:after="0" w:line="187" w:lineRule="exact"/>
              <w:rPr>
                <w:sz w:val="20"/>
                <w:szCs w:val="20"/>
                <w:color w:val="auto"/>
              </w:rPr>
            </w:pPr>
            <w:r>
              <w:rPr>
                <w:rFonts w:ascii="Times New Roman" w:cs="Times New Roman" w:eastAsia="Times New Roman" w:hAnsi="Times New Roman"/>
                <w:sz w:val="17"/>
                <w:szCs w:val="17"/>
                <w:b w:val="1"/>
                <w:bCs w:val="1"/>
                <w:color w:val="auto"/>
                <w:w w:val="97"/>
              </w:rPr>
              <w:t>THE COOPER COMPANIES, INC.</w:t>
            </w:r>
          </w:p>
        </w:tc>
        <w:tc>
          <w:tcPr>
            <w:tcW w:w="2180" w:type="dxa"/>
            <w:vAlign w:val="bottom"/>
          </w:tcPr>
          <w:p>
            <w:pPr>
              <w:spacing w:after="0"/>
              <w:rPr>
                <w:sz w:val="16"/>
                <w:szCs w:val="16"/>
                <w:color w:val="auto"/>
              </w:rPr>
            </w:pPr>
          </w:p>
        </w:tc>
      </w:tr>
      <w:tr>
        <w:trPr>
          <w:trHeight w:val="158"/>
        </w:trPr>
        <w:tc>
          <w:tcPr>
            <w:tcW w:w="6300" w:type="dxa"/>
            <w:vAlign w:val="bottom"/>
          </w:tcPr>
          <w:p>
            <w:pPr>
              <w:jc w:val="center"/>
              <w:ind w:left="2436"/>
              <w:spacing w:after="0" w:line="158" w:lineRule="exact"/>
              <w:rPr>
                <w:sz w:val="20"/>
                <w:szCs w:val="20"/>
                <w:color w:val="auto"/>
              </w:rPr>
            </w:pPr>
            <w:r>
              <w:rPr>
                <w:rFonts w:ascii="Times New Roman" w:cs="Times New Roman" w:eastAsia="Times New Roman" w:hAnsi="Times New Roman"/>
                <w:sz w:val="17"/>
                <w:szCs w:val="17"/>
                <w:b w:val="1"/>
                <w:bCs w:val="1"/>
                <w:color w:val="auto"/>
                <w:w w:val="97"/>
              </w:rPr>
              <w:t>(Exact name of registrant as specified in its charter)</w:t>
            </w:r>
          </w:p>
        </w:tc>
        <w:tc>
          <w:tcPr>
            <w:tcW w:w="2180" w:type="dxa"/>
            <w:vAlign w:val="bottom"/>
          </w:tcPr>
          <w:p>
            <w:pPr>
              <w:spacing w:after="0"/>
              <w:rPr>
                <w:sz w:val="13"/>
                <w:szCs w:val="13"/>
                <w:color w:val="auto"/>
              </w:rPr>
            </w:pPr>
          </w:p>
        </w:tc>
      </w:t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8"/>
              </w:rPr>
              <w:t>________________________</w:t>
            </w:r>
          </w:p>
        </w:tc>
        <w:tc>
          <w:tcPr>
            <w:tcW w:w="2180" w:type="dxa"/>
            <w:vAlign w:val="bottom"/>
          </w:tcPr>
          <w:p>
            <w:pPr>
              <w:spacing w:after="0"/>
              <w:rPr>
                <w:sz w:val="19"/>
                <w:szCs w:val="19"/>
                <w:color w:val="auto"/>
              </w:rPr>
            </w:pPr>
          </w:p>
        </w:tc>
      </w:tr>
      <w:tr>
        <w:trPr>
          <w:trHeight w:val="345"/>
        </w:trPr>
        <w:tc>
          <w:tcPr>
            <w:tcW w:w="6300" w:type="dxa"/>
            <w:vAlign w:val="bottom"/>
          </w:tcPr>
          <w:p>
            <w:pPr>
              <w:jc w:val="center"/>
              <w:ind w:right="2616"/>
              <w:spacing w:after="0"/>
              <w:rPr>
                <w:sz w:val="20"/>
                <w:szCs w:val="20"/>
                <w:color w:val="auto"/>
              </w:rPr>
            </w:pPr>
            <w:r>
              <w:rPr>
                <w:rFonts w:ascii="Times New Roman" w:cs="Times New Roman" w:eastAsia="Times New Roman" w:hAnsi="Times New Roman"/>
                <w:sz w:val="21"/>
                <w:szCs w:val="21"/>
                <w:b w:val="1"/>
                <w:bCs w:val="1"/>
                <w:color w:val="auto"/>
                <w:w w:val="98"/>
              </w:rPr>
              <w:t>Delaware</w:t>
            </w:r>
          </w:p>
        </w:tc>
        <w:tc>
          <w:tcPr>
            <w:tcW w:w="2180" w:type="dxa"/>
            <w:vAlign w:val="bottom"/>
          </w:tcPr>
          <w:p>
            <w:pPr>
              <w:jc w:val="right"/>
              <w:ind w:right="473"/>
              <w:spacing w:after="0"/>
              <w:rPr>
                <w:sz w:val="20"/>
                <w:szCs w:val="20"/>
                <w:color w:val="auto"/>
              </w:rPr>
            </w:pPr>
            <w:r>
              <w:rPr>
                <w:rFonts w:ascii="Times New Roman" w:cs="Times New Roman" w:eastAsia="Times New Roman" w:hAnsi="Times New Roman"/>
                <w:sz w:val="21"/>
                <w:szCs w:val="21"/>
                <w:b w:val="1"/>
                <w:bCs w:val="1"/>
                <w:color w:val="auto"/>
              </w:rPr>
              <w:t>94-2657368</w:t>
            </w:r>
          </w:p>
        </w:tc>
      </w:tr>
      <w:tr>
        <w:trPr>
          <w:trHeight w:val="185"/>
        </w:trPr>
        <w:tc>
          <w:tcPr>
            <w:tcW w:w="6300" w:type="dxa"/>
            <w:vAlign w:val="bottom"/>
          </w:tcPr>
          <w:p>
            <w:pPr>
              <w:jc w:val="center"/>
              <w:ind w:right="2616"/>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 incorporation or organization)</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286"/>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6101 Bollinger Canyon Road,</w:t>
            </w:r>
          </w:p>
        </w:tc>
        <w:tc>
          <w:tcPr>
            <w:tcW w:w="2180" w:type="dxa"/>
            <w:vAlign w:val="bottom"/>
          </w:tcPr>
          <w:p>
            <w:pPr>
              <w:spacing w:after="0"/>
              <w:rPr>
                <w:sz w:val="24"/>
                <w:szCs w:val="24"/>
                <w:color w:val="auto"/>
              </w:rPr>
            </w:pPr>
          </w:p>
        </w:tc>
      </w:tr>
      <w:tr>
        <w:trPr>
          <w:trHeight w:val="197"/>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6"/>
              </w:rPr>
              <w:t>Suite 500</w:t>
            </w:r>
          </w:p>
        </w:tc>
        <w:tc>
          <w:tcPr>
            <w:tcW w:w="2180" w:type="dxa"/>
            <w:vAlign w:val="bottom"/>
          </w:tcPr>
          <w:p>
            <w:pPr>
              <w:spacing w:after="0"/>
              <w:rPr>
                <w:sz w:val="17"/>
                <w:szCs w:val="17"/>
                <w:color w:val="auto"/>
              </w:rPr>
            </w:pPr>
          </w:p>
        </w:tc>
      </w:tr>
      <w:tr>
        <w:trPr>
          <w:trHeight w:val="197"/>
        </w:trPr>
        <w:tc>
          <w:tcPr>
            <w:tcW w:w="6300" w:type="dxa"/>
            <w:vAlign w:val="bottom"/>
          </w:tcPr>
          <w:p>
            <w:pPr>
              <w:jc w:val="center"/>
              <w:ind w:left="2436"/>
              <w:spacing w:after="0"/>
              <w:rPr>
                <w:sz w:val="20"/>
                <w:szCs w:val="20"/>
                <w:color w:val="auto"/>
              </w:rPr>
            </w:pPr>
            <w:r>
              <w:rPr>
                <w:rFonts w:ascii="Times New Roman" w:cs="Times New Roman" w:eastAsia="Times New Roman" w:hAnsi="Times New Roman"/>
                <w:sz w:val="17"/>
                <w:szCs w:val="17"/>
                <w:b w:val="1"/>
                <w:bCs w:val="1"/>
                <w:color w:val="auto"/>
                <w:w w:val="97"/>
              </w:rPr>
              <w:t>San Ramon, California 94583</w:t>
            </w:r>
          </w:p>
        </w:tc>
        <w:tc>
          <w:tcPr>
            <w:tcW w:w="2180" w:type="dxa"/>
            <w:vAlign w:val="bottom"/>
          </w:tcPr>
          <w:p>
            <w:pPr>
              <w:spacing w:after="0"/>
              <w:rPr>
                <w:sz w:val="17"/>
                <w:szCs w:val="17"/>
                <w:color w:val="auto"/>
              </w:rPr>
            </w:pPr>
          </w:p>
        </w:tc>
      </w:tr>
      <w:tr>
        <w:trPr>
          <w:trHeight w:val="220"/>
        </w:trPr>
        <w:tc>
          <w:tcPr>
            <w:tcW w:w="6300" w:type="dxa"/>
            <w:vAlign w:val="bottom"/>
          </w:tcPr>
          <w:p>
            <w:pPr>
              <w:jc w:val="center"/>
              <w:ind w:left="2416"/>
              <w:spacing w:after="0"/>
              <w:rPr>
                <w:sz w:val="20"/>
                <w:szCs w:val="20"/>
                <w:color w:val="auto"/>
              </w:rPr>
            </w:pPr>
            <w:r>
              <w:rPr>
                <w:rFonts w:ascii="Times New Roman" w:cs="Times New Roman" w:eastAsia="Times New Roman" w:hAnsi="Times New Roman"/>
                <w:sz w:val="17"/>
                <w:szCs w:val="17"/>
                <w:b w:val="1"/>
                <w:bCs w:val="1"/>
                <w:color w:val="auto"/>
                <w:w w:val="97"/>
              </w:rPr>
              <w:t>(Address of principal executive offices) (Zip Code)</w:t>
            </w:r>
          </w:p>
        </w:tc>
        <w:tc>
          <w:tcPr>
            <w:tcW w:w="2180" w:type="dxa"/>
            <w:vAlign w:val="bottom"/>
          </w:tcPr>
          <w:p>
            <w:pPr>
              <w:spacing w:after="0"/>
              <w:rPr>
                <w:sz w:val="19"/>
                <w:szCs w:val="19"/>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(925) 460-3600</w:t>
      </w:r>
    </w:p>
    <w:p>
      <w:pPr>
        <w:jc w:val="center"/>
        <w:spacing w:after="0" w:line="209" w:lineRule="auto"/>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1"/>
        </w:trPr>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Common Stock, $0.10 par value</w:t>
            </w:r>
          </w:p>
        </w:tc>
        <w:tc>
          <w:tcPr>
            <w:tcW w:w="34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jc w:val="center"/>
        <w:spacing w:after="0" w:line="209" w:lineRule="auto"/>
        <w:rPr>
          <w:sz w:val="20"/>
          <w:szCs w:val="20"/>
          <w:color w:val="auto"/>
        </w:rPr>
      </w:pPr>
      <w:r>
        <w:rPr>
          <w:rFonts w:ascii="Times New Roman" w:cs="Times New Roman" w:eastAsia="Times New Roman" w:hAnsi="Times New Roman"/>
          <w:sz w:val="17"/>
          <w:szCs w:val="17"/>
          <w:b w:val="1"/>
          <w:bCs w:val="1"/>
          <w:color w:val="auto"/>
        </w:rPr>
        <w:t>None</w:t>
      </w:r>
    </w:p>
    <w:p>
      <w:pPr>
        <w:ind w:left="462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1" w:lineRule="exact"/>
        <w:rPr>
          <w:sz w:val="24"/>
          <w:szCs w:val="24"/>
          <w:color w:val="auto"/>
        </w:rPr>
      </w:pPr>
    </w:p>
    <w:p>
      <w:pPr>
        <w:spacing w:after="0" w:line="196" w:lineRule="exact"/>
        <w:tabs>
          <w:tab w:leader="none" w:pos="6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 w:lineRule="exact"/>
        <w:rPr>
          <w:sz w:val="24"/>
          <w:szCs w:val="24"/>
          <w:color w:val="auto"/>
        </w:rPr>
      </w:pPr>
    </w:p>
    <w:p>
      <w:pPr>
        <w:jc w:val="both"/>
        <w:spacing w:after="0" w:line="20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p>
    <w:p>
      <w:pPr>
        <w:spacing w:after="0" w:line="2"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right="4380"/>
        <w:spacing w:after="0" w:line="20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ind w:right="320"/>
        <w:spacing w:after="0" w:line="20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339725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 w:name="page2"/>
    <w:bookmarkEnd w:id="1"/>
    <w:p>
      <w:pPr>
        <w:ind w:right="3280"/>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0"/>
          <w:szCs w:val="20"/>
          <w:color w:val="auto"/>
        </w:rPr>
      </w:pPr>
    </w:p>
    <w:p>
      <w:pPr>
        <w:ind w:right="60"/>
        <w:spacing w:after="0" w:line="200"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0"/>
          <w:szCs w:val="20"/>
          <w:color w:val="auto"/>
        </w:rPr>
      </w:pPr>
    </w:p>
    <w:p>
      <w:pPr>
        <w:spacing w:after="0" w:line="196" w:lineRule="exact"/>
        <w:tabs>
          <w:tab w:leader="none" w:pos="7680" w:val="left"/>
          <w:tab w:leader="none" w:pos="83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As of April 30, 2025, the last business day of registrant's most recently completed second fiscal quarter, the aggregate market value of shares of the registrant's common stock held by non-affiliates was $16.2 billion.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outstanding of the registrant's common stock, as of December 1, 2025: 195,978,026.</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5060" w:type="dxa"/>
            <w:vAlign w:val="bottom"/>
            <w:gridSpan w:val="2"/>
          </w:tcPr>
          <w:p>
            <w:pPr>
              <w:jc w:val="center"/>
              <w:ind w:right="4460"/>
              <w:spacing w:after="0"/>
              <w:rPr>
                <w:sz w:val="20"/>
                <w:szCs w:val="20"/>
                <w:color w:val="auto"/>
              </w:rPr>
            </w:pPr>
            <w:r>
              <w:rPr>
                <w:rFonts w:ascii="Times New Roman" w:cs="Times New Roman" w:eastAsia="Times New Roman" w:hAnsi="Times New Roman"/>
                <w:sz w:val="14"/>
                <w:szCs w:val="14"/>
                <w:b w:val="1"/>
                <w:bCs w:val="1"/>
                <w:color w:val="auto"/>
                <w:w w:val="97"/>
              </w:rPr>
              <w:t>Document</w:t>
            </w:r>
          </w:p>
        </w:tc>
        <w:tc>
          <w:tcPr>
            <w:tcW w:w="320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Part of Form 10-K</w:t>
            </w:r>
          </w:p>
        </w:tc>
      </w:tr>
      <w:tr>
        <w:trPr>
          <w:trHeight w:val="20"/>
        </w:trPr>
        <w:tc>
          <w:tcPr>
            <w:tcW w:w="2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0"/>
        </w:trPr>
        <w:tc>
          <w:tcPr>
            <w:tcW w:w="8040" w:type="dxa"/>
            <w:vAlign w:val="bottom"/>
            <w:gridSpan w:val="3"/>
          </w:tcPr>
          <w:p>
            <w:pPr>
              <w:jc w:val="center"/>
              <w:ind w:right="1480"/>
              <w:spacing w:after="0"/>
              <w:rPr>
                <w:sz w:val="20"/>
                <w:szCs w:val="20"/>
                <w:color w:val="auto"/>
              </w:rPr>
            </w:pPr>
            <w:r>
              <w:rPr>
                <w:rFonts w:ascii="Times New Roman" w:cs="Times New Roman" w:eastAsia="Times New Roman" w:hAnsi="Times New Roman"/>
                <w:sz w:val="16"/>
                <w:szCs w:val="16"/>
                <w:color w:val="auto"/>
                <w:w w:val="98"/>
              </w:rPr>
              <w:t>Portions of the Proxy Statement for the Annual Meeting</w:t>
            </w:r>
          </w:p>
        </w:tc>
        <w:tc>
          <w:tcPr>
            <w:tcW w:w="1160" w:type="dxa"/>
            <w:vAlign w:val="bottom"/>
          </w:tcPr>
          <w:p>
            <w:pPr>
              <w:spacing w:after="0"/>
              <w:rPr>
                <w:sz w:val="16"/>
                <w:szCs w:val="16"/>
                <w:color w:val="auto"/>
              </w:rPr>
            </w:pPr>
          </w:p>
        </w:tc>
        <w:tc>
          <w:tcPr>
            <w:tcW w:w="204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color w:val="auto"/>
              </w:rPr>
              <w:t>Part III</w:t>
            </w:r>
          </w:p>
        </w:tc>
      </w:tr>
      <w:tr>
        <w:trPr>
          <w:trHeight w:val="206"/>
        </w:trPr>
        <w:tc>
          <w:tcPr>
            <w:tcW w:w="8040" w:type="dxa"/>
            <w:vAlign w:val="bottom"/>
            <w:gridSpan w:val="3"/>
          </w:tcPr>
          <w:p>
            <w:pPr>
              <w:jc w:val="center"/>
              <w:ind w:right="1480"/>
              <w:spacing w:after="0"/>
              <w:rPr>
                <w:sz w:val="20"/>
                <w:szCs w:val="20"/>
                <w:color w:val="auto"/>
              </w:rPr>
            </w:pPr>
            <w:r>
              <w:rPr>
                <w:rFonts w:ascii="Times New Roman" w:cs="Times New Roman" w:eastAsia="Times New Roman" w:hAnsi="Times New Roman"/>
                <w:sz w:val="16"/>
                <w:szCs w:val="16"/>
                <w:color w:val="auto"/>
                <w:w w:val="98"/>
              </w:rPr>
              <w:t>of Stockholders scheduled to be held in April 2026</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81"/>
        </w:trPr>
        <w:tc>
          <w:tcPr>
            <w:tcW w:w="8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Our independent registered public accounting firm is KPMG LLP, San Francisco, CA, Auditor ID: 185.</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4"/>
        </w:trPr>
        <w:tc>
          <w:tcPr>
            <w:tcW w:w="29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898"/>
        </w:trPr>
        <w:tc>
          <w:tcPr>
            <w:tcW w:w="2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360" w:type="dxa"/>
            <w:vAlign w:val="bottom"/>
          </w:tcPr>
          <w:p>
            <w:pPr>
              <w:spacing w:after="0"/>
              <w:rPr>
                <w:sz w:val="19"/>
                <w:szCs w:val="19"/>
                <w:color w:val="auto"/>
              </w:rPr>
            </w:pPr>
          </w:p>
        </w:tc>
        <w:tc>
          <w:tcPr>
            <w:tcW w:w="8420" w:type="dxa"/>
            <w:vAlign w:val="bottom"/>
          </w:tcPr>
          <w:p>
            <w:pPr>
              <w:jc w:val="center"/>
              <w:ind w:left="37"/>
              <w:spacing w:after="0"/>
              <w:rPr>
                <w:sz w:val="20"/>
                <w:szCs w:val="20"/>
                <w:color w:val="auto"/>
              </w:rPr>
            </w:pPr>
            <w:r>
              <w:rPr>
                <w:rFonts w:ascii="Times New Roman" w:cs="Times New Roman" w:eastAsia="Times New Roman" w:hAnsi="Times New Roman"/>
                <w:sz w:val="17"/>
                <w:szCs w:val="17"/>
                <w:b w:val="1"/>
                <w:bCs w:val="1"/>
                <w:color w:val="auto"/>
                <w:w w:val="97"/>
              </w:rPr>
              <w:t>THE COOPER COMPANIES, INC. AND SUBSIDIARIES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0"/>
        </w:trPr>
        <w:tc>
          <w:tcPr>
            <w:tcW w:w="1360" w:type="dxa"/>
            <w:vAlign w:val="bottom"/>
          </w:tcPr>
          <w:p>
            <w:pPr>
              <w:spacing w:after="0"/>
              <w:rPr>
                <w:sz w:val="24"/>
                <w:szCs w:val="24"/>
                <w:color w:val="auto"/>
              </w:rPr>
            </w:pPr>
          </w:p>
        </w:tc>
        <w:tc>
          <w:tcPr>
            <w:tcW w:w="8420" w:type="dxa"/>
            <w:vAlign w:val="bottom"/>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8"/>
              </w:rPr>
              <w:t>Annual Report on Form 10-K</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8420" w:type="dxa"/>
            <w:vAlign w:val="bottom"/>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6"/>
              </w:rPr>
              <w:t>for the Fiscal Year Ended October 31, 2025</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6"/>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5"/>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8420" w:type="dxa"/>
            <w:vAlign w:val="bottom"/>
          </w:tcPr>
          <w:p>
            <w:pPr>
              <w:spacing w:after="0"/>
              <w:rPr>
                <w:sz w:val="24"/>
                <w:szCs w:val="24"/>
                <w:color w:val="auto"/>
              </w:rPr>
            </w:pPr>
          </w:p>
        </w:tc>
        <w:tc>
          <w:tcPr>
            <w:tcW w:w="120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auto"/>
                <w:w w:val="90"/>
              </w:rPr>
              <w:t>Page</w:t>
            </w: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1.</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Business</w:t>
            </w:r>
          </w:p>
        </w:tc>
        <w:tc>
          <w:tcPr>
            <w:tcW w:w="1080" w:type="dxa"/>
            <w:vAlign w:val="bottom"/>
            <w:gridSpan w:val="2"/>
          </w:tcPr>
          <w:p>
            <w:pPr>
              <w:jc w:val="center"/>
              <w:ind w:left="917"/>
              <w:spacing w:after="0" w:line="186" w:lineRule="exact"/>
              <w:rPr>
                <w:sz w:val="20"/>
                <w:szCs w:val="20"/>
                <w:color w:val="auto"/>
              </w:rPr>
            </w:pPr>
            <w:r>
              <w:rPr>
                <w:rFonts w:ascii="Times New Roman" w:cs="Times New Roman" w:eastAsia="Times New Roman" w:hAnsi="Times New Roman"/>
                <w:sz w:val="17"/>
                <w:szCs w:val="17"/>
                <w:color w:val="0000FF"/>
                <w:w w:val="93"/>
              </w:rPr>
              <w:t>7</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 Factors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20</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40</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Cybersecurity</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40</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Properties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42</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Legal Proceedings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43</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Mine Safety Disclosures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43</w:t>
            </w:r>
          </w:p>
        </w:tc>
        <w:tc>
          <w:tcPr>
            <w:tcW w:w="120" w:type="dxa"/>
            <w:vAlign w:val="bottom"/>
          </w:tcPr>
          <w:p>
            <w:pPr>
              <w:spacing w:after="0"/>
              <w:rPr>
                <w:sz w:val="17"/>
                <w:szCs w:val="17"/>
                <w:color w:val="auto"/>
              </w:rPr>
            </w:pPr>
          </w:p>
        </w:tc>
      </w:tr>
      <w:tr>
        <w:trPr>
          <w:trHeight w:val="502"/>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5.</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 Equity Securities</w:t>
            </w:r>
          </w:p>
        </w:tc>
        <w:tc>
          <w:tcPr>
            <w:tcW w:w="1080" w:type="dxa"/>
            <w:vAlign w:val="bottom"/>
            <w:gridSpan w:val="2"/>
          </w:tcPr>
          <w:p>
            <w:pPr>
              <w:jc w:val="center"/>
              <w:ind w:left="837"/>
              <w:spacing w:after="0" w:line="186" w:lineRule="exact"/>
              <w:rPr>
                <w:sz w:val="20"/>
                <w:szCs w:val="20"/>
                <w:color w:val="auto"/>
              </w:rPr>
            </w:pPr>
            <w:r>
              <w:rPr>
                <w:rFonts w:ascii="Times New Roman" w:cs="Times New Roman" w:eastAsia="Times New Roman" w:hAnsi="Times New Roman"/>
                <w:sz w:val="17"/>
                <w:szCs w:val="17"/>
                <w:color w:val="0000FF"/>
                <w:w w:val="93"/>
              </w:rPr>
              <w:t>44</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Reserved</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45</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46</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Quantitative and Qualitative Disclosure about Market Risk</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55</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56</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89</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Controls and Procedures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89</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Information</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90</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90</w:t>
            </w:r>
          </w:p>
        </w:tc>
        <w:tc>
          <w:tcPr>
            <w:tcW w:w="120" w:type="dxa"/>
            <w:vAlign w:val="bottom"/>
          </w:tcPr>
          <w:p>
            <w:pPr>
              <w:spacing w:after="0"/>
              <w:rPr>
                <w:sz w:val="17"/>
                <w:szCs w:val="17"/>
                <w:color w:val="auto"/>
              </w:rPr>
            </w:pPr>
          </w:p>
        </w:tc>
      </w:tr>
      <w:tr>
        <w:trPr>
          <w:trHeight w:val="502"/>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10.</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1080" w:type="dxa"/>
            <w:vAlign w:val="bottom"/>
            <w:gridSpan w:val="2"/>
          </w:tcPr>
          <w:p>
            <w:pPr>
              <w:jc w:val="center"/>
              <w:ind w:left="837"/>
              <w:spacing w:after="0" w:line="186" w:lineRule="exact"/>
              <w:rPr>
                <w:sz w:val="20"/>
                <w:szCs w:val="20"/>
                <w:color w:val="auto"/>
              </w:rPr>
            </w:pPr>
            <w:r>
              <w:rPr>
                <w:rFonts w:ascii="Times New Roman" w:cs="Times New Roman" w:eastAsia="Times New Roman" w:hAnsi="Times New Roman"/>
                <w:sz w:val="17"/>
                <w:szCs w:val="17"/>
                <w:color w:val="0000FF"/>
                <w:w w:val="93"/>
              </w:rPr>
              <w:t>91</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Compensation</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91</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91</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91</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Accounting Fees and Services</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91</w:t>
            </w:r>
          </w:p>
        </w:tc>
        <w:tc>
          <w:tcPr>
            <w:tcW w:w="120" w:type="dxa"/>
            <w:vAlign w:val="bottom"/>
          </w:tcPr>
          <w:p>
            <w:pPr>
              <w:spacing w:after="0"/>
              <w:rPr>
                <w:sz w:val="17"/>
                <w:szCs w:val="17"/>
                <w:color w:val="auto"/>
              </w:rPr>
            </w:pPr>
          </w:p>
        </w:tc>
      </w:tr>
      <w:tr>
        <w:trPr>
          <w:trHeight w:val="502"/>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8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Item 15.</w:t>
            </w:r>
          </w:p>
        </w:tc>
        <w:tc>
          <w:tcPr>
            <w:tcW w:w="842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Exhibits and Financial Statement Schedules</w:t>
            </w:r>
          </w:p>
        </w:tc>
        <w:tc>
          <w:tcPr>
            <w:tcW w:w="1080" w:type="dxa"/>
            <w:vAlign w:val="bottom"/>
            <w:gridSpan w:val="2"/>
          </w:tcPr>
          <w:p>
            <w:pPr>
              <w:jc w:val="center"/>
              <w:ind w:left="837"/>
              <w:spacing w:after="0" w:line="186" w:lineRule="exact"/>
              <w:rPr>
                <w:sz w:val="20"/>
                <w:szCs w:val="20"/>
                <w:color w:val="auto"/>
              </w:rPr>
            </w:pPr>
            <w:r>
              <w:rPr>
                <w:rFonts w:ascii="Times New Roman" w:cs="Times New Roman" w:eastAsia="Times New Roman" w:hAnsi="Times New Roman"/>
                <w:sz w:val="17"/>
                <w:szCs w:val="17"/>
                <w:color w:val="0000FF"/>
                <w:w w:val="93"/>
              </w:rPr>
              <w:t>92</w:t>
            </w:r>
          </w:p>
        </w:tc>
        <w:tc>
          <w:tcPr>
            <w:tcW w:w="1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3"/>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Form 10-K Summary</w:t>
            </w:r>
          </w:p>
        </w:tc>
        <w:tc>
          <w:tcPr>
            <w:tcW w:w="1080" w:type="dxa"/>
            <w:vAlign w:val="bottom"/>
            <w:gridSpan w:val="2"/>
          </w:tcPr>
          <w:p>
            <w:pPr>
              <w:jc w:val="center"/>
              <w:ind w:left="837"/>
              <w:spacing w:after="0"/>
              <w:rPr>
                <w:sz w:val="20"/>
                <w:szCs w:val="20"/>
                <w:color w:val="auto"/>
              </w:rPr>
            </w:pPr>
            <w:r>
              <w:rPr>
                <w:rFonts w:ascii="Times New Roman" w:cs="Times New Roman" w:eastAsia="Times New Roman" w:hAnsi="Times New Roman"/>
                <w:sz w:val="17"/>
                <w:szCs w:val="17"/>
                <w:color w:val="0000FF"/>
                <w:w w:val="93"/>
              </w:rPr>
              <w:t>96</w:t>
            </w: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1373" w:right="5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 those described in our Securities and Exchange Commission filings, including the “Business,” “Risk Factors” and “Management's Discussion and Analysis of Financial Condition and Results of Operations” sections in this Annual Report on Form 10-K for the fiscal year ended October 31, 2025, as such Risk Factors may be updated in quarterly filings.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4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Our business faces significant risks. In addition to the summary below, you should carefully review the “Risk Factors” section of this Annual Report on Form 10-K. We may be subject to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 Some of the more significant risks relating to our business include:</w:t>
      </w:r>
    </w:p>
    <w:p>
      <w:pPr>
        <w:spacing w:after="0" w:line="205" w:lineRule="exact"/>
        <w:rPr>
          <w:sz w:val="20"/>
          <w:szCs w:val="20"/>
          <w:color w:val="auto"/>
        </w:rPr>
      </w:pPr>
    </w:p>
    <w:p>
      <w:pPr>
        <w:ind w:left="640" w:right="60" w:hanging="635"/>
        <w:spacing w:after="0" w:line="249"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ind w:left="640" w:right="360" w:hanging="635"/>
        <w:spacing w:after="0" w:line="248"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international conflicts and the global response to international conflicts on the global and local economy, financial markets, energy markets, currency rates and our ability to supply product to, or through, affected countries.</w:t>
      </w:r>
    </w:p>
    <w:p>
      <w:pPr>
        <w:spacing w:after="0" w:line="1" w:lineRule="exact"/>
        <w:rPr>
          <w:rFonts w:ascii="Times New Roman" w:cs="Times New Roman" w:eastAsia="Times New Roman" w:hAnsi="Times New Roman"/>
          <w:sz w:val="17"/>
          <w:szCs w:val="17"/>
          <w:color w:val="auto"/>
        </w:rPr>
      </w:pPr>
    </w:p>
    <w:p>
      <w:pPr>
        <w:ind w:left="640" w:right="24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and expanding international operations and the challenges of managing an organization spread throughout multiple countries and complying with a variety of legal, compliance and regulatory requirements.</w:t>
      </w:r>
    </w:p>
    <w:p>
      <w:pPr>
        <w:ind w:left="640" w:right="100" w:hanging="635"/>
        <w:spacing w:after="0" w:line="246"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w:t>
      </w:r>
    </w:p>
    <w:p>
      <w:pPr>
        <w:spacing w:after="0" w:line="2" w:lineRule="exact"/>
        <w:rPr>
          <w:rFonts w:ascii="Times New Roman" w:cs="Times New Roman" w:eastAsia="Times New Roman" w:hAnsi="Times New Roman"/>
          <w:sz w:val="17"/>
          <w:szCs w:val="17"/>
          <w:color w:val="auto"/>
        </w:rPr>
      </w:pPr>
    </w:p>
    <w:p>
      <w:pPr>
        <w:ind w:left="640" w:right="34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and interest rate fluctuations including the risk of fluctuations in the value of foreign currencies or interest rates that would decrease our net sales and earnings.</w:t>
      </w:r>
    </w:p>
    <w:p>
      <w:pPr>
        <w:ind w:left="640" w:right="360" w:hanging="635"/>
        <w:spacing w:after="0" w:line="242"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and future variable rate indebtedness and associated interest expense is impacted by rate increases, which could adversely affect our financial health or limit our ability to borrow additional funds.</w:t>
      </w:r>
    </w:p>
    <w:p>
      <w:pPr>
        <w:ind w:left="620" w:hanging="61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examinations by tax authorities, and changes in our geographic composition of income.</w:t>
      </w:r>
    </w:p>
    <w:p>
      <w:pPr>
        <w:spacing w:after="0" w:line="13" w:lineRule="exact"/>
        <w:rPr>
          <w:rFonts w:ascii="Times New Roman" w:cs="Times New Roman" w:eastAsia="Times New Roman" w:hAnsi="Times New Roman"/>
          <w:sz w:val="17"/>
          <w:szCs w:val="17"/>
          <w:color w:val="auto"/>
        </w:rPr>
      </w:pPr>
    </w:p>
    <w:p>
      <w:pPr>
        <w:ind w:left="640" w:right="140" w:hanging="635"/>
        <w:spacing w:after="0" w:line="260" w:lineRule="auto"/>
        <w:tabs>
          <w:tab w:leader="none" w:pos="63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ind w:left="640" w:right="200" w:hanging="635"/>
        <w:spacing w:after="0" w:line="256" w:lineRule="auto"/>
        <w:tabs>
          <w:tab w:leader="none" w:pos="63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costs and potential liability in connection with U.S. and foreign laws and health care regulations pertaining to privacy and security of personal information, such as the Health Insurance Portability and Accountability Act of 1996 (HIPAA) and the California Consumer Privacy Act (CCPA) in the U.S. and the General Data Protection Regulation (GDPR) requirements in Europe, including but not limited to those resulting from data security breaches.</w:t>
      </w:r>
    </w:p>
    <w:p>
      <w:pPr>
        <w:spacing w:after="0" w:line="1" w:lineRule="exact"/>
        <w:rPr>
          <w:rFonts w:ascii="Times New Roman" w:cs="Times New Roman" w:eastAsia="Times New Roman" w:hAnsi="Times New Roman"/>
          <w:sz w:val="16"/>
          <w:szCs w:val="16"/>
          <w:color w:val="auto"/>
        </w:rPr>
      </w:pPr>
    </w:p>
    <w:p>
      <w:pPr>
        <w:jc w:val="both"/>
        <w:ind w:left="640" w:right="20" w:hanging="635"/>
        <w:spacing w:after="0" w:line="246"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spacing w:after="0" w:line="2" w:lineRule="exact"/>
        <w:rPr>
          <w:rFonts w:ascii="Times New Roman" w:cs="Times New Roman" w:eastAsia="Times New Roman" w:hAnsi="Times New Roman"/>
          <w:sz w:val="17"/>
          <w:szCs w:val="17"/>
          <w:color w:val="auto"/>
        </w:rPr>
      </w:pPr>
    </w:p>
    <w:p>
      <w:pPr>
        <w:ind w:left="640" w:right="28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spacing w:after="0" w:line="1" w:lineRule="exact"/>
        <w:rPr>
          <w:rFonts w:ascii="Times New Roman" w:cs="Times New Roman" w:eastAsia="Times New Roman" w:hAnsi="Times New Roman"/>
          <w:sz w:val="17"/>
          <w:szCs w:val="17"/>
          <w:color w:val="auto"/>
        </w:rPr>
      </w:pPr>
    </w:p>
    <w:p>
      <w:pPr>
        <w:ind w:left="640" w:right="200" w:hanging="635"/>
        <w:spacing w:after="0" w:line="249"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successful cybersecurity attack which could interrupt or disrupt our information technology systems, or those of our third-party service providers, or cause the loss of confidential or protected data.</w:t>
      </w:r>
    </w:p>
    <w:p>
      <w:pPr>
        <w:ind w:left="64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consolidation of large customers globally through mergers or acquisitions resulting in a larger proportion or concentration of our business being derived from fewer customers.</w:t>
      </w:r>
    </w:p>
    <w:p>
      <w:pPr>
        <w:ind w:left="620" w:hanging="61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supplies of raw materials, particularly components used to manufacture our silicone hydrogel lenses.</w:t>
      </w:r>
    </w:p>
    <w:p>
      <w:pPr>
        <w:spacing w:after="0" w:line="1" w:lineRule="exact"/>
        <w:rPr>
          <w:rFonts w:ascii="Times New Roman" w:cs="Times New Roman" w:eastAsia="Times New Roman" w:hAnsi="Times New Roman"/>
          <w:sz w:val="17"/>
          <w:szCs w:val="17"/>
          <w:color w:val="auto"/>
        </w:rPr>
      </w:pPr>
    </w:p>
    <w:p>
      <w:pPr>
        <w:ind w:left="640" w:right="120" w:hanging="635"/>
        <w:spacing w:after="0" w:line="245"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spacing w:after="0" w:line="1" w:lineRule="exact"/>
        <w:rPr>
          <w:rFonts w:ascii="Times New Roman" w:cs="Times New Roman" w:eastAsia="Times New Roman" w:hAnsi="Times New Roman"/>
          <w:sz w:val="17"/>
          <w:szCs w:val="17"/>
          <w:color w:val="auto"/>
        </w:rPr>
      </w:pPr>
    </w:p>
    <w:p>
      <w:pPr>
        <w:ind w:left="640" w:right="360" w:hanging="635"/>
        <w:spacing w:after="0" w:line="241" w:lineRule="auto"/>
        <w:tabs>
          <w:tab w:leader="none" w:pos="6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costs, insurance expenses, settlement costs and the risk of an adverse decision, prohibitive injunction or settlement related to product liability, patent infringement, contractual disputes, or other litigation.</w:t>
      </w:r>
    </w:p>
    <w:p>
      <w:pPr>
        <w:ind w:left="620" w:hanging="61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sales following product introductions due to poor market acceptance.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 w:name="page6"/>
    <w:bookmarkEnd w:id="5"/>
    <w:p>
      <w:pPr>
        <w:jc w:val="center"/>
        <w:ind w:right="-14"/>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355" w:lineRule="exact"/>
        <w:rPr>
          <w:sz w:val="20"/>
          <w:szCs w:val="20"/>
          <w:color w:val="auto"/>
        </w:rPr>
      </w:pPr>
    </w:p>
    <w:p>
      <w:pPr>
        <w:ind w:left="635" w:right="100" w:hanging="635"/>
        <w:spacing w:after="0" w:line="252"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ind w:left="615" w:hanging="615"/>
        <w:spacing w:after="0"/>
        <w:tabs>
          <w:tab w:leader="none" w:pos="61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sales, loss of customers, reputational harm and costs and expenses, including from claims and litigation related to product recalls and warning letters.</w:t>
      </w:r>
    </w:p>
    <w:p>
      <w:pPr>
        <w:spacing w:after="0" w:line="13" w:lineRule="exact"/>
        <w:rPr>
          <w:rFonts w:ascii="Times New Roman" w:cs="Times New Roman" w:eastAsia="Times New Roman" w:hAnsi="Times New Roman"/>
          <w:sz w:val="16"/>
          <w:szCs w:val="16"/>
          <w:color w:val="auto"/>
        </w:rPr>
      </w:pP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or delays in receiving, regulatory approvals or certifications for products.</w:t>
      </w:r>
    </w:p>
    <w:p>
      <w:pPr>
        <w:spacing w:after="0" w:line="13"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customers and end users to obtain adequate coverage and reimbursement from third-party payers for our products and services.</w:t>
      </w:r>
    </w:p>
    <w:p>
      <w:pPr>
        <w:spacing w:after="0" w:line="1" w:lineRule="exact"/>
        <w:rPr>
          <w:rFonts w:ascii="Times New Roman" w:cs="Times New Roman" w:eastAsia="Times New Roman" w:hAnsi="Times New Roman"/>
          <w:sz w:val="17"/>
          <w:szCs w:val="17"/>
          <w:color w:val="auto"/>
        </w:rPr>
      </w:pPr>
    </w:p>
    <w:p>
      <w:pPr>
        <w:ind w:left="635" w:hanging="635"/>
        <w:spacing w:after="0" w:line="241"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provide for a significant liability or to write off, or accelerate depreciation on, a significant asset, including goodwill, other intangible assets and idle manufacturing facilities and equipment.</w:t>
      </w: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research and development activities and other start-up projects.</w:t>
      </w:r>
    </w:p>
    <w:p>
      <w:pPr>
        <w:spacing w:after="0" w:line="2"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to earnings per share from acquisitions or issuing stock.</w:t>
      </w:r>
    </w:p>
    <w:p>
      <w:pPr>
        <w:spacing w:after="0" w:line="13" w:lineRule="exact"/>
        <w:rPr>
          <w:rFonts w:ascii="Times New Roman" w:cs="Times New Roman" w:eastAsia="Times New Roman" w:hAnsi="Times New Roman"/>
          <w:sz w:val="17"/>
          <w:szCs w:val="17"/>
          <w:color w:val="auto"/>
        </w:rPr>
      </w:pPr>
    </w:p>
    <w:p>
      <w:pPr>
        <w:ind w:left="615" w:hanging="615"/>
        <w:spacing w:after="0"/>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and costs incurred from changes in accounting standards and policies.</w:t>
      </w:r>
    </w:p>
    <w:p>
      <w:pPr>
        <w:spacing w:after="0" w:line="1" w:lineRule="exact"/>
        <w:rPr>
          <w:rFonts w:ascii="Times New Roman" w:cs="Times New Roman" w:eastAsia="Times New Roman" w:hAnsi="Times New Roman"/>
          <w:sz w:val="17"/>
          <w:szCs w:val="17"/>
          <w:color w:val="auto"/>
        </w:rPr>
      </w:pPr>
    </w:p>
    <w:p>
      <w:pPr>
        <w:ind w:left="635" w:right="620" w:hanging="635"/>
        <w:spacing w:after="0" w:line="241"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laws and requirements applicable to our facilities, products or manufacturing processes, including evolving regulations regarding the use of hazardous substances or chemicals in our products.</w:t>
      </w:r>
    </w:p>
    <w:p>
      <w:pPr>
        <w:ind w:left="635" w:right="460" w:hanging="635"/>
        <w:spacing w:after="0" w:line="244" w:lineRule="auto"/>
        <w:tabs>
          <w:tab w:leader="none" w:pos="6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social and corporate governance (ESG) issues, including those related to regulatory and disclosure requirements, climate change and sustainability.</w:t>
      </w:r>
    </w:p>
    <w:p>
      <w:pPr>
        <w:spacing w:after="0" w:line="200" w:lineRule="exact"/>
        <w:rPr>
          <w:sz w:val="20"/>
          <w:szCs w:val="20"/>
          <w:color w:val="auto"/>
        </w:rPr>
      </w:pPr>
    </w:p>
    <w:p>
      <w:pPr>
        <w:spacing w:after="0" w:line="21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15"/>
          </w:cols>
          <w:pgMar w:left="325" w:top="354"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w:t>
      </w:r>
      <w:r>
        <w:rPr>
          <w:rFonts w:ascii="Times New Roman" w:cs="Times New Roman" w:eastAsia="Times New Roman" w:hAnsi="Times New Roman"/>
          <w:sz w:val="17"/>
          <w:szCs w:val="17"/>
          <w:b w:val="1"/>
          <w:bCs w:val="1"/>
          <w:i w:val="1"/>
          <w:iCs w:val="1"/>
          <w:color w:val="auto"/>
        </w:rPr>
        <w:t>. Business</w:t>
      </w:r>
      <w:r>
        <w:rPr>
          <w:rFonts w:ascii="Times New Roman" w:cs="Times New Roman" w:eastAsia="Times New Roman" w:hAnsi="Times New Roman"/>
          <w:sz w:val="17"/>
          <w:szCs w:val="17"/>
          <w:b w:val="1"/>
          <w:bCs w:val="1"/>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Cooper Companies, Inc. (Cooper, we or the Company), is a leading global medical device company focused on helping people experience life's beautiful moments.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Headquartered in San Ramon, California, Cooper sells products in over 130 countries and positively impacts over fifty million lives each year.</w:t>
      </w:r>
    </w:p>
    <w:p>
      <w:pPr>
        <w:spacing w:after="0" w:line="20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Cooper operates through two business segments, CooperVision and CooperSurgical. Our two business segments elevate standards of care with products and services in the fields of vision, fertility and women’s health. For financial information relating to these business segments, refer to Note 12. Business Segment Information in Item 8. Financial Statements and Supplementary Data of this Annual Report.</w:t>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CooperVision is a global manufacturer providing products for contact lens wearers. CooperVision develops, manufactures and markets a broad range of single-use, two-week and monthly contact lenses, featuring advanced materials and optics. CooperVision designs its products to address vision challenges such as astigmatism, presbyopia and myopia with a broad collection of spherical, toric and multifocal contact lenses. CooperVision offers contact lenses in materials like silicone hydrogel Aquaform technology. CooperVision also manufactures and markets myopia management products, including the internally developed MiSight 1 day lens, as well as other specialty eyecare products such as orthokeratology (ortho-k) and scleral lenses. In November 2019, the MiSight 1 day contact lens became the first and only product approved by the United States Food and Drug Administration (FDA) for slowing the progression of myopia in children aged 8-12 at the initiation of treatment. CooperVision received approval for use of the MiSight 1 day lens in China from Chinese National Medical Products Administration (NMPA) in August 2021 and in Japan from the Japanese Ministry of Health, Labour and Welfare (MHLW) in August 2025. CooperVision’s major manufacturing and distribution facilities are located in Belgium, Costa Rica, Hungary, Puerto Rico, the United Kingdom and the United States, with other smaller facilities in multiple locations around the world.</w:t>
      </w:r>
    </w:p>
    <w:p>
      <w:pPr>
        <w:spacing w:after="0" w:line="19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color w:val="auto"/>
        </w:rPr>
        <w:t>CooperSurgical offers a broad array of products and services focused on fertility and women's health. We categorize CooperSurgical product sales based on the point of health care delivery, which includes: products used in medical offices, ambulatory surgery centers and hospitals primarily by women's health providers including Obstetricians/Gynecologists (OB/GYN); and fertility products and services used primarily in fertility clinics. Our portfolio encompasses more than 600 products and services. Our medical devices are used in gynecology and obstetrics, including but not limited to surgical products, contraception and labor and delivery as well as cord blood and cord tissue storage services. Our fertility portfolio encompasses medical devices supporting the in vitro fertilization (IVF) process, egg and sperm donation, cryopreservation, and genomic services (including genetic testing). CooperSurgical has established its market presence and distribution system by developing products and acquiring companies, products and services that complement its business model. CooperSurgical's major manufacturing, cryostorage and distribution facilities are located in Costa Rica, the Netherlands, the United Kingdom and the United States, with other smaller facilities in multiple locations around the world.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CooperVision competes in the worldwide soft contact lens market and services three primary regions: the Americas, EMEA (Europe, Middle East and Africa) and Asia Pacific. The two major product categories of contact lenses sold by CooperVision are:</w:t>
      </w:r>
    </w:p>
    <w:p>
      <w:pPr>
        <w:spacing w:after="0" w:line="196" w:lineRule="exact"/>
        <w:rPr>
          <w:sz w:val="20"/>
          <w:szCs w:val="20"/>
          <w:color w:val="auto"/>
        </w:rPr>
      </w:pPr>
    </w:p>
    <w:p>
      <w:pPr>
        <w:ind w:left="320" w:right="400" w:hanging="315"/>
        <w:spacing w:after="0" w:line="282" w:lineRule="auto"/>
        <w:tabs>
          <w:tab w:leader="none" w:pos="31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lenses, including lenses that, in addition to correcting near- and farsightedness, address more complex visual defects such as astigmatism, myopia and presbyopia by adding optical properties of cylinder and axis, which correct for irregularities in the shape of the cornea; and</w:t>
      </w:r>
    </w:p>
    <w:p>
      <w:pPr>
        <w:spacing w:after="0" w:line="183" w:lineRule="exact"/>
        <w:rPr>
          <w:rFonts w:ascii="Times New Roman" w:cs="Times New Roman" w:eastAsia="Times New Roman" w:hAnsi="Times New Roman"/>
          <w:sz w:val="17"/>
          <w:szCs w:val="17"/>
          <w:color w:val="auto"/>
        </w:rPr>
      </w:pPr>
    </w:p>
    <w:p>
      <w:pPr>
        <w:ind w:left="320" w:right="60" w:hanging="315"/>
        <w:spacing w:after="0" w:line="266" w:lineRule="auto"/>
        <w:tabs>
          <w:tab w:leader="none" w:pos="31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Spherical lenses, including lenses that correct near- and farsightedness uncomplicated by more complex visual defects, myopia management lenses, which slow the progression of and correct myopia in age-appropriate children, and other specialty lenses.</w:t>
      </w:r>
    </w:p>
    <w:p>
      <w:pPr>
        <w:spacing w:after="0" w:line="19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6"/>
          <w:szCs w:val="16"/>
          <w:color w:val="auto"/>
        </w:rPr>
        <w:t>In order to achieve a comfortable and healthier lens wearing experience, CooperVision products are sold with recommended wearing and replacement schedules, often referred to as modalities, with the primary modalities being single-use lenses designed for one-day use and frequent replacement (FRP) lenses designed for two-week and monthly replacement. CooperVision offers spherical, toric, multifocal and toric multifocal lens products in most modalities and in a wide range of lens parameters.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CooperVision Product Modalities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Frequent replacement lenses</w:t>
      </w:r>
    </w:p>
    <w:p>
      <w:pPr>
        <w:spacing w:after="0" w:line="2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Under the Biofinity brand, CooperVision markets monthly silicone hydrogel spherical (including Biofinity Energys), toric, multifocal and toric multifocal (made-to-order) lens products. Our Biofinity brand is CooperVision's highest grossing product. CooperVision also markets two-week silicone hydrogel spherical and toric lenses under the Avaira Vitality brand.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Single-use lenses</w:t>
      </w:r>
    </w:p>
    <w:p>
      <w:pPr>
        <w:spacing w:after="0" w:line="239" w:lineRule="exact"/>
        <w:rPr>
          <w:sz w:val="20"/>
          <w:szCs w:val="20"/>
          <w:color w:val="auto"/>
        </w:rPr>
      </w:pPr>
    </w:p>
    <w:p>
      <w:pPr>
        <w:jc w:val="both"/>
        <w:ind w:right="100"/>
        <w:spacing w:after="0" w:line="285" w:lineRule="auto"/>
        <w:rPr>
          <w:sz w:val="20"/>
          <w:szCs w:val="20"/>
          <w:color w:val="auto"/>
        </w:rPr>
      </w:pPr>
      <w:r>
        <w:rPr>
          <w:rFonts w:ascii="Times New Roman" w:cs="Times New Roman" w:eastAsia="Times New Roman" w:hAnsi="Times New Roman"/>
          <w:sz w:val="16"/>
          <w:szCs w:val="16"/>
          <w:color w:val="auto"/>
        </w:rPr>
        <w:t>CooperVision markets single-use silicone hydrogel lenses under our MyDay brand and our clariti 1 day brand. The MyDay brand is our premium line of 1-day silicone hydrogel lenses and offers spherical (including MyDay Energys), toric, and multifocal lenses. The clariti 1-day brand is our most affordable line of silicone hydrogel 1-day lenses and offers spherical, toric, and multifocal lenses. CooperVision also offers traditional single-use hydrogel lenses under our Proclear and Biomedics brands.</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CooperVision focuses on supporting the growth of all customers including key accounts (which include optical chains, global retailers, certain buying groups and mass merchandisers) by investing in selling, promotional and advertising activities. Further, we are increasing investment in our distribution and packaging capabilities to support the growth of our business and to continue providing quality service with our industry leading stock keeping unit range and customized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for Contact Lenses</w:t>
      </w:r>
    </w:p>
    <w:p>
      <w:pPr>
        <w:spacing w:after="0" w:line="2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The market for spherical lenses is growing with the addition of new value-added products, such as spherical lenses that may provide improved comfort for contact lens related dryness during lens wear and that add aspherical optical properties, more higher oxygen permeable lenses such as silicone hydrogels, and myopia management contact lenses for children aged 8 to 12 years old. CooperVision believes that there are opportunities for contact lenses to gain market share, particularly in markets where the penetration of contact lenses in the vision correction market is low.</w:t>
      </w:r>
    </w:p>
    <w:p>
      <w:pPr>
        <w:spacing w:after="0" w:line="20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7"/>
          <w:szCs w:val="17"/>
          <w:color w:val="auto"/>
        </w:rPr>
        <w:t>We believe that myopia management opens up an attractive new market for contact lenses. With MiSight, we offer the only contact lens approved by the FDA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Chinese NMPA, Japanese MHLW to slow the progression of, and correct, myopia in age-appropriate children. This is a critical differentiator as the proactive management of myopia becomes standard-of-care within the eye care community to help reduce the progression of myopia in children, along with reducing the risks of long-term eye health problems associated with myopia such as cataracts, retinal detachment, and macular degeneration. We are investing to develop this new market by educating eye care practitioners, patients and their families, which increases awareness.</w:t>
      </w:r>
    </w:p>
    <w:p>
      <w:pPr>
        <w:spacing w:after="0" w:line="21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CooperVision is focused on greater worldwide market penetration of recently introduced products, and we continue to expand our presence in existing and emerging markets.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w:t>
      </w:r>
    </w:p>
    <w:p>
      <w:pPr>
        <w:spacing w:after="0" w:line="2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CooperSurgical focuses on advancing fertility and women's health through a diversified portfolio including fertility products and services, medical devices, cryostorage (such as cord blood and cord tissue storage) and contraception. We offer quality products, innovative technologies and superior services to health care professionals and patients worldwide. CooperSurgical collaborates with health care professionals to identify products and new technologies to bring to market. The result is a broad portfolio of products and services that are intended to aid in the delivery of improved clinical outcomes for patients and are routinely used by health care professionals in the diagnosis and treatment of a wide spectrum of women's health and reproductive issues.</w:t>
      </w:r>
    </w:p>
    <w:p>
      <w:pPr>
        <w:spacing w:after="0" w:line="22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7"/>
          <w:szCs w:val="17"/>
          <w:color w:val="auto"/>
        </w:rPr>
        <w:t>CooperSurgical distributes its products and services worldwide through OB/GYN and medical offices, hospital and ambulatory surgery centers and fertility clinics, as well as direct-to-consumer. A focus area for CooperSurgical is key accounts, which include large group practices, integrated delivery networks and certain buying groups within the office/surgical business and fertility clinic networks within the fertility business. We believe our portfolio of offerings and focus on service, quality and clinical education will help increase our share of business within these key account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1665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60" w:firstLine="5"/>
        <w:spacing w:after="0" w:line="227" w:lineRule="auto"/>
        <w:tabs>
          <w:tab w:leader="none" w:pos="9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MiSight 1 day (omafilcon A) soft (hydrophilic) contact lenses for daily wear are indicated for the correction of myopic ametropia and for slowing the progression of myopia in children with non-diseased eyes, who at the initiation of treatment are 8-12 years of age and have a refraction of -0.75 to -4.00 diopters (spherical equivalent) with ≤ 0.75 diopters of astigmatism. The lens is to be discarded after each removal.</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7"/>
          <w:szCs w:val="17"/>
          <w:color w:val="auto"/>
        </w:rPr>
        <w:t>Since its inception in 1990, CooperSurgical has established its market presence and distribution system by developing products and acquiring products and companies that complement its business model. We expect to continue investing in CooperSurgical's business, including through strategic transactions, with the goal of expanding our integrated solutions model within the areas of fertility and women's health.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CooperSurgical Product Categories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Office/Surgical</w:t>
      </w:r>
    </w:p>
    <w:p>
      <w:pPr>
        <w:spacing w:after="0" w:line="2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CooperSurgical sells a wide variety of innovative medical devices and services used in gynecology and obstetrics, including in labor and delivery, as well as to screen, diagnose and treat women's health and reproductive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CooperSurgical offers the cryostorage of newborn cord blood and cord tissue, which are potent sources of stem cells that have the potential for treatment and healing.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newborn stem cell storage services are available in the United States, Canada and Australia.</w:t>
      </w:r>
    </w:p>
    <w:p>
      <w:pPr>
        <w:spacing w:after="0" w:line="23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7"/>
          <w:szCs w:val="17"/>
          <w:color w:val="auto"/>
        </w:rPr>
        <w:t>Paragard is a hormone-free intrauterine device (IUD) offered by CooperSurgical exclusively in the United States that prevents pregnancy for up to ten years using copper as the only active ingredient.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Fertility</w:t>
      </w:r>
    </w:p>
    <w:p>
      <w:pPr>
        <w:spacing w:after="0" w:line="2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CooperSurgical has broad product offerings for fertility evaluations and IVF procedures by OB/GYN professionals, reproductive endocrinologists and embryologists. In fertility clinics, our products include media, micro-tools and lab equipment. Additionally, CooperSurgical offers services to clinics and families undergoing assisted reproductive technologies including donor gametes, cryostorage, and genomic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for Fertility and Women's Health Care</w:t>
      </w:r>
    </w:p>
    <w:p>
      <w:pPr>
        <w:spacing w:after="0" w:line="24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CooperSurgical participates in the market for women's and family health care with its diversified product lines at various points of health care delivery: OB/GYN medical offices, hospitals and surgery centers, and fertility clinics. CooperSurgical’s business also includes cryostorage services for gametes, cord blood and cord tissue.</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CooperSurgical expects that OB/GYN medical offices and fertility clinics will continue to move away from private practice ownership and toward group practices, private equity, corporate or other ownership. As the consolidation trend continues it will have increased influence over supply chain control, group purchases, value analysis committees, product evaluation and procurement. We believe CooperSurgical's broad product portfolio can benefit in this changing environment as customers look to standardize and consolidate vendors.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Trends specific in the OB/GYN market include:</w:t>
      </w:r>
    </w:p>
    <w:p>
      <w:pPr>
        <w:spacing w:after="0" w:line="237" w:lineRule="exact"/>
        <w:rPr>
          <w:sz w:val="20"/>
          <w:szCs w:val="20"/>
          <w:color w:val="auto"/>
        </w:rPr>
      </w:pPr>
    </w:p>
    <w:p>
      <w:pPr>
        <w:ind w:left="320" w:right="380" w:hanging="315"/>
        <w:spacing w:after="0" w:line="282" w:lineRule="auto"/>
        <w:tabs>
          <w:tab w:leader="none" w:pos="31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office-based and outpatient procedures, given increased access to care, high patient satisfaction, reduction of healthcare costs and comparative clinical outcomes.</w:t>
      </w:r>
    </w:p>
    <w:p>
      <w:pPr>
        <w:spacing w:after="0" w:line="183"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focus on reducing pregnancy and childbirth complications.</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obstetrician being a key contributor to stem cell storage, facilitating the collection of cord blood and cord tissue following delivery in most markets.</w:t>
      </w:r>
    </w:p>
    <w:p>
      <w:pPr>
        <w:spacing w:after="0" w:line="237" w:lineRule="exact"/>
        <w:rPr>
          <w:rFonts w:ascii="Times New Roman" w:cs="Times New Roman" w:eastAsia="Times New Roman" w:hAnsi="Times New Roman"/>
          <w:sz w:val="17"/>
          <w:szCs w:val="17"/>
          <w:color w:val="auto"/>
        </w:rPr>
      </w:pPr>
    </w:p>
    <w:p>
      <w:pPr>
        <w:ind w:left="320" w:right="60" w:hanging="315"/>
        <w:spacing w:after="0" w:line="266" w:lineRule="auto"/>
        <w:tabs>
          <w:tab w:leader="none" w:pos="31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evaluation and treatments for infertility, such as uterine assessment, ovulatory medications and intrauterine insemination (IUI), beginning with the OB/GYN and then transitioning to fertility clinics.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Trends specific in the fertility market include:</w:t>
      </w:r>
    </w:p>
    <w:p>
      <w:pPr>
        <w:spacing w:after="0" w:line="250"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Infertility rates are increasing globally, and there is a significant unmet need for fertility products and services.</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maternal age is increasing.</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awareness of, and access to, services is increasing.</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fertility clinics is rising worldwide.</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parents by choice and LGBTQIA+ individuals are starting families.</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product offerings such as donor activity and cryopreservation services are becoming available.</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improvements are being developed for both male and female infertility challenges.</w:t>
      </w:r>
    </w:p>
    <w:p>
      <w:pPr>
        <w:spacing w:after="0" w:line="237"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disposable income is increasing.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The markets in which we participate are highly competitive and involve the continual search for technological and scientific innovations. Competitive factors in these markets include technological and scientific advances, product quality and availability, price, customer service including response time and effective communication of product information to clinicians and consumers, and manufacturing processes. Competitors may have greater financial resources, larger research and development budgets, larger sales forces, greater market penetration and/or larger manufacturing capacity. Both CooperVision and CooperSurgical compete predominantly on the basis of product quality and differentiation, technological benefits, price, service levels and reliability.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Competition</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CooperVision competes in the spherical, toric and multifocal lens categories of the contact lens worldwide market against Johnson &amp; Johnson Vision Care, Inc., Alcon Inc., Bausch + Lomb as well as other smaller companies with limited product offerings. To a lesser extent, CooperVision also competes with manufacturers of eyeglasses and providers of other forms of vision correction including ophthalmic surgery. We believe that in order to compete successfully in the numerous categories of the contact lens market, companies must offer differentiated products that are priced competitively and manufactured efficiently. CooperVision competes in its markets by producing high, medium and low-volume lenses made with a variety of materials for a broader range of market niches, as well as offering a wide range of lens parameters, leading to a higher rate of successful fitting for practitioners and better visual acuity for patients. Our ability to compete successfully with a full range of silicone hydrogel products is an important factor to achieving success in our business. We also compete based on our customer and professional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Competition</w:t>
      </w:r>
    </w:p>
    <w:p>
      <w:pPr>
        <w:spacing w:after="0" w:line="24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CooperSurgical focuses on selected segments of the fertility and women's health care market with a diversified portfolio including fertility products and services, medical devices, cryostorage (such as cord blood and cord tissue storage) and contraception. CooperSurgical's strategy includes developing and acquiring new solutions to complement our current offerings. In the fertility market, CooperSurgical competes against Vitrolife Group, Nexpring, and Fairfax Cryobank and Fairfax EggBank. We also compete with fertility clinics offering their own services. Larger companies such as Johnson &amp; Johnson, Baxter International, Medtronic and Hologic have offerings that compete with our medical device products. In the stem cell storage field, we compete primarily with ViaCord, a division of Revvity, in the United States, as well as other smaller companies with limited product offerings globally. With Paragard, we compete with manufacturers of hormonal IUDs including Bayer and AbbVie, Long Acting Reversible Contraceptives including Organon, and other forms of birth control. A non-hormonal IUD, Miudella, which has been FDA approved and not currently in the market, will compete with Paragard in the future. Further, the continued consolidation of medical offices and fertility clinics may impact the competition for our products and services.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4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The Company employs approximately 500 people in research and development. CooperVision's product development and clinical research is supported by internal and external specialists in lens design, formulation science, polymer chemistry, engineering, clinical trials, microbiology and biochemistry. CooperVision's research and development activities primarily include programs to develop new contact lens designs, myopia management, and manufacturing technologies, along with improving formulations and existing products.</w:t>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CooperSurgical conducts research and development in-house, and works with external specialists when necessary, in mechanical, electrical, biomedical and software engineering, as well as life sciences. CooperSurgical research and development activities are focused on innovating, improving, and advancing our products and services including, instruments, devices, consumables, digital services, and manufacturing technologies.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4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7"/>
          <w:szCs w:val="17"/>
          <w:color w:val="auto"/>
        </w:rPr>
        <w:t>Our products are subject to extensive regulation by the FDA in the United States and a variety of regulatory agencies in other countries. The process of obtaining regulatory approvals and the subsequent compliance with applicable federal,</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state, local and foreign statutes and regulations requires the expenditure of substantial time and financial resources. These regulations govern, among other things, the design and development, testing, manufacturing, labeling, storage, record keeping, premarket clearance, approval or certification, post-market vigilance reporting, advertising and promotion, and sales and distribution of medical devices and pharmaceutical products. Failure to comply with the applicable regulations, which are subject to established and new legislation and change, could result in enforcement action by the FDA, or other U.S. or foreign government agencies which may include, among other things, any of the following consequences: warning letters, civil penalties, refusal or withdrawal of approvals or certifications, license suspension or revocation, product recalls, operating restrictions, suspension or shutdown of production, and criminal prosecution.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in the United 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Devices and In Vitro Diagnostic Devices</w:t>
      </w:r>
    </w:p>
    <w:p>
      <w:pPr>
        <w:spacing w:after="0" w:line="25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Most of our products are medical devices, which must comply with the Federal Food, Drug and Cosmetic Act (FDCA) and the regulations promulgated by the FDA thereunder. The FDA classifies medical devices into one of three classes—Class I, II or III—depending on the degree of risk associated with each medical device and the extent of control needed to ensure the medical device's safety and effectiveness. Both CooperVision and CooperSurgical develop and market medical devices subject to different levels of FDA regulation depending on the classification and risk profile of the device. Class III devices, such as extended wear contact lenses, require extensive premarket testing and approval, while Class I and II devices require lower levels of regulation. The majority of CooperSurgical's products are Class II devices. Unless an exemption applies, each medical device we wish to distribute commercially in the United States will require either premarket notification to the FDA requesting clearance for commercial distribution under Section 510(k) of the FDCA, a premarket approval (PMA) from the FDA, or a de novo classification and request for marketing authorization submitted to and granted by the FDA.</w:t>
      </w:r>
    </w:p>
    <w:p>
      <w:pPr>
        <w:spacing w:after="0" w:line="21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If we are required to obtain a 510(k) clearance for a device that we wish to market, we must submit a premarket notification to the FDA demonstrating that the device is substantially equivalent to a device commercially distributed in the United States before May 28, 1976 (a pre-amendments device), or to a device that was found to be substantially equivalent to a pre-amendments device. If the FDA agrees that the device is substantially equivalent, it will grant 510(k) clearance to commercially market the device. If the FDA determines that the device is not substantially equivalent to a legally marketed device, the FDA automatically designates the device as a Class III device. The sponsor of a device automatically designated as Class III must either fulfill more rigorous PMA requirements or request a risk-based classification determination for the device in accordance with the de novo process. The de novo process is a pathway to market for novel medical devices that are low to moderate risk and are not substantially equivalent to a predicate device.</w:t>
      </w:r>
    </w:p>
    <w:p>
      <w:pPr>
        <w:spacing w:after="0" w:line="21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A PMA application must be submitted if the device cannot be cleared through the 510(k) premarket notification procedures, or if the device has been previously classified as Class III. The PMA process is much more demanding than the 510(k) premarket notification process. A PMA application must be supported by extensive data including, but not limited to, technical, pre-clinical, clinical trials, manufacturing and labeling to demonstrate to the FDA's satisfaction the safety and effectiveness of the device for its intended use. Prior to commencing human clinical trials, submission of an application for an investigational device exemption (IDE) and receipt of IDE approval from the FDA is required if the device under evaluation presents a significant risk to human health. The process of gathering supporting information leading up to PMA application, and the subsequent FDA review, can take several years.</w:t>
      </w:r>
    </w:p>
    <w:p>
      <w:pPr>
        <w:spacing w:after="0" w:line="21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w:t>
      </w:r>
    </w:p>
    <w:p>
      <w:pPr>
        <w:spacing w:after="0" w:line="2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color w:val="auto"/>
        </w:rPr>
        <w:t>After a device is placed on the market, numerous regulatory requirements apply. These include: establishment registration and device listing with the FDA; the FDA's Quality System Regulation (QSR), which requires manufacturers to follow design, testing, production, control, complaint handling, documentation and other quality assurance procedures during the manufacturing process; labeling regulations, which prohibit the promotion of products for uncleared or unapproved or “off-label” uses and impose other restrictions on labeling, advertising and promotion;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broad post-market and regulatory enforcement powers. We are subject to unannounced inspections for cause by the FDA to determine our compliance with the QSR and other regulations.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7"/>
          <w:szCs w:val="17"/>
          <w:color w:val="auto"/>
        </w:rPr>
        <w:t>In the United States, under the FDCA and the FDA’s regulatory framework, in vitro diagnostic devices (IVDs) are a type of medical device that can be used in the diagnosis or detection of diseases, such as cancer, or other conditions. The FDA had previously considered Laboratory Developed Tests (LDTs) to be a subset of IVDs that are designed, manufactured, and used within a single laboratory. In May 2024, the FDA issued the LDT Final Rule to amend its regulations to make explicit its finding that LDTs are devices under the FDCA. Along with this amendment, the FDA issued a policy under which the FDA would provide greater oversight of IVDs offered as LDTs through a phaseout of its general enforcement discretion approach for LDTs over the course of four years, as well as targeted enforcement discretion policies for certain categories of IVDs manufactured by laboratories. On March 31, 2025, the U.S. District Court for the Eastern District of Texas vacated the FDA’s LDT Final Rule, holding that LDTs are medical test services, not devices, and that oversight authority for laboratory testing resides with the Centers for Medicare &amp; Medicaid Services (CMS) under the Clinical Laboratory Improvement Amendments of 1988 (CLIA). The FDA declined to appeal the decision and, on September 19, 2025, formally rescinded the LDT Final Rule. As we operate a genetic testing laboratory, we are required to hold certain federal, state and local licenses, certifications and permits to conduct our business. Under the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have current certification under CLIA to perform testing at our New Jersey facility. In addition to federal certification requirements of laboratories under CLIA, licensure is required and maintained for our laboratory under state law.</w:t>
      </w:r>
    </w:p>
    <w:p>
      <w:pPr>
        <w:spacing w:after="0" w:line="21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As a manufacturer of connected medical devices, we are subject to evolving cybersecurity regulations and guidance issued by the FDA, including the final guidance titled Cybersecurity in Medical Devices: Quality System Considerations and Content of Premarket Submissions (September 2023, updated June 2025). Under Section 524B of the FDCA, effective March 29, 2023, all new premarket submissions and previously authorized devices undergoing new FDA review must comply with enhanced cybersecurity requirements. These include:</w:t>
      </w:r>
    </w:p>
    <w:p>
      <w:pPr>
        <w:spacing w:after="0" w:line="205" w:lineRule="exact"/>
        <w:rPr>
          <w:sz w:val="20"/>
          <w:szCs w:val="20"/>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comprehensive cybersecurity risk management plan;</w:t>
      </w:r>
    </w:p>
    <w:p>
      <w:pPr>
        <w:spacing w:after="0" w:line="106" w:lineRule="exact"/>
        <w:rPr>
          <w:rFonts w:ascii="Times New Roman" w:cs="Times New Roman" w:eastAsia="Times New Roman" w:hAnsi="Times New Roman"/>
          <w:sz w:val="17"/>
          <w:szCs w:val="17"/>
          <w:color w:val="auto"/>
        </w:rPr>
      </w:pPr>
    </w:p>
    <w:p>
      <w:pPr>
        <w:ind w:left="640" w:right="320" w:hanging="320"/>
        <w:spacing w:after="0" w:line="282" w:lineRule="auto"/>
        <w:tabs>
          <w:tab w:leader="none" w:pos="63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detailed Software Bill of Materials (SBOM), listing all software components—including third-party and open-source elements—to support vulnerability tracking;</w:t>
      </w:r>
    </w:p>
    <w:p>
      <w:pPr>
        <w:spacing w:after="0" w:line="52"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Documentation of secure and reliable update mechanisms;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of integration of cybersecurity into the device’s quality system as a core design control; and</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of both premarket and postmarket cybersecurity risks throughout the product lifecycle.</w:t>
      </w:r>
    </w:p>
    <w:p>
      <w:pPr>
        <w:spacing w:after="0" w:line="23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 xml:space="preserve">These requirements reflect FDA’s emphasis on “security by design” and the implementation of a Secure Product Development Framework to ensure resilience against emerging threats. </w:t>
      </w:r>
      <w:r>
        <w:rPr>
          <w:rFonts w:ascii="Times New Roman" w:cs="Times New Roman" w:eastAsia="Times New Roman" w:hAnsi="Times New Roman"/>
          <w:sz w:val="17"/>
          <w:szCs w:val="17"/>
          <w:color w:val="2D2D2D"/>
        </w:rPr>
        <w:t>We are following leading cybersecurity standards and practices to guide our strategies, processes, technologies and controls.</w:t>
      </w:r>
      <w:r>
        <w:rPr>
          <w:rFonts w:ascii="Times New Roman" w:cs="Times New Roman" w:eastAsia="Times New Roman" w:hAnsi="Times New Roman"/>
          <w:sz w:val="17"/>
          <w:szCs w:val="17"/>
          <w:color w:val="auto"/>
        </w:rPr>
        <w:t xml:space="preserve"> Our goal is to support the safety, security, and reliability of our connected medical devices while adapting to evolving threats and regulatory expectations.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Human cells, tissues, and cellular and tissue-based products</w:t>
      </w:r>
    </w:p>
    <w:p>
      <w:pPr>
        <w:spacing w:after="0" w:line="24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We currently operate as a provider of donated reproductive tissue (eggs and sperm) for fertility treatments, fertility cryopreservation services and newborn stem cell storage. Eggs and sperm are regulated by the FDA as human cells, tissues, and cellular and tissue-based products (HCT/Ps). In addition, Section 361 of the Public Health Service Act (PHSA) authorizes the FDA to issue regulations with respect to HCT/Ps. To be regulated as a "361 HCT/P", the product must, among other things, be minimally manipulated and intended only for homologous uses. HCT/Ps regulated as 361 HCT/Ps are subject to requirements relating to registering facilities and listing products with the FDA, and stringent requirements for processing, storing, labeling and distributing HCT/Ps, including required labeling information, screening and testing for tissue donor eligibility, record keeping and adverse event reporting, among other applicable requirements and laws. 361 HCT/Ps do not require 510(k) clearance, PMA approval, submission of a Biologics License Application, or other premarket authorization from the FDA before marketing. We believe our HCT/Ps are regulated as 361 HCT/Ps.</w:t>
      </w:r>
    </w:p>
    <w:p>
      <w:pPr>
        <w:spacing w:after="0" w:line="2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In addition to federal directives, there is a complex and evolving patchwork of state laws and regulations governing the use, storage, and disposition of human reproductive materials, including embryos, gametes, and other human tissue. States vary widely in their approaches to assisted reproductive technologies, including IVF, embryo cryopreservation, and gamete donation. As state legislatures continue to respond to evolving ethical, legal, and technological considerations, ongoing monitoring and adaptation are essential to maintaining compliance and continuity of care.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Pharmaceutical Products</w:t>
      </w:r>
    </w:p>
    <w:p>
      <w:pPr>
        <w:spacing w:after="0" w:line="254"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7"/>
          <w:szCs w:val="17"/>
          <w:color w:val="auto"/>
        </w:rPr>
        <w:t>In the United States, the FDA regulates pharmaceutical products under the FDCA and its implementing drug regulations. Although Paragard is a drug-device combination product, the FDA has determined that the primary mode of action for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7"/>
          <w:szCs w:val="17"/>
          <w:color w:val="auto"/>
        </w:rPr>
        <w:t>Paragard is the drug component and the product is therefore regulated by the FDA’s Center for Drug Evaluation and Research under applicable drug regulations. The process required by the FDA before a drug may be marketed in the United States generally involves numerous and time-consuming steps, including preclinical laboratory tests, human clinical trials, FDA reviews, and facility inspections.</w:t>
      </w:r>
    </w:p>
    <w:p>
      <w:pPr>
        <w:spacing w:after="0" w:line="21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Any drug products manufactured or distributed by us pursuant to New Drug Application (NDA) approvals are subject to continuing regulation by the FDA as the FDA may withdraw the approval if compliance with regulatory requirements and standards is not maintained or if problems occur after the product reaches the market. After approval of an NDA, most changes to the approved product, such as adding new indications, manufacturing changes or other labeling claims, are subject to further testing requirements and prior FDA review and approval. Drug manufacturers and their subcontractors are also required to maintain compliance with current good manufacturing practices (cGMPs) and other requirements, including requirements relating to recordkeeping, periodic reporting, product sampling and distribution, advertising and promotion and reporting of adverse experiences with the product. Accordingly, manufacturers must continue to expend time, money and effort in the area of production and quality control to maintain ongoing compliance. In addition, the FDA closely regulates the marketing, promotion and distribution of pharmaceutical products. The FDA and other agencies actively enforce the laws and regulations prohibiting the promotion of off-label uses, and a company that is found to have improperly promoted off-label uses may be subject to significant liability.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Regulation</w:t>
      </w:r>
    </w:p>
    <w:p>
      <w:pPr>
        <w:spacing w:after="0" w:line="24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Health authorities in foreign countries regulate Cooper's clinical studies and medical device sales. Even if the FDA has cleared or approved a product in the United States, the regulatory agencies or notified bodies in other countries must approve or certify new products and product modifications before they may be marketed in those countries. The regulations vary widely from country to country, although there is a trend towards harmonization of quality system standards among the European Union (EU), United States, Canada and various other industrialized countries. Medical devices marketed or sold in the EU must meet the CE mark requirements and maintain certain certifications. CooperVision maintains ISO 13485 certification and CE marks for its products and CooperSurgical maintains ISO 13485 certification and CE marks for medical devices and ISO 15189 certification for the genomics laboratories. The ISO 13485 Quality Management System certification is now also required for registration of products in Asia Pacific and Latin American countries, among many other requirements for registration in these countries. In order to maintain these quality benchmarks, the Company is subjected to rigorous biannual reassessment audits of its quality systems and procedures.</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The EU rules below are generally applicable in the European Economic Area (EEA) which consists of the 27 EU member states plus Norway, Liechtenstein and Iceland, while the majority of the United Kingdom now operates under a separate regulatory regime following the United Kingdom's withdrawal from the EU on January 31, 2020.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 and In Vitro Diagnostic Medical Device Regulation in the EU</w:t>
      </w:r>
    </w:p>
    <w:p>
      <w:pPr>
        <w:spacing w:after="0" w:line="24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Until May 25, 2021, medical devices sold in the EU were regulated by the Medical Device Directive (the EU MDD), which has been repealed and replaced by the EU MDR. Similarly, the EU has adopted the IVDR, which repealed and replaced the In Vitro Diagnostic Medical Device Directive (the EU IVDD) and became applicable on May 26, 2022. The majority of our current certificates have been granted under the EU MDD and the EU IVDD. Due to the unattainable nature of the deadlines for recertification of medical devices under the EU MDR and the EU IVDR, EU institutions have extended the transition periods for devices certified in accordance with the previous Directives, including the EU MDD and the EU IVDD, through legislative amendments of the transitional provisions of the EU MDR and EU IVDR. Therefore, devices lawfully placed on the market pursuant to the EU MDD and EU IVDD may generally continue to be made available on the market or put into service provided that the requirements of transitional provisions are fulfilled. Pursuing marketing of medical devices (including IVDs) in the EU will require that our devices be certified under the new regimes set forth in the EU MDR and the EU IVDR.</w:t>
      </w:r>
    </w:p>
    <w:p>
      <w:pPr>
        <w:spacing w:after="0" w:line="21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In the EU, the safety and performance of medical devices (including IVDs) are evaluated by the designated notified bodies via the submission of technical dossiers, depending on the product classifications. A declaration of conformity to the EU MDD or EU MDR is drawn out as a basis for European conformity marking (CE Mark). All medical devices placed on the EU market must meet general safety and performance requirements,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Compliance with the general safety and performance requirements is also a prerequisite for CE mark, without which medical devices cannot be marketed or sold in the EU. To demonstrate compliance with the general safety and</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performance requirements, medical device manufacturers must undergo a conformity assessment procedure, which varies according to the type of medical device and its risk classification. With certain exceptions, a conformity assessment procedure requires the intervention of notified bodies, which are independent organizations designated by EU member states to assess the conformity of devices before being placed on the market. Typically, satisfactory completion of an audit and examinations of a product’s technical dossiers and the manufacturer’s quality system is required before the issuance of a certificate by the notified body. This certificate, along with the Declaration of Conformity, are then used by the manufacturer as basis for CE mark.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Throughout the term of the certificate, the manufacturer will be subject to periodic surveillance audits to verify continued compliance with the applicable requirements.</w:t>
      </w:r>
    </w:p>
    <w:p>
      <w:pPr>
        <w:spacing w:after="0" w:line="249"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In addition, all manufacturers placing medical devices on the market in the EU are subject to various other regulations, including compliance with the EU medical device vigilance system, directives and requirements regarding the advertisement and promotion of medical devices and inspections rights of regulatory authorities.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Laboratory Developed Test Regulation in the EU</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In the EU, LDTs were exempt from the regulations that govern medical devices and IVDs under certain conditions. In order to fall within this exemption under the EU IVDD, medical devices, including LDTs, had to be designed and used within such health institutions (which may include hospitals, laboratories and public health institutions that support the healthcare system and/or address patient needs but do not treat or care for patients directly) on a non-industrial scale, without being released into the market. While the legal framework for applying the exemption under the EU IVDD to LDTs was not entirely clear, the EU IVDR may provide greater clarity on the regulation of LDTs.</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Our current and future tests will need to be assessed against the EU IVDR requirements. We will be required to comply with various certification and documentation criteria, and we will be subject to conformity assessments and audits by EU notified body and inspections by regulatory authorities.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Devices and In Vitro Diagnostic Medical Devices Regulations in the United Kingdom</w:t>
      </w:r>
    </w:p>
    <w:p>
      <w:pPr>
        <w:spacing w:after="0" w:line="24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Following the United Kingdom’s withdrawal from the EU, commonly referred to as Brexit, EU laws no longer apply directly in Great Britain (England, Wales and Scotland). Under the terms of the Ireland/Northern Ireland Protocol agreed between the EU and United Kingdom, many EU laws, including those relating to medical devices and IVDs do still apply in Northern Ireland.</w:t>
      </w:r>
    </w:p>
    <w:p>
      <w:pPr>
        <w:spacing w:after="0" w:line="19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color w:val="auto"/>
        </w:rPr>
        <w:t>Following Brexit, the UK Medicines and Healthcare products Regulatory Agency (MHRA) published the MHRA Medical Devices Regulatory Reform: Roadmap to Implementation which describes phased updates to the UK medical device and IVD regulatory framework. These updates include new pre-market regulatory requirements and enhanced postmarket surveillance processes. On June 16, 2025, strengthened postmarket surveillance requirements came into force for medical devices. In 2025, the MHRA also held a consultation considering proposals to update the premarket requirements for medical devices and IVDs covering four topics, namely: (1) a new international reliance scheme to enable swifter market access for certain devices that have already been approved in a comparable regulator country;</w:t>
      </w:r>
    </w:p>
    <w:p>
      <w:pPr>
        <w:spacing w:after="0" w:line="3" w:lineRule="exact"/>
        <w:rPr>
          <w:sz w:val="20"/>
          <w:szCs w:val="20"/>
          <w:color w:val="auto"/>
        </w:rPr>
      </w:pPr>
    </w:p>
    <w:p>
      <w:pPr>
        <w:ind w:right="60" w:firstLine="5"/>
        <w:spacing w:after="0" w:line="242" w:lineRule="auto"/>
        <w:tabs>
          <w:tab w:leader="none" w:pos="2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UK Conformity Assessed (UKCA) mark and, in particular, proposals to remove the requirement to place UKCA marking on devices; (3) conformity assessment procedures for in vitro diagnostic devices; and (4) maintaining in UK law certain pieces of “assimilated” EU law which are due to sunset in 2025. In July 2025, the MHRA published a response to the consultation confirming that it will incorporate the results of this consultation into new UK legislation for medical devices and IVDs. Notable implications of this include:</w:t>
      </w:r>
    </w:p>
    <w:p>
      <w:pPr>
        <w:spacing w:after="0" w:line="21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devices in compliance with the EU MDD can continue to be placed on the UK market until the sooner of CE certificate expiration or June 30, 2028;</w:t>
      </w:r>
    </w:p>
    <w:p>
      <w:pPr>
        <w:spacing w:after="0" w:line="130"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devices in compliance with the EU MDR can continue to be placed on the market until the sooner of CE certificate expiration or June 30, 2030;</w:t>
      </w:r>
    </w:p>
    <w:p>
      <w:pPr>
        <w:spacing w:after="0" w:line="106" w:lineRule="exact"/>
        <w:rPr>
          <w:rFonts w:ascii="Times New Roman" w:cs="Times New Roman" w:eastAsia="Times New Roman" w:hAnsi="Times New Roman"/>
          <w:sz w:val="17"/>
          <w:szCs w:val="17"/>
          <w:color w:val="auto"/>
        </w:rPr>
      </w:pPr>
    </w:p>
    <w:p>
      <w:pPr>
        <w:ind w:left="640" w:right="480" w:hanging="320"/>
        <w:spacing w:after="0" w:line="266" w:lineRule="auto"/>
        <w:tabs>
          <w:tab w:leader="none" w:pos="632"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IVDs in compliance with the EU IVDD or the EU IVDR can continue to be placed on the Great Britain market until the sooner of CE certificate expiration or June 30, 2030; and</w:t>
      </w:r>
    </w:p>
    <w:p>
      <w:pPr>
        <w:spacing w:after="0" w:line="64" w:lineRule="exact"/>
        <w:rPr>
          <w:rFonts w:ascii="Times New Roman" w:cs="Times New Roman" w:eastAsia="Times New Roman" w:hAnsi="Times New Roman"/>
          <w:sz w:val="17"/>
          <w:szCs w:val="17"/>
          <w:color w:val="auto"/>
        </w:rPr>
      </w:pPr>
    </w:p>
    <w:p>
      <w:pPr>
        <w:ind w:left="640" w:right="420" w:hanging="320"/>
        <w:spacing w:after="0" w:line="266" w:lineRule="auto"/>
        <w:tabs>
          <w:tab w:leader="none" w:pos="632"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allocation, registration and labeling of Unique Device Identifiers (UDIs) may replace the requirement to physically affix the UKCA mark to medical devices and IVDs.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Device and In Vitro Diagnostic Medical Device Regulation in Asia Pacific</w:t>
      </w:r>
    </w:p>
    <w:p>
      <w:pPr>
        <w:spacing w:after="0" w:line="2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As in other regions, securing regulatory approvals in Asia Pacific is a critical aspect of commercializing our products. While medical device regulations in the Asia Pacific are based on similar regulatory fundamentals (such as risk-based classification of devices) as other regions, navigating the regulatory landscape in Asia Pacific is extremely complex. Medical device regulation in Asia Pacific differs significantly country by country, requiring specific regulatory affairs expertise in each country, as well as country-based regulatory strategies. The regulatory framework maturity in Asia Pacific is widely varied ranging from well-established to emerging, approval timelines can be lengthy and unpredictable and there is less access to and engagement with regulators compared to other markets. Several key Asia Pacific markets require regulatory approval in other countries prior to registration, increasing the time from completion of product development to product launch. For example, in China, manufacturers must provide proof of home country approval (such as the United States or EU) as part of the regulatory registration/approval process.</w:t>
      </w:r>
    </w:p>
    <w:p>
      <w:pPr>
        <w:spacing w:after="0" w:line="21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6"/>
          <w:szCs w:val="16"/>
          <w:color w:val="auto"/>
        </w:rPr>
        <w:t>The NMPA regulates medical devices in China. Medical devices in China are classified by risk into Class I (lowest risk), Class II or Class III (highest risk). China requires physical testing (known as ‘type testing’) of medical device samples by in-country testing centers to confirm compliance with specifications and standards, both pre- and post-market. Additionally, NMPA generally requires in-country clinical trials to support new product registrations, rather than relying on foreign clinical data.</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 Japan, the primary regulation governing medical devices is the Pharmaceutical and Medical Device Act (PMD Act). The Ministry of Health, Labor and Welfare (MHLW) and the Pharmaceutical and Medical Device Agency (PMDA) regulate medical devices. The PMDA evaluates the safety and effectiveness of medical devices prior to granting marketing authorization or approval, and monitors post-market safety of approved devices. The PMDA is also the Quality Management System (QMS) Inspection Authority. Medical devices are placed into one of four risk classes based on potential risk, with Class I being the lowest potential risk and Class IV being the highest. Contact lenses, for example, are regulated as Class III devices and require premarket approval (registration), an expensive and lengthy process depending on the application category. A novel or new medical device application will generally require local clinical trial data, extending the time to approval. The registration process in Japan requires a QMS application and inspection. Additionally, separate from the registration process, a Foreign Manufacturer Registration is required before a company can import medical devices manufactured outside Japan.</w:t>
      </w:r>
    </w:p>
    <w:p>
      <w:pPr>
        <w:spacing w:after="0" w:line="2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Japan and Australia participate in the Medical Device Single Audit Program, which allows for the acceptance of QMS audit reports from other participating Regulatory Authorities, including the FDA.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Health Care Regulation</w:t>
      </w:r>
    </w:p>
    <w:p>
      <w:pPr>
        <w:spacing w:after="0" w:line="24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We are subject to various federal, state and foreign laws to prevent fraud and abuse in the healthcare industry and protect personal health-related information, including the following:</w:t>
      </w:r>
    </w:p>
    <w:p>
      <w:pPr>
        <w:spacing w:after="0" w:line="209" w:lineRule="exact"/>
        <w:rPr>
          <w:sz w:val="20"/>
          <w:szCs w:val="20"/>
          <w:color w:val="auto"/>
        </w:rPr>
      </w:pPr>
    </w:p>
    <w:p>
      <w:pPr>
        <w:ind w:left="640" w:right="660" w:hanging="320"/>
        <w:spacing w:after="0" w:line="266" w:lineRule="auto"/>
        <w:tabs>
          <w:tab w:leader="none" w:pos="6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federal and similar foreign anti-kickback laws, which generally prohibit payments and other forms of remuneration to induce or in return for the purchase, lease, order or arranging for the purchase, lease or order of a product or service;</w:t>
      </w:r>
    </w:p>
    <w:p>
      <w:pPr>
        <w:spacing w:after="0" w:line="64" w:lineRule="exact"/>
        <w:rPr>
          <w:rFonts w:ascii="Times New Roman" w:cs="Times New Roman" w:eastAsia="Times New Roman" w:hAnsi="Times New Roman"/>
          <w:sz w:val="17"/>
          <w:szCs w:val="17"/>
          <w:color w:val="auto"/>
        </w:rPr>
      </w:pPr>
    </w:p>
    <w:p>
      <w:pPr>
        <w:ind w:left="640" w:right="180" w:hanging="320"/>
        <w:spacing w:after="0" w:line="266" w:lineRule="auto"/>
        <w:tabs>
          <w:tab w:leader="none" w:pos="6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law, known as the Stark Law, which generally prohibits physicians from referring Medicare or Medicaid patients to receive designated health services from an entity which the physician, or a member of the physician's immediate family, has a financial interest in;</w:t>
      </w:r>
    </w:p>
    <w:p>
      <w:pPr>
        <w:spacing w:after="0" w:line="64" w:lineRule="exact"/>
        <w:rPr>
          <w:rFonts w:ascii="Times New Roman" w:cs="Times New Roman" w:eastAsia="Times New Roman" w:hAnsi="Times New Roman"/>
          <w:sz w:val="17"/>
          <w:szCs w:val="17"/>
          <w:color w:val="auto"/>
        </w:rPr>
      </w:pPr>
    </w:p>
    <w:p>
      <w:pPr>
        <w:ind w:left="640" w:right="540" w:hanging="320"/>
        <w:spacing w:after="0" w:line="266" w:lineRule="auto"/>
        <w:tabs>
          <w:tab w:leader="none" w:pos="6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prohibits any individual or entity from presenting or causing to be presented false claims for payment to the federal government;</w:t>
      </w:r>
    </w:p>
    <w:p>
      <w:pPr>
        <w:spacing w:after="0" w:line="78"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and state laws that prohibit executing, or attempting to execute, a scheme to obtain money from any healthcare benefit program under false pretenses;</w:t>
      </w:r>
    </w:p>
    <w:p>
      <w:pPr>
        <w:spacing w:after="0" w:line="117" w:lineRule="exact"/>
        <w:rPr>
          <w:rFonts w:ascii="Times New Roman" w:cs="Times New Roman" w:eastAsia="Times New Roman" w:hAnsi="Times New Roman"/>
          <w:sz w:val="16"/>
          <w:szCs w:val="16"/>
          <w:color w:val="auto"/>
        </w:rPr>
      </w:pPr>
    </w:p>
    <w:p>
      <w:pPr>
        <w:ind w:left="640" w:right="280" w:hanging="320"/>
        <w:spacing w:after="0" w:line="266" w:lineRule="auto"/>
        <w:tabs>
          <w:tab w:leader="none" w:pos="6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and similar state and foreign laws that require medical device and pharmaceutical manufacturers to disclose financial relationships with health care professionals and teaching hospitals; and</w:t>
      </w:r>
    </w:p>
    <w:p>
      <w:pPr>
        <w:spacing w:after="0" w:line="64" w:lineRule="exact"/>
        <w:rPr>
          <w:rFonts w:ascii="Times New Roman" w:cs="Times New Roman" w:eastAsia="Times New Roman" w:hAnsi="Times New Roman"/>
          <w:sz w:val="17"/>
          <w:szCs w:val="17"/>
          <w:color w:val="auto"/>
        </w:rPr>
      </w:pPr>
    </w:p>
    <w:p>
      <w:pPr>
        <w:ind w:left="640" w:right="940" w:hanging="320"/>
        <w:spacing w:after="0" w:line="266" w:lineRule="auto"/>
        <w:tabs>
          <w:tab w:leader="none" w:pos="6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privacy and security laws and regulations, such as the HIPAA and the EU GDPR, which are intended to protect the collection, use, access to, confidentiality and security of health-related and other personal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Coverage and Reimbursement</w:t>
      </w:r>
    </w:p>
    <w:p>
      <w:pPr>
        <w:spacing w:after="0" w:line="24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7"/>
          <w:szCs w:val="17"/>
          <w:color w:val="auto"/>
        </w:rPr>
        <w:t>Market acceptance and sales of our CooperSurgical products to our customers, who primarily consist of hospitals and surgery centers, OB/GYN medical offices and fertility clinics, will depend on the availability of payor coverage and the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adequacy of reimbursement, for the procedures using our products, by government insurance programs and other third-party payors. Payor coverage and reimbursement for procedures using medical devices in the United States and international markets vary significantly by country. With respect to drug coverage and reimbursement, third-party payors are increasingly challenging the price and examining the medical necessity and cost-effectiveness of drugs, in addition to their safety and efficacy. 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Likewise, coverage decisions can vary widely by payor and may be subject to frequent updates. Reimbursement levels may be reduced or eliminated altogether, and coverage may be denied or restricted based on clinical guidelines, cost-effectiveness assessments, or changes in regulatory classification. Even the perception of potential changes in coverage—such as proposed rulemaking, draft guidance, or litigation affecting reimbursement frameworks—can lead to volatility in demand, as providers and patients may delay or avoid use of our products pending greater clarity.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Healthcare Reform</w:t>
      </w:r>
    </w:p>
    <w:p>
      <w:pPr>
        <w:spacing w:after="0" w:line="24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In the United States and foreign countries,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 We expect that additional state, federal and foreign healthcare reform measures will be adopted in the future, any of which could limit the amounts that state, federal and foreign governments will pay for healthcare products and services, which could result in reduced demand for our products or additional pricing pressures.</w:t>
      </w:r>
    </w:p>
    <w:p>
      <w:pPr>
        <w:spacing w:after="0" w:line="20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Among policy makers and payors in the United States, there is significant interest in promoting changes in healthcare systems with the stated goals of containing healthcare costs, improving quality and/or expanding access. Passed in March 2010, the Patient Protection and Affordable Care Act (the ACA) substantially changed the way healthcare is financed by both governmental and private insurers, and significantly affected the pharmaceutical, medical device and clinical laboratory industries. Additionally, there has recently been heightened scrutiny by governmental authorities, individual hospitals, and third-party payors over product prices, which has resulted in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Inflation Reduction Act of 2022 (IRA) continues to be implemented, with Medicare drug price negotiations expanding in scope. Beginning in 2026, negotiated prices for selected high-cost drugs will take effect, and the out-of-pocket cap for Medicare Part D enrollees will rise to $2,100. Additionally, manufacturers are subject to inflation-based rebates for price increases that exceed inflation benchmarks. These provisions are expected to exert downward pressure on drug pricing and may influence commercial strategies for affected products.</w:t>
      </w:r>
    </w:p>
    <w:p>
      <w:pPr>
        <w:spacing w:after="0" w:line="226"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7"/>
          <w:szCs w:val="17"/>
          <w:color w:val="auto"/>
        </w:rPr>
        <w:t>Further, the One Big Beautiful Bill Act of 2025 (OBBBA) introduced significant changes to Medicaid and ACA marketplace eligibility, including new verification and work requirements, and reductions in federal support for medical education and physician reimbursement. These changes may affect patient access to care and alter the reimbursement environment for providers and manufacturers.</w:t>
      </w:r>
    </w:p>
    <w:p>
      <w:pPr>
        <w:spacing w:after="0" w:line="2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In the EU, regulations have been adopted which are intended to boost cooperation among EU member states in assessing health technologies, including certain high-risk medical devices, and providing the basis for cooperation at the EU level for joint clinical assessments in these areas.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Laws and Regulations</w:t>
      </w:r>
    </w:p>
    <w:p>
      <w:pPr>
        <w:spacing w:after="0" w:line="25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We are subject to numerous federal, state, local and foreign environmental laws, including provisions that regulate the discharge of materials into the environment, laws applicable to our facilities, products or manufacturing processes, including evolving regulations regarding the use of hazardous substances or chemicals in our products, and laws related to the protection of the environment, environmental health and safety regulations, Restriction of Hazardous Substances (RoHS) in electrical and electronic equipment in the EU, and Registration, Evaluation, Authorization and Restriction of Chemical substances (REACH).</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We are subject to various other federal, state and foreign laws related to the manufacturing and distribution of our products and to our international operations, including export control and trade compliance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RAW MATERIALS</w:t>
      </w:r>
    </w:p>
    <w:p>
      <w:pPr>
        <w:spacing w:after="0" w:line="24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AND DISTRIBUTION</w:t>
      </w:r>
    </w:p>
    <w:p>
      <w:pPr>
        <w:spacing w:after="0" w:line="2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CooperVision markets our products through our own field sales representatives, distributors and eye care practitioners, including optometrists, ophthalmologists, opticians and optical chains.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 journal advertisements. In certain smaller countries, CooperVision often uses distributors and leverages our distributors' sales and marketing resources to attract major customers to CooperVision. With the addition of MiSight, CooperVision has expanded the breadth and depth of its sales capabilities by adding myopia management specialists while expanding awareness campaigns to include direct-to-consumer elements including print, internet/social media, radio and television.</w:t>
      </w:r>
    </w:p>
    <w:p>
      <w:pPr>
        <w:spacing w:after="0" w:line="21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CooperSurgical's products are marketed by a network of dedicated field sales representatives, inside sales and distributors. CooperSurgical augments its sales and marketing activities by participating in national and regional industry trade shows, professional educational programs and internet promotions including e-commerce, search and social media and collaborative efforts with professional organizations, telemarketing, direct mail and advertising in professional journals. Since the addition of donor gametes, Paragard and cord blood and cord tissue storage services, CooperSurgical has also expanded its awareness campaigns to include direct-to-consumer elements including print, internet/social media and radio.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7"/>
          <w:szCs w:val="17"/>
          <w:color w:val="auto"/>
        </w:rPr>
        <w:t>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w:t>
      </w:r>
    </w:p>
    <w:p>
      <w:pPr>
        <w:spacing w:after="0" w:line="21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DEPENDENCE ON CUSTOMERS</w:t>
      </w:r>
    </w:p>
    <w:p>
      <w:pPr>
        <w:spacing w:after="0" w:line="24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7"/>
          <w:szCs w:val="17"/>
          <w:color w:val="auto"/>
        </w:rPr>
        <w:t>No customer accounted for 10% or more of our consolidated net revenue in fiscal 2025 and 2024. See Note 12. Business Segment Information of the Consolidated Financial Statements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CooperVision and CooperSurgical net sales in the fiscal first quarter, which runs from November 1 through January 31, are typically lower than subsequent quarters, as patient traffic to practitioners' offices, fertility clinics, and hospitals/surgery centers for surgical procedures is less during the holiday season.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4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As of October 31, 2025, we had a workforce of more than 15,000. Our employees are located around the world, with 52% in Americas, 42% in EMEA and 6% in Asia Pacific. Human capital management areas of focus include a people-focused culture; embedding connection and belonging; fostering an environment of health, safety, and well-being; investing in and developing our employees through training and engagement. Our employees are a key differentiator in our overall strategy. We believe we have good relations with our workforce, and we invest in our workforce to meet current and future business objectives, always driving towards our goal of being a global employer of choice.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chart below shows percentage of employees located in Americas, EMEA and Asia Pacific as of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14605</wp:posOffset>
            </wp:positionV>
            <wp:extent cx="2081530" cy="2081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81530"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Connection and Belonging</w:t>
      </w:r>
    </w:p>
    <w:p>
      <w:pPr>
        <w:spacing w:after="0" w:line="24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We believe that an inclusive work environment that truly appreciates the diversity of employees’ talents, experiences, and ideas leads to more innovation and progress. Through our Connection &amp; Belonging (C&amp;B) strategy, we drive a culture where individual qualities and backgrounds are highly valued and respected, and our employees feel a sense of belonging. Our C&amp;B strategy includes initiatives to promote C&amp;B conversations and training to inform and educate our workforce, forming communities of advocates and allies to help advance our culture, and completion of various reviews of our programs to minimize the impact of unconscious bias on our reward decisions. Our commitment to C&amp;B starts with our executives and is further executed through local initiatives in order to create sustainable change.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 Safety and Well-being</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Our culture of health, safety, and well-being helps our people and businesses thrive. We comply with applicable health and safety laws and regulations and help protect our employees through continuous improvement, education, engagement, and risk management. Our Environmental, Health, and Safety (EHS) Global Policies formalize our commitment to high standards of EHS performance for employees, consultants, contract workers, and temporary staff worldwide. Our employee handbooks specify health and safety expectations, working condition policies, and other relevant topics. We encourage an open reporting culture and require any unsafe conditions or potential hazards be reported immediately. Wellness is an important part of our culture. Our global Mind &amp; Body Well-being Employee Resource Group focuses on enhancing physical wellness and raising the importance of mental health through virtual and in-person events. We offer on- and off-site fitness and wellness facilities and programs, an assortment of team-building activities, and have a robust offering of physical, social, nutritional and mental health resources.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Training, Development and Engagement</w:t>
      </w:r>
    </w:p>
    <w:p>
      <w:pPr>
        <w:spacing w:after="0" w:line="254"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We empower employees to succeed and grow, reward great thinking, results and hard work, and engage our employees. Across our businesses, we offer job-specific training, certifications, mentoring, developmental assignments, and other opportunities to help our employees develop the skills needed to achieve long-term success.</w:t>
      </w:r>
    </w:p>
    <w:p>
      <w:pPr>
        <w:spacing w:after="0" w:line="173" w:lineRule="exact"/>
        <w:rPr>
          <w:sz w:val="20"/>
          <w:szCs w:val="20"/>
          <w:color w:val="auto"/>
        </w:rPr>
      </w:pPr>
    </w:p>
    <w:p>
      <w:pPr>
        <w:jc w:val="both"/>
        <w:ind w:right="3380"/>
        <w:spacing w:after="0" w:line="254" w:lineRule="auto"/>
        <w:rPr>
          <w:sz w:val="20"/>
          <w:szCs w:val="20"/>
          <w:color w:val="auto"/>
        </w:rPr>
      </w:pPr>
      <w:r>
        <w:rPr>
          <w:rFonts w:ascii="Times New Roman" w:cs="Times New Roman" w:eastAsia="Times New Roman" w:hAnsi="Times New Roman"/>
          <w:sz w:val="17"/>
          <w:szCs w:val="17"/>
          <w:color w:val="auto"/>
        </w:rPr>
        <w:t>We conduct regular formal and informal surveys to proactively seek out employee feedback, ideas, and collect data on the employee experience. We encourage candid participation, and these insights help us develop targeted strategies to enhance our workplace and culture.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and Benefits</w:t>
      </w:r>
    </w:p>
    <w:p>
      <w:pPr>
        <w:spacing w:after="0" w:line="241"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7"/>
          <w:szCs w:val="17"/>
          <w:color w:val="auto"/>
        </w:rPr>
        <w:t>We provide competitive compensation and benefits in order to attract and retain talent. We regularly review our pay practices to confirm there are no significant pay disparities across gender or race, and we conduct an annual market assessment to provide consistency in rewards we offer. We have implemented robust processes for setting personal goals, individual development actions and review employees’ performance and pay on an annual basis. We also offer comprehensive and continually evolving benefits to help employees balance their work lives and personal lives.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The Cooper Companies, Inc. Internet address is https://www.coopercos.com. The information on the Company's website is not part of this or any other report we file with, or furnish to, the Securities and Exchange Commission (SEC). Our annual reports on Form 10-K, quarterly reports on Form 10-Q and current reports on Form 8-K, along with all other reports and amendments filed with or furnished to the SEC, are publicly available free of charge on our website as soon as reasonably practicable. The SEC maintains a website that contains such reports, proxy and information statements and other information whose Internet address is https://www.sec.gov. The Company's Corporate Governance Principles, Code of Conduct and charters of each standing committee of the Board of Directors are also posted on the Company's website.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3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conditions and recessionary pressures in one or more of our markets could impact our ability to grow our business.</w:t>
      </w: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Over the last few years in the United States and globally, market and economic conditions have been challenging. The United States and foreign countries have experienced recessionary pressures and face continued concerns about the systemic impacts of adverse economic conditions and geopolitical issues. Any negative impact on economic conditions and international markets, continued volatility or deterioration in the debt and equity capital markets, inflation, deflation or other adverse economic conditions may adversely affect our liquidity and financial condition. It may limit our ability to replace maturing liabilities and to access the capital markets to meet liquidity needs, which could have a material adverse effect on our business.</w:t>
      </w:r>
    </w:p>
    <w:p>
      <w:pPr>
        <w:spacing w:after="0" w:line="21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Ongoing uncertain economic and financial market conditions may also adversely affect the financial condition of our customers, suppliers and other business partners. When our customers’ financial conditions are adversely affected, customers may reduce their purchases of our products or we may not be able to collect accounts receivable, each of which could have a material adverse impact on our business. Our global business has been negatively affected by local economic conditions, including inflation, increasing labor costs, recession, and currency exchange rate fluctuations, which has adversely affected our cost to manufacture and provide our products and services and revenues generated through sales of such products and services. We cannot guarantee that we will be able to fully absorb any such additional costs or revenue declines in the prices for our products and services.</w:t>
      </w:r>
    </w:p>
    <w:p>
      <w:pPr>
        <w:spacing w:after="0" w:line="21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could materially adversely affect our business.</w:t>
      </w:r>
    </w:p>
    <w:p>
      <w:pPr>
        <w:spacing w:after="0" w:line="24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Our operating results could be materially impacted by changes in the overall macroeconomic environment and other economic factors that impact our cost structure and revenue. Changes in economic conditions, supply chain constraints, logistics challenges, labor shortages, international conflicts, and steps taken by governments and central banks,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rate of inflation.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substantial and expanding international operations are subject to uncertainties which could affect our business.</w:t>
      </w:r>
    </w:p>
    <w:p>
      <w:pPr>
        <w:spacing w:after="0" w:line="24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Approximately half of our net sales for the fiscal years ended October 31, 2025, and 2024,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 the following:</w:t>
      </w:r>
    </w:p>
    <w:p>
      <w:pPr>
        <w:spacing w:after="0" w:line="210" w:lineRule="exact"/>
        <w:rPr>
          <w:sz w:val="20"/>
          <w:szCs w:val="20"/>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managing a large organization spread throughout various countries;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adversely affecting our results;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enforcing intellectual property rights in some foreign countries;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gaining market share in countries such as China because of regulatory restrictions and customer preferences;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right="500" w:hanging="320"/>
        <w:spacing w:after="0" w:line="298" w:lineRule="auto"/>
        <w:tabs>
          <w:tab w:leader="none" w:pos="6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growing our sales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41" w:lineRule="exact"/>
        <w:rPr>
          <w:rFonts w:ascii="Times New Roman" w:cs="Times New Roman" w:eastAsia="Times New Roman" w:hAnsi="Times New Roman"/>
          <w:sz w:val="16"/>
          <w:szCs w:val="16"/>
          <w:color w:val="auto"/>
        </w:rPr>
      </w:pPr>
    </w:p>
    <w:p>
      <w:pPr>
        <w:ind w:left="640" w:right="120" w:hanging="320"/>
        <w:spacing w:after="0" w:line="282"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earnings being subject to withholding requirements or the imposition of tariffs, exchange controls or other restrictions, including the tariffs enacted by the Chinese government on certain U.S. goods, the scope and duration of which remain uncertain;</w:t>
      </w:r>
    </w:p>
    <w:p>
      <w:pPr>
        <w:spacing w:after="0" w:line="52" w:lineRule="exact"/>
        <w:rPr>
          <w:rFonts w:ascii="Times New Roman" w:cs="Times New Roman" w:eastAsia="Times New Roman" w:hAnsi="Times New Roman"/>
          <w:sz w:val="17"/>
          <w:szCs w:val="17"/>
          <w:color w:val="auto"/>
        </w:rPr>
      </w:pPr>
    </w:p>
    <w:p>
      <w:pPr>
        <w:ind w:left="640" w:right="300" w:hanging="320"/>
        <w:spacing w:after="0" w:line="249"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complying with a variety of international legal, compliance and regulatory requirements such as the Foreign Corrupt Practices Act, the Dodd-Frank Wall Street Reform and Consumer Protection Act, the UK Bribery Act, international data security and privacy laws, EU MDR and EU IVDR and environmental laws and requirements applicable to our facilities, products or manufacturing processes, including evolving regulations regarding the use of hazardous substances or chemicals in our products;</w:t>
      </w:r>
    </w:p>
    <w:p>
      <w:pPr>
        <w:spacing w:after="0" w:line="9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engage third-party agents or intermediaries to act on our behalf in certain countries, including in those countries with a high risk of corruption;</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customers creating longer payment cycles than customers in the United States;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U.S. Department of Commerce and other nations' import-export controls may result in fines and/or penalties;</w:t>
      </w:r>
    </w:p>
    <w:p>
      <w:pPr>
        <w:spacing w:after="0" w:line="106" w:lineRule="exact"/>
        <w:rPr>
          <w:rFonts w:ascii="Times New Roman" w:cs="Times New Roman" w:eastAsia="Times New Roman" w:hAnsi="Times New Roman"/>
          <w:sz w:val="17"/>
          <w:szCs w:val="17"/>
          <w:color w:val="auto"/>
        </w:rPr>
      </w:pPr>
    </w:p>
    <w:p>
      <w:pPr>
        <w:ind w:left="640" w:right="60" w:hanging="320"/>
        <w:spacing w:after="0" w:line="266"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in the countries where we operate having an adverse effect on our operations in those countries or being unfavorable to our growth strategy;</w:t>
      </w:r>
    </w:p>
    <w:p>
      <w:pPr>
        <w:spacing w:after="0" w:line="64" w:lineRule="exact"/>
        <w:rPr>
          <w:rFonts w:ascii="Times New Roman" w:cs="Times New Roman" w:eastAsia="Times New Roman" w:hAnsi="Times New Roman"/>
          <w:sz w:val="17"/>
          <w:szCs w:val="17"/>
          <w:color w:val="auto"/>
        </w:rPr>
      </w:pPr>
    </w:p>
    <w:p>
      <w:pPr>
        <w:ind w:left="640" w:right="200" w:hanging="320"/>
        <w:spacing w:after="0" w:line="315" w:lineRule="auto"/>
        <w:tabs>
          <w:tab w:leader="none" w:pos="6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conflicts, acts or threats of war or terrorism may lead to significant market and other disruptions, supply chain interruptions, political and social instability, trade disputes or trade barriers, embargoes, changes in consumer or purchase preferences, as well as an increase in cyberattacks and espionage;</w:t>
      </w:r>
    </w:p>
    <w:p>
      <w:pPr>
        <w:spacing w:after="0" w:line="28"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complying with new and evolving international economic and trade sanctions laws and regulations;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pandemics and labor disruptions, the duration and severity of which are highly uncertain and difficult to predict;</w:t>
      </w:r>
    </w:p>
    <w:p>
      <w:pPr>
        <w:spacing w:after="0" w:line="106" w:lineRule="exact"/>
        <w:rPr>
          <w:rFonts w:ascii="Times New Roman" w:cs="Times New Roman" w:eastAsia="Times New Roman" w:hAnsi="Times New Roman"/>
          <w:sz w:val="17"/>
          <w:szCs w:val="17"/>
          <w:color w:val="auto"/>
        </w:rPr>
      </w:pPr>
    </w:p>
    <w:p>
      <w:pPr>
        <w:ind w:left="640" w:right="300" w:hanging="320"/>
        <w:spacing w:after="0" w:line="262" w:lineRule="auto"/>
        <w:tabs>
          <w:tab w:leader="none" w:pos="63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governments adopting regulations, including those similar to the EU MDR and EU IVDR or take other actions that would have a direct or indirect adverse impact on our business and market opportunities, including but not limited to increased enforcement of potentially conflicting and ambiguous anti-bribery and privacy laws;</w:t>
      </w:r>
    </w:p>
    <w:p>
      <w:pPr>
        <w:spacing w:after="0" w:line="6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enforcing agreements and collecting receivables through some foreign legal systems; and</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economic or political events in certain countries that may have an impact on our customers' ability or preferences to buy our products.</w:t>
      </w:r>
    </w:p>
    <w:p>
      <w:pPr>
        <w:spacing w:after="0" w:line="237" w:lineRule="exact"/>
        <w:rPr>
          <w:sz w:val="20"/>
          <w:szCs w:val="20"/>
          <w:color w:val="auto"/>
        </w:rPr>
      </w:pPr>
    </w:p>
    <w:p>
      <w:pPr>
        <w:jc w:val="both"/>
        <w:ind w:right="700"/>
        <w:spacing w:after="0" w:line="298" w:lineRule="auto"/>
        <w:rPr>
          <w:sz w:val="20"/>
          <w:szCs w:val="20"/>
          <w:color w:val="auto"/>
        </w:rPr>
      </w:pPr>
      <w:r>
        <w:rPr>
          <w:rFonts w:ascii="Times New Roman" w:cs="Times New Roman" w:eastAsia="Times New Roman" w:hAnsi="Times New Roman"/>
          <w:sz w:val="16"/>
          <w:szCs w:val="16"/>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business.</w:t>
      </w:r>
    </w:p>
    <w:p>
      <w:pPr>
        <w:spacing w:after="0" w:line="18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b w:val="1"/>
          <w:bCs w:val="1"/>
          <w:color w:val="auto"/>
        </w:rPr>
        <w:t>Economic and trade sanctions, including tariff and import/export regulations by the U.S. and foreign governments, could make it more difficult or costly for us to conduct our operations or achieve our business objectives.</w:t>
      </w:r>
    </w:p>
    <w:p>
      <w:pPr>
        <w:spacing w:after="0" w:line="19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These laws and regulations may restrict or prohibit altogether the sale or supply of certain of our products to certain governments, persons, entities, countries, and territories, including those that are the target of comprehensive sanctions, unless there are license exceptions that apply or specific licenses are obtained. A failure to comply with these laws and regulations could result in civil or criminal sanctions, including the imposition of fines and the denial of export privileges, which could have a material adverse effect on our business.</w:t>
      </w:r>
    </w:p>
    <w:p>
      <w:pPr>
        <w:spacing w:after="0" w:line="21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Changes in import and export policies, including new, increased or retaliatory tariffs, sanctions and countersanctions and customs restrictions by the U.S. and foreign governments, may disrupt our supply chain, adversely affect our relationships with customers and impact our competitiveness. It may be time-consuming and expensive for us to alter our business operations to adapt to or comply with any such changes. If we are unable to effectively manage these risks, our business, financial condition and results of operations could be materially and adversely affected.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 and other strategic transactions that we have made and may make in the future involve numerous risks.</w:t>
      </w:r>
    </w:p>
    <w:p>
      <w:pPr>
        <w:spacing w:after="0" w:line="24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We have a history of acquiring businesses and products that have significantly contributed to our growth in recent years. As part of our growth strategy, we intend to continue to consider acquiring complementary technologies, products and businesses and establishing joint ventures or other strategic relationships. Future transactions could result in potentially dilutive issuances of equity securities, the incurrence of debt and contingent liabilities and an increase in amortization and/or impairments of goodwill and other intangible assets, which could have a material adverse effect upon our business. Risks we could face with respect to these acquisitions and other strategic transaction include:</w:t>
      </w:r>
    </w:p>
    <w:p>
      <w:pPr>
        <w:spacing w:after="0" w:line="210" w:lineRule="exact"/>
        <w:rPr>
          <w:sz w:val="20"/>
          <w:szCs w:val="20"/>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obtain the anticipated revenues, margins and earnings benefits;</w:t>
      </w:r>
    </w:p>
    <w:p>
      <w:pPr>
        <w:spacing w:after="0" w:line="106" w:lineRule="exact"/>
        <w:rPr>
          <w:rFonts w:ascii="Times New Roman" w:cs="Times New Roman" w:eastAsia="Times New Roman" w:hAnsi="Times New Roman"/>
          <w:sz w:val="17"/>
          <w:szCs w:val="17"/>
          <w:color w:val="auto"/>
        </w:rPr>
      </w:pPr>
    </w:p>
    <w:p>
      <w:pPr>
        <w:ind w:left="640" w:right="120" w:hanging="320"/>
        <w:spacing w:after="0" w:line="262" w:lineRule="auto"/>
        <w:tabs>
          <w:tab w:leader="none" w:pos="63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and expenses related to, the integration of the operations, technologies, information technology and other enterprise resource planning systems, products and personnel of the acquired company and establishment of appropriate accounting controls and reporting procedures, data protection systems and other regulatory compliance procedures, including but not limited to third-party compliance and due diligence;</w:t>
      </w:r>
    </w:p>
    <w:p>
      <w:pPr>
        <w:spacing w:after="0" w:line="67" w:lineRule="exact"/>
        <w:rPr>
          <w:rFonts w:ascii="Times New Roman" w:cs="Times New Roman" w:eastAsia="Times New Roman" w:hAnsi="Times New Roman"/>
          <w:sz w:val="17"/>
          <w:szCs w:val="17"/>
          <w:color w:val="auto"/>
        </w:rPr>
      </w:pPr>
    </w:p>
    <w:p>
      <w:pPr>
        <w:ind w:left="640" w:right="220" w:hanging="320"/>
        <w:spacing w:after="0" w:line="266" w:lineRule="auto"/>
        <w:tabs>
          <w:tab w:leader="none" w:pos="63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leverage and the risk of lack of access to available financing, including financing for the acquisition or refinancing of debt owed by us on a timely basis and on reasonable terms;</w:t>
      </w:r>
    </w:p>
    <w:p>
      <w:pPr>
        <w:spacing w:after="0" w:line="6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entering markets in which we have no or limited prior experience;</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employees;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identify and consummate future acquisitions on favorable terms or at all;</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away from other business concerns;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the acquired company’s noncompliance with applicable laws or regulations;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of any undisclosed or potential liabilities, contingent liabilities or indemnification obligations of the acquired company;</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including restructuring expenses, to shut down our own locations or terminate our employees;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of and compliance with new and unfamiliar regulatory frameworks;</w:t>
      </w:r>
    </w:p>
    <w:p>
      <w:pPr>
        <w:spacing w:after="0" w:line="106" w:lineRule="exact"/>
        <w:rPr>
          <w:rFonts w:ascii="Times New Roman" w:cs="Times New Roman" w:eastAsia="Times New Roman" w:hAnsi="Times New Roman"/>
          <w:sz w:val="17"/>
          <w:szCs w:val="17"/>
          <w:color w:val="auto"/>
        </w:rPr>
      </w:pPr>
    </w:p>
    <w:p>
      <w:pPr>
        <w:ind w:left="640" w:right="540" w:hanging="320"/>
        <w:spacing w:after="0" w:line="266" w:lineRule="auto"/>
        <w:tabs>
          <w:tab w:leader="none" w:pos="63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obtain or maintain reimbursements under the third-party payor plans, including but not limited to governmental programs, due to complex reporting and payment obligations;</w:t>
      </w:r>
    </w:p>
    <w:p>
      <w:pPr>
        <w:spacing w:after="0" w:line="6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satisfactory working arrangements with our strategic partners in joint ventures or other affiliations;</w:t>
      </w:r>
    </w:p>
    <w:p>
      <w:pPr>
        <w:spacing w:after="0" w:line="10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dilution of earnings per share; and</w:t>
      </w:r>
    </w:p>
    <w:p>
      <w:pPr>
        <w:spacing w:after="0" w:line="119" w:lineRule="exact"/>
        <w:rPr>
          <w:rFonts w:ascii="Times New Roman" w:cs="Times New Roman" w:eastAsia="Times New Roman" w:hAnsi="Times New Roman"/>
          <w:sz w:val="17"/>
          <w:szCs w:val="17"/>
          <w:color w:val="auto"/>
        </w:rPr>
      </w:pPr>
    </w:p>
    <w:p>
      <w:pPr>
        <w:ind w:left="640" w:right="200" w:hanging="320"/>
        <w:spacing w:after="0" w:line="266" w:lineRule="auto"/>
        <w:tabs>
          <w:tab w:leader="none" w:pos="63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in accounting allocations and the risk that we are required to record significant adjustments to the preliminary fair value of assets acquired and liabilities assumed within the measurement period.</w:t>
      </w:r>
    </w:p>
    <w:p>
      <w:pPr>
        <w:spacing w:after="0" w:line="192" w:lineRule="exact"/>
        <w:rPr>
          <w:sz w:val="20"/>
          <w:szCs w:val="20"/>
          <w:color w:val="auto"/>
        </w:rPr>
      </w:pPr>
    </w:p>
    <w:p>
      <w:pPr>
        <w:ind w:right="880"/>
        <w:spacing w:after="0" w:line="271" w:lineRule="auto"/>
        <w:rPr>
          <w:sz w:val="20"/>
          <w:szCs w:val="20"/>
          <w:color w:val="auto"/>
        </w:rPr>
      </w:pPr>
      <w:r>
        <w:rPr>
          <w:rFonts w:ascii="Times New Roman" w:cs="Times New Roman" w:eastAsia="Times New Roman" w:hAnsi="Times New Roman"/>
          <w:sz w:val="17"/>
          <w:szCs w:val="17"/>
          <w:b w:val="1"/>
          <w:bCs w:val="1"/>
          <w:color w:val="auto"/>
        </w:rPr>
        <w:t>We face risks associated with disruption of our manufacturing, distribution and storage operations, including possible failure to develop necessary manufacturing processes, or constrained, idle or excess capacity, which could adversely affect our business.</w:t>
      </w:r>
    </w:p>
    <w:p>
      <w:pPr>
        <w:spacing w:after="0" w:line="19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manufacture a significant portion of the medical device products we sell. Any prolonged disruption in the operations of our existing manufacturing or distribution facilities or our fertility and stem cell storage facilities, whether due to work stoppages,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cGMP, QSR or similar foreign requirements or other reasons, could have a material adverse effect on our business. In addition, materials such as silicone hydrogel require improvements to our manufacturing processes to make them cost-effective.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near-term financial condition.</w:t>
      </w:r>
    </w:p>
    <w:p>
      <w:pPr>
        <w:spacing w:after="0" w:line="21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CooperVision manufactures molded contact lenses, which represent the majority of our contact lens revenues, primarily at our facilities in Costa Rica, Hungary, Puerto Rico, the United Kingdom and the United States, with other smaller facilities also existing in multiple locations around the world. CooperSurgical manufactures the majority of its products in Costa</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7"/>
          <w:szCs w:val="17"/>
          <w:color w:val="auto"/>
        </w:rPr>
        <w:t>Rica, the United Kingdom and the United States, with other smaller locations also existing in multiple locations around the world. We manufacture certain products at only one manufacturing site for certain markets, and certain of our products are approved for manufacturing only at one site. Further, certain media products have limited storage lives, limiting inventory back-up strategies. If there were any prolonged disruption in the operations of the approved facility, it could take a significant amount of time to obtain required regulatory approvals, validate a second site and replace lost product, which could result in lost customers and thereby reduce sales, profitability and market share.</w:t>
      </w:r>
    </w:p>
    <w:p>
      <w:pPr>
        <w:spacing w:after="0" w:line="21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CooperVision distributes products out of Belgium, Hungary, the United Kingdom and the United States and various smaller international distribution sites. CooperSurgical primarily distributes products out of its facilities in the United States and the Netherlands and operates fertility and stem cell storage facilities in the United States, Canada and Australia. Any prolonged disruption in the operations of our existing distribution or storage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w:t>
      </w:r>
    </w:p>
    <w:p>
      <w:pPr>
        <w:spacing w:after="0" w:line="2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b w:val="1"/>
          <w:b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2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especially given increased vulnerability of corporate information technology systems as distributed work environments have become prevalent.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implemented procedures and controls to monitor and mitigate security threats and invested in the protection of data and information technology, we cannot be assured that our efforts will prevent or quickly identify service interruptions or security breaches.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We cannot be assured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including protected health information (PHI), or intellectual property, and could result in financial, legal, business and reputational harm to us, which could have a material adverse effect on our financial position, results of operations and cash flows. There can be no assurance that our cybersecurity risk management program and processes, including our policies, controls or procedures, will be fully implemented, complied with or effective in protecting our systems and information. We maintain cyber liability insurance; however, this insurance may not be sufficient to cover the financial, legal, business or reputational losses that may result from an interruption or breach of our systems, and we cannot guarantee that applicable insurance will be available to us in the future on economically reasonable terms or at all.</w:t>
      </w:r>
    </w:p>
    <w:p>
      <w:pPr>
        <w:spacing w:after="0" w:line="201" w:lineRule="exact"/>
        <w:rPr>
          <w:sz w:val="20"/>
          <w:szCs w:val="20"/>
          <w:color w:val="auto"/>
        </w:rPr>
      </w:pPr>
    </w:p>
    <w:p>
      <w:pPr>
        <w:ind w:right="700"/>
        <w:spacing w:after="0" w:line="303" w:lineRule="auto"/>
        <w:rPr>
          <w:sz w:val="20"/>
          <w:szCs w:val="20"/>
          <w:color w:val="auto"/>
        </w:rPr>
      </w:pPr>
      <w:r>
        <w:rPr>
          <w:rFonts w:ascii="Times New Roman" w:cs="Times New Roman" w:eastAsia="Times New Roman" w:hAnsi="Times New Roman"/>
          <w:sz w:val="16"/>
          <w:szCs w:val="16"/>
          <w:b w:val="1"/>
          <w:bCs w:val="1"/>
          <w:color w:val="auto"/>
        </w:rPr>
        <w:t>We manage our businesses utilizing multiple complex integrated software and hardware information technology operating systems that are regularly maintained and upgraded; an interruption or disruption to these systems could disrupt our business or force us to incur excessive costs.</w:t>
      </w:r>
    </w:p>
    <w:p>
      <w:pPr>
        <w:spacing w:after="0" w:line="18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We utilize multiple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be assured that our systems will meet our future business needs or that upgrades will operate as designed. We cannot be assured that there will not be associated excessive costs or disruptions in portions of our business in the course of our maintenance, support and/or upgrade of these systems.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are in the midst of a multiyear process of implementing new enterprise resource planning (ERP) systems at CooperVision and CooperSurgical. Implementing a new ERP system is not only costly but complex and difficult. Implementing a new ERP system can negatively affect not only financial accounting and reporting processes but also external commercial activities such as order receipt and product delivery. We cannot be assured that we will successfully implement our new ERP system or that we will avoid these and other negative impacts from our implementation efforts.</w:t>
      </w:r>
    </w:p>
    <w:p>
      <w:pPr>
        <w:spacing w:after="0" w:line="20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If any of such systems or programs were to experience service interruptions, fail or create erroneous information in our hardware or software network infrastructure, possible consequences include our loss of communication links, inability to track sales and interruption of other operational or financial processes, which in turn could adversely affect our financial results, stock price and reputation.</w:t>
      </w:r>
    </w:p>
    <w:p>
      <w:pPr>
        <w:spacing w:after="0" w:line="20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6"/>
          <w:szCs w:val="16"/>
          <w:b w:val="1"/>
          <w:bCs w:val="1"/>
          <w:color w:val="auto"/>
        </w:rPr>
        <w:t>We previously identified a material weakness in our internal control over financial reporting related to an ineffective information technology (IT) general control for the U.S. operations within the CooperSurgical segment which was remediated as of October 31, 2025. We may experience additional material weakness in the future which could affect our ability to record, process and report financial information accurately and prepare financial statements within required time periods and could subject us to litigation or investigations, negatively affect investor confidence and adversely impact our stock price.</w:t>
      </w:r>
    </w:p>
    <w:p>
      <w:pPr>
        <w:spacing w:after="0" w:line="19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Internal controls related to the operation of technology systems are critical to maintaining adequate internal control over financial reporting. As disclosed in Part II, Item 9A, during fiscal 2024, management concluded our internal control over financial reporting was not effective as of October 31, 2024 due to a material weakness in IT general controls for the CooperSurgical operations in the U.S. primarily related to the implementation and maintenance of certain enterprise resource planning systems during fiscal 2024. The material weakness resulted from not having a sufficient complement of its personnel, inadequate training of personnel and ineffective assessment of the risks related to change management, user control monitoring and segregation of duties in the affected IT environment. Manual controls that rely on system-generated data or reports from the affected IT environment or process level automated controls in the affected IT environment were ineffective because they could have been adversely impacted. In response to the material weakness, management, with the oversight of the Audit Committee, implemented steps to remediate the material weakness. If we are unable to maintain effective internal control over financial reporting or disclosure controls and procedures in the future, our ability to record, process and report financial information accurately, and to prepare financial statements within required time periods, could be adversely affected, which could subject us to reputational harm, legal claims or proceedings, regulatory investigations and enforcement actions, significant costs from remedial actions, additional management resources, and payment of legal and other expenses, negatively affect investor confidence in our financial statement and adversely impact our stock price.</w:t>
      </w:r>
    </w:p>
    <w:p>
      <w:pPr>
        <w:spacing w:after="0" w:line="19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b w:val="1"/>
          <w:bCs w:val="1"/>
          <w:color w:val="auto"/>
        </w:rPr>
        <w:t>Pricing pressure from our competitors, customers and changes in third-party coverage and reimbursement may adversely affect demand for our products and negatively impact our operating results.</w:t>
      </w:r>
    </w:p>
    <w:p>
      <w:pPr>
        <w:spacing w:after="0" w:line="20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Competition in our industry has increased as a result of new market entrants, new technologies and as more established companies have intensified competitive pricing pressure. As a result of these competitive forces, we believe there will continue to be pricing pressure in the future. Because our CooperSurgical products are generally purchased by hospitals and surgery centers, OB/GYN medical offices and fertility clinics, and billed to various third-party payors, changes in the purchasing behavior of such customers or the amount such payors are willing to reimburse our customers for procedures using our products, including as a result of healthcare reform initiatives, could create additional pricing pressure on us. In addition to these competitive forces, we continue to see pricing pressure as our customers introduce new pricing structures into their contracts and agreements, including fixed price formulas, capitated pricing and structured pricing intended to contain healthcare costs. Such trends may adversely affect demand for our products and may drive down the prices we are able to charge for our products, both of which would negatively affect our operating results.</w:t>
      </w:r>
    </w:p>
    <w:p>
      <w:pPr>
        <w:spacing w:after="0" w:line="209"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b w:val="1"/>
          <w:bCs w:val="1"/>
          <w:color w:val="auto"/>
        </w:rPr>
        <w:t>We rely on independent suppliers and third-party logistics providers in our supply chain for raw materials, packaging materials and components, mechanical equipment and some finished goods; we could experience inventory shortages if any of these suppliers encounter a manufacturing or distribution disruption.</w:t>
      </w:r>
    </w:p>
    <w:p>
      <w:pPr>
        <w:spacing w:after="0" w:line="16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original equipment manufacturers. Supply of these goods, items and materials is protected by contractual agreements, availability of alternative suppliers and/or safety stocks. However, if current suppliers fail to supply sufficient goods, items or materials to us on a timely basis, or at all for any reason, we could experience inventory shortages and disruption in our supply of products. For example, among other situations, some of the primary material used to make our silicone hydrogel contact lens products, including MyDay,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Biofinity, Avaira and clariti, are supplied by few or sole suppliers,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Our supply chain and our cost of goods also may be negatively impacted by unanticipated price increases due to factors such as inflation, including wage inflation, or to supply restrictions beyond our control or the control of our suppliers.</w:t>
      </w:r>
    </w:p>
    <w:p>
      <w:pPr>
        <w:spacing w:after="0" w:line="1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also rely on third-party logistics providers for storage and distribution of our components and products. Because we have limited control over their operations, any disruption in these relationships—whether due to labor shortages, transportation delays, capacity constraints—could adversely affect our ability to deliver products to customers on time and result in increased costs, reputational harm and potential liability. If we are unable to promptly transition to alternative providers in the event of a disruption, our business, financial condition, and results of operations could be materially and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fail to protect our intellectual property adequately, our business could suffer.</w:t>
      </w:r>
    </w:p>
    <w:p>
      <w:pPr>
        <w:spacing w:after="0" w:line="2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consider our intellectual property rights, including patents, trade secrets, trademarks and licensing agreements, to be an integral component of our business. We attempt to protect our intellectual property 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spacing w:after="0" w:line="196"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expensive and time consuming to prosecute or defend;</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a finding that we do not have certain intellectual property rights or that such rights lack sufficient scope or strength;</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management's attention and resources; or</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license our intellectual property.</w:t>
      </w:r>
    </w:p>
    <w:p>
      <w:pPr>
        <w:spacing w:after="0" w:line="23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We have applied for patent protection in the United States, the United Kingdom and other foreign jurisdictions relating to certain existing and proposed processes and products. We cannot be assured that any of our patent applications will be approved. Patent applications in the United States, the United Kingdom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 provide us with any meaningful protection or commercial advantage. We also cannot assure that we will have adequate resources to enforce our patents.</w:t>
      </w:r>
    </w:p>
    <w:p>
      <w:pPr>
        <w:spacing w:after="0" w:line="2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Both CooperVision and CooperSurgical also rely on proprietary technology that is unpatented. It is possible that others will independently develop the same or similar technology or otherwise obtain access to our unpatented technology. To protect our trade secrets and other proprietary information, our employees, consultants, advisors and collaborators enter into confidentiality agreements and assignment agreements, which generally provide that inventions conceived by the party in the course of rendering services to us will be our exclusive property. However, we cannot be assured that these 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spacing w:after="0" w:line="212"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7"/>
          <w:szCs w:val="17"/>
          <w:color w:val="auto"/>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be successful in obtaining registrations for our pending or future trademark applications and might have to defend our registered trademark and pending applications against challenge by third parties. Enforcing or defending our registered and unregistered trademarks might result in significant litigation costs and damages, including the inability to continue using certain trademarks.</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6"/>
          <w:szCs w:val="16"/>
          <w:color w:val="auto"/>
        </w:rPr>
        <w:t>The laws of foreign countries in which we do business or contemplate doing business in the future may not recognize intellectual property rights or protect them to the same extent as do the laws of the United States. Adverse determinations in a judicial or administrative proceeding could prevent us from manufacturing and selling our products or prevent us from stopping others from manufacturing and selling competing products, and thereby have a material adverse effect on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or processes could be subject to claims of infringement of the intellectual property of others.</w:t>
      </w: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Our competitors in both the United States and foreign countries, some of which have substantially greater resources and have made substantial investments in competing technologies, as well as other third parties, 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materials, processes and business methods. Claims that our products, business methods or processes infringe upon the proprietary rights of others often are not asserted until after commencement of commercial sales of products incorporating our technology.</w:t>
      </w:r>
    </w:p>
    <w:p>
      <w:pPr>
        <w:spacing w:after="0" w:line="210"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17"/>
          <w:szCs w:val="17"/>
          <w:color w:val="auto"/>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spacing w:after="0" w:line="205" w:lineRule="exact"/>
        <w:rPr>
          <w:sz w:val="20"/>
          <w:szCs w:val="20"/>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expensive and time consuming to defend;</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cease making, licensing or selling products that incorporate the challenged intellectual property;</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redesign or re-engineer our products, if feasible;</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management's attention and resources; or</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 in order to obtain the right to use a necessary product, component or process.</w:t>
      </w:r>
    </w:p>
    <w:p>
      <w:pPr>
        <w:spacing w:after="0" w:line="23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We cannot be certain of the outcome of any litigation. A successful claim of infringement against us or our contract manufacturers in connection with the use of our technology, in particular if we are unable to manufacture or sell any of our planned products in any major market, could adversely affect our business.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spacing w:after="0" w:line="20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the accuracy and quality of our genomic services, fertility cryopreservation, fertility donor gamete supply, and stem cell storage services. These risks may be heightened due to our direct-to-consumer marketing efforts for some of our products and services (e.g., stem cell storage and Paragard IUDs). Consumers may halt or delay purchases of a product or service that is the subject of a claim or recall or has been counterfeited. We handle some risk with third-party carrier policies that are subject to deductibles and limitations. These insurance policies may become more expensive (or not be available) for new risks we may assume when we acquire new businesses. We cannot be assured that we will not experience material losses due to product liability claims or recalls, legal claims relating to our service offerings, or a decline in sales resulting from sales of counterfeit or other infringing products, in the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our products or services are not accepted by the market, we will not be able to sustain or expand our business.</w:t>
      </w:r>
    </w:p>
    <w:p>
      <w:pPr>
        <w:spacing w:after="0" w:line="24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Certain of our proposed products or services have not yet been clinically tested or commercially introduced, and some of our existing products or services are marketed and sold on the basis of potential future medical or therapeutic value (assuming technology advances), and we cannot be sure that any of them will achieve market acceptance or generate revenues or operating profits. The development of a market for our products or services may be influenced by many factors, some of which are out of our control, including:</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products or services by eye care or other health care practitioners;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competitiveness of our products and services;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reluctance to try and use a new product or service;</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legislative requirements;</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coverage and reimbursement by third-party payors;</w:t>
      </w:r>
    </w:p>
    <w:p>
      <w:pPr>
        <w:spacing w:after="0" w:line="106" w:lineRule="exact"/>
        <w:rPr>
          <w:rFonts w:ascii="Times New Roman" w:cs="Times New Roman" w:eastAsia="Times New Roman" w:hAnsi="Times New Roman"/>
          <w:sz w:val="17"/>
          <w:szCs w:val="17"/>
          <w:color w:val="auto"/>
        </w:rPr>
      </w:pPr>
    </w:p>
    <w:p>
      <w:pPr>
        <w:ind w:left="320" w:right="60" w:hanging="315"/>
        <w:spacing w:after="0" w:line="266" w:lineRule="auto"/>
        <w:tabs>
          <w:tab w:leader="none" w:pos="31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scientific advancements to validate the medical value of certain products or services, such as stored cord blood or cord tissue (or scientific advancements in other medical approaches that reduce or eliminate the value of such products or services); and</w:t>
      </w:r>
    </w:p>
    <w:p>
      <w:pPr>
        <w:spacing w:after="0" w:line="64" w:lineRule="exact"/>
        <w:rPr>
          <w:rFonts w:ascii="Times New Roman" w:cs="Times New Roman" w:eastAsia="Times New Roman" w:hAnsi="Times New Roman"/>
          <w:sz w:val="17"/>
          <w:szCs w:val="17"/>
          <w:color w:val="auto"/>
        </w:rPr>
      </w:pPr>
    </w:p>
    <w:p>
      <w:pPr>
        <w:ind w:left="320" w:right="240" w:hanging="315"/>
        <w:spacing w:after="0" w:line="282" w:lineRule="auto"/>
        <w:tabs>
          <w:tab w:leader="none" w:pos="31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earlier release of competitive products or services, such as new silicone hydrogel products or contraceptive technologies, into the market by our competitors; and the emergence of newer and more competitive products or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operate in the highly competitive health care industry, and we cannot be assured that we will be able to compete successfully.</w:t>
      </w:r>
    </w:p>
    <w:p>
      <w:pPr>
        <w:spacing w:after="0" w:line="24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Alcon Inc. and Bausch Health Companies Inc.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advantage in marketing their lenses. The market for contact lenses is intensely competitive and is characterized by declining sales volumes for older product lines and growing demand for silicone hydrogel-based products. Our ability to respond to these competitive pressures will depend on our ability to decrease our costs and maintain gross margins and operating results and to introduce new products successfully, on a timely basis in the Americas, EMEA and Asia Pacific, and to achieve manufacturing efficiencies and sufficient manufacturing capacity and capabilities for such products. Any significant decrease in our costs per lens will depend, in part, on our ability to increase sales volume and production capabilities and our ability to secure adequate supply of materials used in production at reasonable costs. Our failure to respond to competitive pressures in a timely manner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 lesser extent, CooperVision also competes with manufacturers of eyeglasses and providers of other forms of vision correction including ophthalmic surgery.</w:t>
      </w:r>
    </w:p>
    <w:p>
      <w:pPr>
        <w:spacing w:after="0" w:line="237"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7"/>
          <w:szCs w:val="17"/>
          <w:color w:val="auto"/>
        </w:rPr>
        <w:t>We cannot be assured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w:t>
      </w:r>
    </w:p>
    <w:p>
      <w:pPr>
        <w:spacing w:after="0" w:line="199" w:lineRule="exact"/>
        <w:rPr>
          <w:sz w:val="20"/>
          <w:szCs w:val="20"/>
          <w:color w:val="auto"/>
        </w:rPr>
      </w:pPr>
    </w:p>
    <w:p>
      <w:pPr>
        <w:ind w:right="460"/>
        <w:spacing w:after="0" w:line="247" w:lineRule="auto"/>
        <w:rPr>
          <w:sz w:val="20"/>
          <w:szCs w:val="20"/>
          <w:color w:val="auto"/>
        </w:rPr>
      </w:pPr>
      <w:r>
        <w:rPr>
          <w:rFonts w:ascii="Times New Roman" w:cs="Times New Roman" w:eastAsia="Times New Roman" w:hAnsi="Times New Roman"/>
          <w:sz w:val="17"/>
          <w:szCs w:val="17"/>
          <w:color w:val="auto"/>
        </w:rPr>
        <w:t>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 to the threats posed by these new and emerging distribution models and Internet driven services may have a material adverse impact on our business.</w:t>
      </w:r>
    </w:p>
    <w:p>
      <w:pPr>
        <w:spacing w:after="0" w:line="22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CooperSurgical focuses on selected segments of the family and women's health care market with a diversified portfolio of products and services including fertility products and services, medical devices, cryostorage (such as cord blood and cord tissue storage) and contraception. Competitive factors in these segments in which CooperSurgical competes include technological and scientific advances, product quality and availability, price, customer service including response time and effective communication of product information to physicians, consumers, fertility clinics and hospitals. Competition in the medical device industry is dynamic and involves the search for technological and therapeutic innovations.</w:t>
      </w:r>
    </w:p>
    <w:p>
      <w:pPr>
        <w:spacing w:after="0" w:line="22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7"/>
          <w:szCs w:val="17"/>
          <w:color w:val="auto"/>
        </w:rPr>
        <w:t>CooperSurgical competes with a number of manufacturers and service providers in its women’s family health care market areas. Some of these competitors have substantially greater financial and personnel resources and sell a broader range of products, which may give them an advantage in marketing competitive products. In addition, some of CooperSurgical’s markets, such as genomics, contraception and cord blood and cord tissue storage, are characterized by rapid technological advancement. We face the risk that demand for our products will not grow or will decline if our competitors are more</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successful than us at innovating in these and other areas. There is also a risk that emerging technologies or technology advancements could reduce the medical value of certain of our products and services, such as cord blood and cord tissue storage, which could adversely affect our business. In recent years, CooperSurgical has also expanded direct-to-consumer products and services, which requires implementing new competitive strategies and increases the importance of customer service and consumer reputation as competitive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medical and technological developments may reduce the need for our products.</w:t>
      </w:r>
    </w:p>
    <w:p>
      <w:pPr>
        <w:spacing w:after="0" w:line="2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Technological developments in the vision, fertility and women’s health, may limit demand for our products and services. For example,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be assured that medical advances and technological developments will not have a material adverse effect on our business.</w:t>
      </w:r>
    </w:p>
    <w:p>
      <w:pPr>
        <w:spacing w:after="0" w:line="20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b w:val="1"/>
          <w:bCs w:val="1"/>
          <w:color w:val="auto"/>
        </w:rPr>
        <w:t>Product innovations are important in the industry in which we operate, and we face the risk of product obsolescence if we are unable to develop new products or gain regulatory approvals or certifications or if our competitors introduce new products.</w:t>
      </w:r>
    </w:p>
    <w:p>
      <w:pPr>
        <w:spacing w:after="0" w:line="19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color w:val="auto"/>
        </w:rPr>
        <w:t>Product innovations are important in the contact lens market in which CooperVision competes and in the areas of the health care industry in which CooperSurgical competes. CooperVision, both internally and externally with third parties, invests in new product development, including the development of new silicone hydrogel-based contact lenses. While much of CooperVision’s research and development activities are performed internally, it also uses external research and development investment in collaborations and joint development with third parties. CooperSurgical has historically purchased, leveraged or licensed the technology developments of others. CooperSurgical also has invested in expanding the internal research and development function with the goal of organic growth and to complement our acquisitions strategy. Research and development time commitments, higher feasibility risk with longer term projects, greater dependence on, and reduced control over, third-party deliverables, the cost of obtaining necessary regulatory approval or certification and other costs related to product innovations can be substantial. We cannot be assured that we will successfully obtain necessary regulatory approvals, certifications or clearances for our new products or that our new products will successfully compete in the marketplace and, as a result, justify the expense involved in their development and regulatory approval or certification. In addition, our competitors may have developed or may in the future develop new products or technologies. Failure to develop new product offerings and technological changes and to offer products that provide performance that is at least comparable to competing products could have a material adverse effect on our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risks related to environmental, social and governance matters.</w:t>
      </w:r>
    </w:p>
    <w:p>
      <w:pPr>
        <w:spacing w:after="0" w:line="2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and our facilities are subject to a broad range of U.S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new laws and regulations or the enforcement thereof, or the discovery of contamination at our facilities, may give rise to additional compliance or remediation costs that could have a material adverse effect on our business. Such laws and requirements are constantly changing, are different in every jurisdiction and can impose substantial fines and sanctions for violations. As a manufacturer of various products, we are exposed to some risk of claims with respect to environmental matters, and we cannot be assured that material costs or liabilities will not be incurred in connection with any such claims.</w:t>
      </w:r>
    </w:p>
    <w:p>
      <w:pPr>
        <w:spacing w:after="0" w:line="2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We continue to evaluate the necessary steps for compliance with regulations as they are enacted. These regulations include, for example, regulations enacted in the EU such as the Registration, Evaluation, Authorization and Restriction of Chemical Substances, which requires the registration of and regulates use of certain chemicals, the Restriction on the Use of Certain Hazardous Substances in Electrical and Electronic Equipment Directive, which regulates the use of certain hazardous substances in certain products our CooperSurgical division manufactures. These and similar legislation that has been or is in the process of being enacted in Japan, China and various states of the United States may require us to re-design certain products to ensure compliance with the applicable laws and regulations.</w:t>
      </w:r>
    </w:p>
    <w:p>
      <w:pPr>
        <w:spacing w:after="0" w:line="21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In addition, new disclosure standards and rules related to ESG matters have been adopted and may continue to be introduced in various states and other jurisdiction. For example, the European Union Corporate Sustainability Reporting Directive (CSRD) became effective in 2023 and applies to both EU and non-EU entities. In October 2023, California adopted new carbon and climate-related reporting requirements for large public and private companies doing business in the state. Further, the SEC adopted a final rule on the Enhancement and Standardization of Climate-Related Disclosures in March 2024. In March 2025, the SEC ended its defense of the climate-related disclosure rules adopted in March 2024.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International ESG disclosure standards have also been produced (and further standards will be produced) under the auspices of the International Sustainability Standards Board (ISSB), which some countries (such as the UK) have indicated they may incorporate into ESG disclosure standards required of certain companies. As the nature, scope and complexity of ESG reporting, diligence and disclosure requirements expand, significant effort and expenses could be required to comply with the evolving requirements. As our disclosure obligations increase, third parties may make claims or bring litigation relating to those disclosures which may be costly.</w:t>
      </w:r>
    </w:p>
    <w:p>
      <w:pPr>
        <w:spacing w:after="0" w:line="186"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7"/>
          <w:szCs w:val="17"/>
          <w:b w:val="1"/>
          <w:bCs w:val="1"/>
          <w:color w:val="auto"/>
        </w:rPr>
        <w:t>Environmental, social and corporate governance issues, including those related to climate change and sustainability, may have an adverse effect on our business and damage our reputation.</w:t>
      </w:r>
    </w:p>
    <w:p>
      <w:pPr>
        <w:spacing w:after="0" w:line="19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customer, consumer, employee or other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spacing w:after="0" w:line="2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Customers, consumers, investors and other stakeholders are increasingly focusing on environmental issues, including climate change, energy and water use, plastic waste and other sustainability concerns. Concern over climate change or plastics and packaging materials, in particular, may result in new or increased legal and regulatory requirements to reduce or mitigate impacts to the environment. Changing customer and consumer preferences or increased regulatory requirements may result in increased demands or requirements regarding plastics and packaging materials, including single-use and non-recyclable plastic products and packaging, other components of our products and their environmental impact on sustainability, or increased customer and consumer concerns or perceptions (whether accurate or inaccurate) regarding the effects of substances present in certain of our products. Complying with these demands or requirements could cause us to incur additional manufacturing, operating or product development costs.</w:t>
      </w:r>
    </w:p>
    <w:p>
      <w:pPr>
        <w:spacing w:after="0" w:line="22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7"/>
          <w:szCs w:val="17"/>
          <w:color w:val="auto"/>
        </w:rPr>
        <w:t>If we do not adapt to or comply with existing and/or new regulations, or fail to meet evolving investor, industry or stakeholder expectations and concerns regarding ESG issues, investors may reconsider their capital investment in our Company, and customers and consumers may choose to stop purchasing our products, which could have a material adverse effect on our reputation and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retain our key personnel and attract and retain other highly skilled employees, our business could suffer.</w:t>
      </w:r>
    </w:p>
    <w:p>
      <w:pPr>
        <w:spacing w:after="0" w:line="24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retain and motivate highly skilled sales, marketing, manufacturing engineering and scientific personnel. Competition for these persons in our industry is intense, and we may not be able to successfully recruit, train or retain qualified personnel. We are experiencing increasing challenges in building and retaining our workforce in certain markets, where pressure from inflation and competition have exacerbated turnover and retention trends. Labor shortages and competition for qualified personnel could cause disruptions in our business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Provisions of our governing documents and Delaware law may have anti-takeover effects.</w:t>
      </w:r>
    </w:p>
    <w:p>
      <w:pPr>
        <w:spacing w:after="0" w:line="2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Government Regulation of Manufacture and Sale of Our Products and Services.</w:t>
      </w:r>
    </w:p>
    <w:p>
      <w:pPr>
        <w:spacing w:after="0" w:line="23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b w:val="1"/>
          <w:bCs w:val="1"/>
          <w:color w:val="auto"/>
        </w:rPr>
        <w:t>Legislative or regulatory reforms in the United States, Europe or other countries may make it more difficult and costly for us to obtain regulatory clearances, approvals or certifications for our products or to manufacture, market or distribute our products after clearance or approval is obtained.</w:t>
      </w:r>
    </w:p>
    <w:p>
      <w:pPr>
        <w:spacing w:after="0" w:line="17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regulation of drugs and medical devices. In addition, the FDA may change its premarket clearance and approval policies for drugs and medical devices, adopt additional regulations or revise existing regulations, or take other</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6"/>
          <w:szCs w:val="16"/>
          <w:color w:val="auto"/>
        </w:rPr>
        <w:t>actions, which may prevent or delay approval or clearance of our future products under development or impact our ability to modify our currently cleared products on a timely basis.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20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1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7"/>
          <w:szCs w:val="17"/>
          <w:color w:val="auto"/>
        </w:rPr>
        <w:t xml:space="preserve">In addition to traditional regulatory controls on drugs and medical devices, our business could be affected by emerging laws or regulations limiting our ability to offer certain of our products and services. For example, in the United States, the reversal by the U.S. Supreme Court of </w:t>
      </w:r>
      <w:r>
        <w:rPr>
          <w:rFonts w:ascii="Times New Roman" w:cs="Times New Roman" w:eastAsia="Times New Roman" w:hAnsi="Times New Roman"/>
          <w:sz w:val="17"/>
          <w:szCs w:val="17"/>
          <w:i w:val="1"/>
          <w:iCs w:val="1"/>
          <w:color w:val="auto"/>
        </w:rPr>
        <w:t>Roe v. Wade</w:t>
      </w:r>
      <w:r>
        <w:rPr>
          <w:rFonts w:ascii="Times New Roman" w:cs="Times New Roman" w:eastAsia="Times New Roman" w:hAnsi="Times New Roman"/>
          <w:sz w:val="17"/>
          <w:szCs w:val="17"/>
          <w:color w:val="auto"/>
        </w:rPr>
        <w:t xml:space="preserve"> has raised concerns in the fertility industry that more restrictive laws could limit access to various reproductive services. New and emerging laws may be interpreted to limit access to contraceptive technologies or cryostorage services, which could adversely affect certain aspects of CooperSurgical’s business.</w:t>
      </w:r>
    </w:p>
    <w:p>
      <w:pPr>
        <w:spacing w:after="0" w:line="21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In addition, the EU landscape concerning medical devices (including IVDs) has recently evolved and may be subject to further developments in 2026. A new set of two EU regulations have been adopted on April 5, 2017. On May 26, 2021, the EU MDR became applicable and replaced previous directives and established transitional provisions. The EU IVDR became applicable on May 26, 2022. However, the European institutions adopted subsequent regulations amending the EU IVDR for a gradual roll-out of the EU IVDR to prevent disruptions in the supply of IVDs. The EU IVDR fully applies since May 26, 2022, but there is a tiered system extending the grace period for many devices (depending on their risk classification) before they have to be fully compliant with the regulation. Both regulations have been adopted to establish a uniform, transparent, predictable and sustainable regulatory framework across the EU for medical devices (including IVDs) and ensure a high level of safety and health while supporting innovation.</w:t>
      </w:r>
    </w:p>
    <w:p>
      <w:pPr>
        <w:spacing w:after="0" w:line="20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7"/>
          <w:szCs w:val="17"/>
          <w:color w:val="auto"/>
        </w:rPr>
        <w:t>These modifications may have an effect on the way we intend to develop our business in the EU and EEA. For example, as a result of the transition towards the new regimes, notified body review times have lengthened, and product introductions could be delayed or canceled. Additionally, only a few notified bodies have been designated for EU IVDR certification, which could adversely affect our ability to grow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 end of the “Brexit” transitional period, from January 1, 2021, the MHRA became the UK’s independent regulatory agency for medical devices. Post-Brexit, amendments have been made to the existing UK medical devices legislation which require medical devices to be registered with the MHRA before being placed on the Great Britain market. Manufacturers based outside of the UK need to appoint a UK Responsible Person to register devices with the MHRA. The rules for placing medical devices on the market in Northern Ireland, which is part of the UK, differ from those in Great Britain (England, Scotland and Wales) and continue to be based on EU law. However, consultations are underway which propose substantial reforms to the Great Britain regulatory regime for medical devices and IVDs, including with respect to market access and conformity assessment procedures. Any divergent requirements between the UK and the EU may increase the cost and complexity of running our business.</w:t>
      </w:r>
    </w:p>
    <w:p>
      <w:pPr>
        <w:spacing w:after="0" w:line="20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7"/>
          <w:szCs w:val="17"/>
          <w:b w:val="1"/>
          <w:bCs w:val="1"/>
          <w:color w:val="auto"/>
        </w:rPr>
        <w:t>Our products are subject to reporting requirements and recalls, even after receiving regulatory clearance, approval or certification, which could harm our reputation and business.</w:t>
      </w:r>
    </w:p>
    <w:p>
      <w:pPr>
        <w:spacing w:after="0" w:line="20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After a drug or device is placed on the market, numerous regulatory requirements apply, including the FDA's cGMP and QSR regulations, which require manufacturers to follow, among other things, design, testing, production, control, documentation and other quality assurance procedures during the manufacturing process; labeling regulations; and adverse event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Manufacturers, such as CooperVision and CooperSurgical, may, under their own initiative, recall a product if a reasonable possibility of serious injury or any material deficiency in a product is found, or withdraw a product for other reasons. The FDA requires that certain medical device corrections or removals, including recalls, be reported to the FDA within ten working days of initiating the correction or removal. Recalls of any of our products may divert managerial and financial resources and have an adverse effect on our financial condition and results of operations. A recall could harm our reputation with customers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19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b w:val="1"/>
          <w:bCs w:val="1"/>
          <w:color w:val="auto"/>
        </w:rPr>
        <w:t>If our manufacturing operations fail to comply with applicable regulations, our manufacturing could be delayed or disrupted, our products could be subject to recall, and sales and profitability could suffer.</w:t>
      </w:r>
    </w:p>
    <w:p>
      <w:pPr>
        <w:spacing w:after="0" w:line="17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Our manufacturing operations and processes are required to comply with numerous federal, state and foreign regulatory requirements, including the FDA's cGMP regulations for drugs and QSR for medical devices, which govern the procedures related to the design, testing, production processes, controls, quality assurance, labeling, packaging, storage, importing, exporting and shipping of our products. We also are subject to state requirements and licenses applicable to manufacturers of drugs and medical devices. In addition, we must engage in extensive recordkeeping and reporting and must make available our manufacturing facilities and records for periodic unscheduled inspections by governmental agencies, including the FDA, state authorities and comparable agencies (as well as audits by notified bodies) in other countries. Failure to comply with cGMP, QSR and other applicable domestic or international regulatory requirements or to respond to any adverse inspectional observations or product safety issues could result in disruption of our operations and manufacturing delays in addition to, among other things, warning letters, significant fines, injunctions, suspension of approvals, seizures, recalls or import holds of products, operating restrictions and criminal prosecutions. As a result, any failure to comply with applicable requirements could adversely affect our product sales and profitability.</w:t>
      </w:r>
    </w:p>
    <w:p>
      <w:pPr>
        <w:spacing w:after="0" w:line="21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On January 31, 2024, the FDA issued a final rule to amend the QSR regulations to align more closely with the International Organization for Standardization standards. Accordingly, this could impose additional or different regulatory requirements on CooperVision and CooperSurgical that could increase the costs of compliance or otherwise create competition that may negatively affect our business.</w:t>
      </w:r>
    </w:p>
    <w:p>
      <w:pPr>
        <w:spacing w:after="0" w:line="19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The manufacture of drug-device combination products, such as Paragard, is complex and requires significant expertise and capital investment. We and our contract manufacturers must comply with applicable cGMP, QSR and similar foreign regulations and guidelines. Manufacturers of pharmaceutical therapeutics often encounter difficulties in production, including difficulties with production costs and yields, quality control, quality assurance testing, operator error, shortages of qualified personnel, as well as compliance with strictly enforced federal, state and foreign regulations. Furthermore, if microbial, viral or other contamination are discovered in our drug products or in the manufacturing facilities in which our drug products are made, such manufacturing facilities may need to be closed for an extended period of time to investigate and remedy the contamination. We cannot be assured that any stability or other issues relating to the manufacture of any of our drug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continue marketing our drug products would be jeopardized.</w:t>
      </w:r>
    </w:p>
    <w:p>
      <w:pPr>
        <w:spacing w:after="0" w:line="21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Any adverse developments affecting manufacturing of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Accordingly, failures or difficulties faced at any level of our supply chain could materially adversely affect our business and delay or impede the commercialization and marketing of any of our products and could have a material adverse effect on our business.</w:t>
      </w:r>
    </w:p>
    <w:p>
      <w:pPr>
        <w:spacing w:after="0" w:line="2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b w:val="1"/>
          <w:bCs w:val="1"/>
          <w:color w:val="auto"/>
        </w:rPr>
        <w:t>Our failure to comply with regulatory requirements or to receive regulatory clearance, approval or certification for our products or operations could adversely affect our business.</w:t>
      </w:r>
    </w:p>
    <w:p>
      <w:pPr>
        <w:spacing w:after="0" w:line="1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Our products and operations are subject to rigorous regulation by the FDA, and numerous other federal, state and foreign governmental authorities. In the United States,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clearances or approvals, product recalls, termination of distribution or product seizures. In the most egregious cases, criminal sanctions or closure of our manufacturing facilities are possible.</w:t>
      </w:r>
    </w:p>
    <w:p>
      <w:pPr>
        <w:spacing w:after="0" w:line="21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Our medical devices and pharmaceutical products require clearance or approval by the FDA before they can be commercially distributed in the United States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product, particularly from the FDA, can be costly and time consuming. We cannot be assured that such clearances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 regulatory requirements on us, or otherwise impact our ability to market our currently approved or cleared products.</w:t>
      </w:r>
    </w:p>
    <w:p>
      <w:pPr>
        <w:spacing w:after="0" w:line="2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Modifications and enhancements to medical devices require a new FDA clearance or approval if they could significantly affect its safety or effectiveness or would constitute a major change in its intended use, design or manufacture. The FDA requires every medical device manufacturer to make this determination in the first instance, but the FDA may review any manufacturer's decision. We have made modifications and enhancements to our medical devices that we do not believe require a new clearance or approval,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spacing w:after="0" w:line="19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7"/>
          <w:szCs w:val="17"/>
          <w:color w:val="auto"/>
        </w:rPr>
        <w:t>Our efforts to promote some of our products and services via direct-to-consumer marketing initiatives may subject us to additional scrutiny by the FDA, FTC or other agencies. For example, we promote PARAGARD and cord blood and cord tissue storage directly to end consumers. Regulatory agencies may further scrutinize our practices with respect to effective communication of risk information, benefits or claims with respect to such products.</w:t>
      </w:r>
    </w:p>
    <w:p>
      <w:pPr>
        <w:spacing w:after="0" w:line="21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7"/>
          <w:szCs w:val="17"/>
          <w:color w:val="auto"/>
        </w:rPr>
        <w:t>Any failure to comply with ongoing regulatory requirements may significantly and adversely affect our ability to commercialize and generate revenue from our products and product candidates. If regulatory sanctions are applied or if regulatory approval is withdrawn, the value of our Company and our operating results may be adversely affected.</w:t>
      </w:r>
    </w:p>
    <w:p>
      <w:pPr>
        <w:spacing w:after="0" w:line="20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w:t>
      </w:r>
    </w:p>
    <w:p>
      <w:pPr>
        <w:spacing w:after="0" w:line="21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Subject to transitional provisions and in order to sell our products in the EU, our products must respectively comply with general safety and performance requirements of the EU MDR and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the Annexes to the EU MDR and EU IVDR including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Except for low-risk medical devices (Class I) or general IVDs (Class A), where the manufacturer can self-assess the conformity of its products with the general safety and performance requirements (except for any parts which relate to sterility, metrology or reuse aspects of a medical device),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standards—ISO 13485:2016 for Quality Management Systems—conform to these requirements). If satisfied that the relevant product conforms to the general safety and performance requirements, the notified body issues a CE certificate, which the manufacturer uses as a basis for its declaration of conformity. The manufacturer may then apply the CE mark to the device, which allows the device to be placed on the market throughout the EU. If we fail to remain in compliance with applicable EU laws, directives or regulations, we would be unable to continue to affix the CE mark to our products, which would prevent us from selling them within the EU and EEA.</w:t>
      </w:r>
    </w:p>
    <w:p>
      <w:pPr>
        <w:spacing w:after="0" w:line="20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2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 xml:space="preserve">The EU regulatory landscape concerning medical devices (including IVDs) is continuously evolving and the new requirements may have a significant effect on the way we conduct our business in the EU and the EEA. Following Brexit, the UK regulatory landscape concerning medical devices (including IVDs) is evolving and may have a significant effect on the way we conduct our business in the UK. See Risk Factors – </w:t>
      </w:r>
      <w:r>
        <w:rPr>
          <w:rFonts w:ascii="Times New Roman" w:cs="Times New Roman" w:eastAsia="Times New Roman" w:hAnsi="Times New Roman"/>
          <w:sz w:val="17"/>
          <w:szCs w:val="17"/>
          <w:i w:val="1"/>
          <w:iCs w:val="1"/>
          <w:color w:val="auto"/>
        </w:rPr>
        <w:t>“Legislative or regulatory reforms in the United States or Europe may make 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more difficult and costly for us to obtain regulatory clearances, approvals or certifications for our products or to manufacture, market or distribute our products after clearance or approval is obtained”.</w:t>
      </w:r>
    </w:p>
    <w:p>
      <w:pPr>
        <w:spacing w:after="0" w:line="22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7"/>
          <w:szCs w:val="17"/>
          <w:b w:val="1"/>
          <w:bCs w:val="1"/>
          <w:color w:val="auto"/>
        </w:rPr>
        <w:t>Development and marketing of our products are subject to strict governmental regulation by foreign regulatory agencies, and failure to receive, or delay in receiving, foreign qualifications or certifications could have a material adverse effect on our business.</w:t>
      </w:r>
    </w:p>
    <w:p>
      <w:pPr>
        <w:spacing w:after="0" w:line="19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anti-gift legislation), duties and tax requirements. Many of the regulations applicable to our devices and products in such countries are similar to those of the FDA.</w:t>
      </w:r>
    </w:p>
    <w:p>
      <w:pPr>
        <w:spacing w:after="0" w:line="22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The advertising and promotion of medical devices is subject to some general principles set forth in the EU legislation. Directive 2006/114/EC concerning misleading and comparative advertising and Directive 2005/29/EC on unfair commercial practices, while not specific to the advertising of medical devices, apply to the advertising thereof and contain general rules, for example, requiring that advertisements be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spacing w:after="0" w:line="201"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7"/>
          <w:szCs w:val="17"/>
          <w:b w:val="1"/>
          <w:bCs w:val="1"/>
          <w:color w:val="auto"/>
        </w:rPr>
        <w:t>Increased regulatory scrutiny of genetic testing may adversely affect our business through increased costs and risks associated with gaining marketing approvals or certifications and potential impact on demand for our genetic testing services.</w:t>
      </w:r>
    </w:p>
    <w:p>
      <w:pPr>
        <w:spacing w:after="0" w:line="20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In the United States, in vitro diagnostic devices (IVDs) are a type of medical device that can be used in the diagnosis or detection of diseases or other conditions. The FDA considers laboratory developed tests (LDTs) to be a subset of IVDs that are designed, manufactured, and used within a single laboratory. Similar tests are also known as In-House Tests (IH-Tests) in the EU and LDTs have historically been subject to enforcement discretion by the FDA and were not previously regulated under the 98/79EC in-vitro diagnostic directive (IVDD) of the EU.</w:t>
      </w:r>
    </w:p>
    <w:p>
      <w:pPr>
        <w:spacing w:after="0" w:line="21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We offer certain genetic testing services to help identify the likelihood of pregnancy as well as identify possible disorders or diseases of a child prior to birth, and we have historically marketed these tests as LDTs in the United States. As a result, our tests may be subject to the FDA’s enforcement of its medical device regulations and the applicable FDCA provisions. On May 6, 2024, the FDA published a final rule on the regulation LDTs, making explicit that LDTs are medical devices under the FDCA. Although since then the FDA has rescinded its prior rule regulating LDTs as medical devices, it is unclear whether the FDA may seek greater oversight of LDTs in other ways, which could increase costs and expenses or otherwise negatively affect our business.</w:t>
      </w:r>
    </w:p>
    <w:p>
      <w:pPr>
        <w:spacing w:after="0" w:line="20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Similarly, in the EU, the regulatory landscape has evolved to include the definition of an IH-Test as is an IVD that is developed and produced by a laboratory on a non-industrial scale and is provided to health institutions in accordance with Article 5 of the EU IVDR. Under such circumstances, many IH-Tests may continue to be exempt from regulation indefinitely or until 2030 in circumstances where commercially available CE marked options exist. Our genetic tests may be subject to the full application of the EU IVDR with respect to some or all of our existing, as well as future, tests if our tests do not qualify for an IH-Test exemption. We may be required to expend additional time and resources to comply with the requirements of the EU IVDR, resulting in additional expenses for offering our current and any future tests as well as possibly delaying or suspending development or commercialization of such tests.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We expect that new proposals or legislative changes may be introduced from time to time both in the U.S. and in foreign countries. Any new FDA enforcement policies affecting LDTs or regulations such as the EU IVDR is likely to result in increased regulatory burden on our ability to continue marketing our genetic products and to develop and introduce new products in the future, which could adversely affect our business.</w:t>
      </w:r>
    </w:p>
    <w:p>
      <w:pPr>
        <w:spacing w:after="0" w:line="21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b w:val="1"/>
          <w:bCs w:val="1"/>
          <w:color w:val="auto"/>
        </w:rPr>
        <w:t>If we fail to comply with applicable federal, state, local and foreign laboratory licensing requirements, we could lose the ability to perform our genetic tests or experience disruptions to our business.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We are subject to the CLIA, a federal law regulating clinical laboratories that perform testing on specimens derived from humans for the purpose of providing information for the diagnosis, prevention or treatment of disease. Our clinical laboratories must be certified under CLIA and ISO 15189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In addition, we are subject to the UK Human Fertilization &amp; Embryology Association (HFEA) regulating IVF. Our laboratories are located in Japan, the United Kingdom and United States, and we must maintain the requisite licenses in each jurisdiction.</w:t>
      </w:r>
    </w:p>
    <w:p>
      <w:pPr>
        <w:spacing w:after="0" w:line="19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Any sanction imposed under CLIA, its implementing regulations, or state or foreign laws or regulations governing licensure, or our failure to renew a CLIA certificate, or a state or foreign license or accreditation, could have a material and adverse effect on our diagnostic testing business, operating results and financial condition. Three federal agencies are responsible for administering the CLIA program in the United States: the CMS, the Centers for Disease Control and Prevention (CDC), and the FDA. The CMS in particular has the authority to impose a wide range of sanctions, including revocation of CLIA certification along with a bar on the ownership or operation of a CLIA-certified laboratory by any owners or operators of the deficient laboratory. If we were to lose our CLIA certification or required state or foreign licensure, we would not be able to operate our clinical laboratory and conduct our tests, worldwide or in particular jurisdictions, which would adversely impact our diagnostic testing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HCT/P products are subject to extensive government regulation and our failure to comply with these requirements could cause our business to suffer.</w:t>
      </w:r>
    </w:p>
    <w:p>
      <w:pPr>
        <w:spacing w:after="0" w:line="24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In the United States, we provide donor egg and sperm for fertility treatments, in addition to fertility cryopreservation services and newborn stem cell storage (cord blood and cord tissue). Donated reproductive tissues, including eggs and sperm, as well as cord blood and cord tissue, are regulated to by the FDA as HCT/Ps. In the United States, we are marketing these HCT/Ps pursuant to Section 361 of the PHSA and 21 C.F.R. Part 1271 of FDA’s regulations. Products subject to regulation as “361 HCT/Ps” are not currently required to obtain marketing authorizations, so long as they meet certain criteria set forth in FDA regulations. However, HCT/Ps regulated as 361 HCT/Ps are currently subject to requirements relating to registering facilities and listing products with the FDA, as well as stringent requirements relating to processing, storing, labeling and distributing HCT/Ps, including, screening and testing for tissue donor eligibility, providing required labeling information, record keeping and adverse event reporting. If we fail to comply with these requirements, we could be subject to FDA allegations of noncompliance or enforcement action, including, for example, warning letters, fines, injunctions, product recalls or seizures, and, in the most serious cases, criminal penalties. To be regulated as 361 HCT/Ps, these products must meet the FDA’s criteria to be considered “minimally manipulated” and intended for “homologous use,” among other requirements. HCT/Ps that do not meet the criteria to be considered 361 HCT/Ps are subject to the FDA’s regulatory requirements applicable to medical devices, biologics or drugs, including, importantly, the requirement for premarket review and approval or clearance prior to marketing.</w:t>
      </w:r>
    </w:p>
    <w:p>
      <w:pPr>
        <w:spacing w:after="0" w:line="21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We believe our HCT/Ps are regulated solely under Section 361 of the PHSA, and therefore, we have not sought or obtained 510(k) clearance, PMA approval, or licensure through a Biologics License Application (BLA) for such HCT/Ps. However, the FDA could disagree with our determination that these human tissue products are 361 HCT/Ps and could determine that these products are biologics requiring a BLA or medical devices requiring 510(k) clearance or PMA approval, and could require that we cease marketing such products and/or recall them pending appropriate clearance, approval or licensure from the FDA, which would adversely affect our business.</w:t>
      </w:r>
    </w:p>
    <w:p>
      <w:pPr>
        <w:spacing w:after="0" w:line="21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In addition, the FDA may in the future modify the scope of its enforcement discretion with respect to 361 HCT/Ps or change its position on which current or future products qualify as 361 HCT/Ps, or determine that some or all of our HCT/P products may not be lawfully marketed without a marketing authorization. Any regulatory changes could have adverse consequences for us and make it more difficult or expensive for us to conduct our business by requiring pre-market clearance or approval and compliance with additional post-market regulatory requirements with respect to those products.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b w:val="1"/>
          <w:b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21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The ability of the FDA, foreign agencies and notified bodies to review and clear, approve or certify new products can be affected by a variety of factors, including government budget and funding levels, statutory, regulatory, and policy changes, the FDA’s, foreign agencies’ and notified bodies’ ability to hire and retain key personnel and accept the payment of user fees, and other events that may otherwise affect the FDA’s, foreign agencies’ and notified bodies’ ability to perform routine functions. Average review times at the FDA, foreign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agencies and notified bodies and other agencies may also slow the time necessary for new drugs and medical devices or modifications to cleared or approved drugs and medical devices to be reviewed, approved and/or certified by necessary government agencies or notified bodies, which would adversely affect our business. For example, over the last several years, the United States government has shut down several times and certain regulatory agencies, such as the FDA, have had to furlough critical employees and stop critical activities.</w:t>
      </w:r>
    </w:p>
    <w:p>
      <w:pPr>
        <w:spacing w:after="0" w:line="21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7"/>
          <w:szCs w:val="17"/>
          <w:color w:val="auto"/>
        </w:rPr>
        <w:t>Ongoing federal efforts to streamline government operations, including agency-wide efficiency programs, may further impact the resources and staffing levels available to the FDA. These changes could result in longer review times for our regulatory submissions. Any delays or disruptions in FDA review processes could adversely affect our product development timelines, market entry strategies, and overall business performance.</w:t>
      </w:r>
    </w:p>
    <w:p>
      <w:pPr>
        <w:spacing w:after="0" w:line="21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In the EU, notified bodies must be officially designated to certify products and services in accordance with the EU MDR and EU IVDR. Their designation process, which is significantly stricter under the new Regulations, has experienced considerable delays. Despite a recent increase in designations, the current number of notified bodies designated under the new Regulations remains significantly lower than the number of notified bodies designated under the previous regimes. The current designated notified bodies are, therefore, facing a backlog of requests, and review times have lengthened. This situation may impact the ability of our notified body to timely review and process our regulatory submissions and perform its audits.</w:t>
      </w:r>
    </w:p>
    <w:p>
      <w:pPr>
        <w:spacing w:after="0" w:line="20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color w:val="auto"/>
        </w:rPr>
        <w:t>Ethical, legal and social concerns related to the use of genetic information, sperm and egg selection services and stem cells could reduce demand for our service offerings.</w:t>
      </w:r>
    </w:p>
    <w:p>
      <w:pPr>
        <w:spacing w:after="0" w:line="19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Genetic testing, sperm and egg selection services and the use of stem cells have raised ethical, legal and social issues regarding privacy and the appropriate uses of information related to these services. Government authorities could, for social or other purposes, limit or regulate the use of genetic information or genetic testing or prohibit testing for genetic predisposition to certain conditions, particularly for those that have no known cure. They also could limit, regulate or prohibit (1) sperm and egg selection services or (2) the use of stem cells. Ethical, legal or social concerns may lead patients to refuse to use, or physicians to be reluctant to order or recommend, genetic tests, sperm and egg selection services and stem cell storage services even if permissible. These and other ethical, legal and social concerns may limit market acceptance and adoption of our service offerings or reduce the potential markets for our service offerings, either of which could have an adverse effect on our business, financial condition and results of operations.</w:t>
      </w:r>
    </w:p>
    <w:p>
      <w:pPr>
        <w:spacing w:after="0" w:line="2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b w:val="1"/>
          <w:bCs w:val="1"/>
          <w:color w:val="auto"/>
        </w:rPr>
        <w:t>The costs of complying with the requirements of federal, state and foreign laws pertaining to the privacy and security of personal information, including health related information and the potential liability associated with failure to do so could materially adversely affect our business.</w:t>
      </w:r>
    </w:p>
    <w:p>
      <w:pPr>
        <w:spacing w:after="0" w:line="192"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7"/>
          <w:szCs w:val="17"/>
          <w:color w:val="auto"/>
        </w:rPr>
        <w:t>Numerous laws and regulations govern the collection, dissemination, use, privacy, confidentiality, security, availability and integrity of personally identifiable information (PII), including protected health information (PHI). We collect and process PII in multiple ways in our various business lines and are subject to risk associated with compliance with many of these laws and regulations. Some of our businesses expose us to increasingly stringent regulations for handling personal information (where, for example, we collect or process PII deemed to be sensitive by regulatory authorities, such as PHI).</w:t>
      </w:r>
    </w:p>
    <w:p>
      <w:pPr>
        <w:spacing w:after="0" w:line="20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Under U.S. law, HIPAA establishes national privacy and security standards for protection of PHI by covered entities and the business associates with whom such entities contract for services. HIPAA requires both covered entities and business associates to develop and maintain policies and procedures for PHI that is used or disclosed, and to adopt administrative, physical and technical safeguards to protect PHI.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We maintain technical, organizational and contractual safeguards that we believe are reasonable and appropriate to protect the privacy and security of PHI and other personally identifiable information consistent with applicable laws and our contractual obligations; however, we may not be able to prevent incidences of inappropriate use or unauthorized access to PHI by our employees, contractors or external factors, despite the safeguards. Any such breaches of our systems or those of our vendors, customers or other third parties could result in exposure to liability under federal and state laws and/or under our contractual arrangements and could adversely impact our business.</w:t>
      </w:r>
    </w:p>
    <w:p>
      <w:pPr>
        <w:spacing w:after="0" w:line="21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We are also subject to various other laws in the United States such as Section 5(a) of the Federal Trade Commission Act, which requires a company’s data security measures to be reasonable and appropriate in light of the sensitivity and volume of consumer information it holds, the size and complexity of its business, and the cost of available tools to improve security and reduce vulnerabilities and the CCPA,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Similar laws have been enacted in other states and proposed at the federal level, and such laws may have potentially conflicting requirements that make compliance challenging.</w:t>
      </w:r>
    </w:p>
    <w:p>
      <w:pPr>
        <w:spacing w:after="0" w:line="19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We are also subject to laws and regulations in countries other than United States covering data privacy and the protection of health-related and other personal information. EU and EEA member states and other jurisdictions have adopted data protection laws and regulations, which impose significant compliance obligations. For example, the GDPR imposes stringent operational requirements for processors and controllers of personal data in the context of an establishment in the EEA or the processing of personal data of individuals within the EEA and increases the scrutiny of transfer of personal data from the EEA. Following the UK's withdrawal from the EEA and the EU, and the expiry of the transition period, companies will have to comply with the GDPR and the GDPR as incorporated into the UK national law (the UK GDPR). In addition, countries of the EEA may impose further obligations relating to the processing of genetic, biometric or health data, which could further add to our compliance costs and limit how we process this information. Some of the personal data we process in respect of clinical trial participants is special category or sensitive personal data under the GDPR, and subject to additional compliance obligations and to local law derogations. We may be subject to diverging requirements under EU member state laws and UK law. We are also subject to China's Personal Information Protection Law (PIPL), which imposes requirements regarding processing PII, data localization and cross-border transfers of PII, as well as a number of other laws in the Asia Pacific area. As these laws develop, we may need to make operational changes to adapt to these diverging rules, which could increase our costs and adversely affect our business.</w:t>
      </w:r>
    </w:p>
    <w:p>
      <w:pPr>
        <w:spacing w:after="0" w:line="21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Any failure or perceived failure by us to comply with privacy or security laws, policies, legal obligations or industry standards or any security incident that results in the unauthorized release or transfer of PII may result in governmental enforcement actions and investigations including by European Data Protection Supervisory Authorities, fines and penalties, litigation, orders to cease or change our data processing activities, enforcement notices, assessment notices for a compulsory audit and/or civil claims (including class actions), adverse publicity and reputational damage. 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 could in turn have a material adverse effect on our business.</w:t>
      </w:r>
    </w:p>
    <w:p>
      <w:pPr>
        <w:spacing w:after="0" w:line="21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When we acquire companies or business that engage in personal data processing, we may become subject to additional regulation or scrutiny, particularly if such activity is different in nature from what we have done in the past. For example, with the recent addition of cord blood and cord tissue storage (and other cryostorage) businesses, we interact directly with our customers and collect and maintain personal information regarding our customers and donors. Acquisitions like this could subject us to additional regulatory and consumer liability risk and the cost of analyzing and integrating new privacy compliance programs.</w:t>
      </w:r>
    </w:p>
    <w:p>
      <w:pPr>
        <w:spacing w:after="0" w:line="22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7"/>
          <w:szCs w:val="17"/>
          <w:b w:val="1"/>
          <w:bCs w:val="1"/>
          <w:color w:val="auto"/>
        </w:rPr>
        <w:t>Changes in legislation and government regulation of the health care industry both in the United States and internationally, as well as third-party payors' efforts to control the costs of health care could materially adversely affect our business.</w:t>
      </w:r>
    </w:p>
    <w:p>
      <w:pPr>
        <w:spacing w:after="0" w:line="15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The ACA made extensive changes to the delivery of health care in the United States. Among the provisions of the ACA, of greatest importance to the medical device industry and pharmaceutical industry are the following:</w:t>
      </w:r>
    </w:p>
    <w:p>
      <w:pPr>
        <w:spacing w:after="0" w:line="209" w:lineRule="exact"/>
        <w:rPr>
          <w:sz w:val="20"/>
          <w:szCs w:val="20"/>
          <w:color w:val="auto"/>
        </w:rPr>
      </w:pPr>
    </w:p>
    <w:p>
      <w:pPr>
        <w:ind w:left="320" w:right="100" w:hanging="315"/>
        <w:spacing w:after="0" w:line="266" w:lineRule="auto"/>
        <w:tabs>
          <w:tab w:leader="none" w:pos="31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the Patient-Centered Outcomes Research Institute to oversee, identify priorities in, and conduct comparative clinical effectiveness research, along with funding for such research;</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right="880" w:hanging="315"/>
        <w:spacing w:after="0" w:line="266" w:lineRule="auto"/>
        <w:tabs>
          <w:tab w:leader="none" w:pos="3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system reforms including a national pilot program on payment bundling to encourage hospitals, physicians and other providers to improve the coordination, quality and efficiency of certain health care services through bundled payment models;</w:t>
      </w:r>
    </w:p>
    <w:p>
      <w:pPr>
        <w:spacing w:after="0" w:line="64" w:lineRule="exact"/>
        <w:rPr>
          <w:rFonts w:ascii="Times New Roman" w:cs="Times New Roman" w:eastAsia="Times New Roman" w:hAnsi="Times New Roman"/>
          <w:sz w:val="17"/>
          <w:szCs w:val="17"/>
          <w:color w:val="auto"/>
        </w:rPr>
      </w:pPr>
    </w:p>
    <w:p>
      <w:pPr>
        <w:ind w:left="320" w:right="240" w:hanging="315"/>
        <w:spacing w:after="0" w:line="282" w:lineRule="auto"/>
        <w:tabs>
          <w:tab w:leader="none" w:pos="3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a Center for Medicare &amp; Medicaid Innovation at CMS to test innovative payment and service delivery models to lower Medicare and Medicaid spending; and</w:t>
      </w:r>
    </w:p>
    <w:p>
      <w:pPr>
        <w:spacing w:after="0" w:line="52" w:lineRule="exact"/>
        <w:rPr>
          <w:rFonts w:ascii="Times New Roman" w:cs="Times New Roman" w:eastAsia="Times New Roman" w:hAnsi="Times New Roman"/>
          <w:sz w:val="17"/>
          <w:szCs w:val="17"/>
          <w:color w:val="auto"/>
        </w:rPr>
      </w:pPr>
    </w:p>
    <w:p>
      <w:pPr>
        <w:ind w:left="320" w:right="220" w:hanging="315"/>
        <w:spacing w:after="0" w:line="266" w:lineRule="auto"/>
        <w:tabs>
          <w:tab w:leader="none" w:pos="3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statutory minimum rebates a manufacturer must pay under the Medicaid Drug Rebate Program to 23.1% and 13% of the average manufacturer price for most branded and generic drugs, respectively.</w:t>
      </w:r>
    </w:p>
    <w:p>
      <w:pPr>
        <w:spacing w:after="0" w:line="19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7"/>
          <w:szCs w:val="17"/>
          <w:color w:val="auto"/>
        </w:rPr>
        <w:t>These measures could result in decreased net revenues or increased expenses from our fertility, office and surgical portfolios and decrease potential returns from our development efforts.</w:t>
      </w:r>
    </w:p>
    <w:p>
      <w:pPr>
        <w:spacing w:after="0" w:line="20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Other legislative changes which impact the medical device and pharmaceutical industry have been proposed and adopted since the ACA was enacted, including, the Budget Control Act of 2011, which, among other things, included aggregate reductions to Medicare payments to providers and the Medicare Access and CHIP Reauthorization Act of 2015, which, among other things, replaced and changed the formula by which Medicare made annual payment adjustments to physicians and the American Rescue Plan Act of 2021, which eliminated the statutory Medicaid drug rebate cap.</w:t>
      </w:r>
    </w:p>
    <w:p>
      <w:pPr>
        <w:spacing w:after="0" w:line="21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In foreign countries where we market our products, recent healthcare reform has taken place as well. For instance, in December 2021, the EU Regulation No 2021/2282 on Health Technology Assessment (HTA) amending Directive 2011/24/EU was adopted.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213"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7"/>
          <w:szCs w:val="17"/>
          <w:color w:val="auto"/>
        </w:rPr>
        <w:t>We expect that additional state, federal and foreign health care reform measures will be adopted in the future, including those initiatives affecting coverage and reimbursement for our products, any of which could limit the amounts that federal state and foreign governments will pay for health care products and services, which could adversely affect the growth of the market for our products or demand for our products, or result in additional pricing pressures. Also, any adoption of health care reform proposals on a state-by-state basis could require us to develop state-specific marketing and sales approaches. We cannot predict the effect such reforms or the prospect of their enactment may have on our business.</w:t>
      </w:r>
    </w:p>
    <w:p>
      <w:pPr>
        <w:spacing w:after="0" w:line="21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In addition, third-party payors, whether governmental or commercial, whether inside the United States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w:t>
      </w:r>
    </w:p>
    <w:p>
      <w:pPr>
        <w:spacing w:after="0" w:line="22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 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Laws pertaining to health care fraud and abuse could materially adversely affect our business.</w:t>
      </w:r>
    </w:p>
    <w:p>
      <w:pPr>
        <w:spacing w:after="0" w:line="2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 may be subject to various federal, state and foreign laws pertaining to health care fraud and abuse, including anti-kickback, physician self-referral false claims and physician payment transparency laws and regulations. These laws may constrain the business or financial arrangements and relationships through which we conduct our operations, including our commercial laboratory operations and how we research, market, sell and distribute any products for which we obtain marketing approval. Such laws include:</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0" w:right="100" w:hanging="320"/>
        <w:spacing w:after="0" w:line="251" w:lineRule="auto"/>
        <w:tabs>
          <w:tab w:leader="none" w:pos="6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210" w:lineRule="exact"/>
        <w:rPr>
          <w:rFonts w:ascii="Times New Roman" w:cs="Times New Roman" w:eastAsia="Times New Roman" w:hAnsi="Times New Roman"/>
          <w:sz w:val="17"/>
          <w:szCs w:val="17"/>
          <w:color w:val="auto"/>
        </w:rPr>
      </w:pPr>
    </w:p>
    <w:p>
      <w:pPr>
        <w:ind w:left="640" w:right="100" w:hanging="320"/>
        <w:spacing w:after="0" w:line="251" w:lineRule="auto"/>
        <w:tabs>
          <w:tab w:leader="none" w:pos="6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prohibitions, commonly known as the Stark Law, which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210" w:lineRule="exact"/>
        <w:rPr>
          <w:rFonts w:ascii="Times New Roman" w:cs="Times New Roman" w:eastAsia="Times New Roman" w:hAnsi="Times New Roman"/>
          <w:sz w:val="17"/>
          <w:szCs w:val="17"/>
          <w:color w:val="auto"/>
        </w:rPr>
      </w:pPr>
    </w:p>
    <w:p>
      <w:pPr>
        <w:ind w:left="640" w:hanging="320"/>
        <w:spacing w:after="0" w:line="249" w:lineRule="auto"/>
        <w:tabs>
          <w:tab w:leader="none" w:pos="6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or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or Stark Law constitutes a false or fraudulent claim for purposes of the civil False Claims Act;</w:t>
      </w:r>
    </w:p>
    <w:p>
      <w:pPr>
        <w:spacing w:after="0" w:line="212" w:lineRule="exact"/>
        <w:rPr>
          <w:rFonts w:ascii="Times New Roman" w:cs="Times New Roman" w:eastAsia="Times New Roman" w:hAnsi="Times New Roman"/>
          <w:sz w:val="17"/>
          <w:szCs w:val="17"/>
          <w:color w:val="auto"/>
        </w:rPr>
      </w:pPr>
    </w:p>
    <w:p>
      <w:pPr>
        <w:ind w:left="640" w:right="20" w:hanging="320"/>
        <w:spacing w:after="0" w:line="255" w:lineRule="auto"/>
        <w:tabs>
          <w:tab w:leader="none" w:pos="6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among other things, authorizes the imposition of civil monetary penalties, assessments, and exclusion against an individual or entity based on a variety of prohibited conduct, including, but not limited to, offering remuneration to a federal healthcare program beneficiary that the individual or entity knows or should know is likely to influence the beneficiary to order or receive healthcare items or services from a particular provider;</w:t>
      </w:r>
    </w:p>
    <w:p>
      <w:pPr>
        <w:spacing w:after="0" w:line="205" w:lineRule="exact"/>
        <w:rPr>
          <w:rFonts w:ascii="Times New Roman" w:cs="Times New Roman" w:eastAsia="Times New Roman" w:hAnsi="Times New Roman"/>
          <w:sz w:val="17"/>
          <w:szCs w:val="17"/>
          <w:color w:val="auto"/>
        </w:rPr>
      </w:pPr>
    </w:p>
    <w:p>
      <w:pPr>
        <w:ind w:left="640" w:right="100" w:hanging="320"/>
        <w:spacing w:after="0" w:line="251" w:lineRule="auto"/>
        <w:tabs>
          <w:tab w:leader="none" w:pos="6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10" w:lineRule="exact"/>
        <w:rPr>
          <w:rFonts w:ascii="Times New Roman" w:cs="Times New Roman" w:eastAsia="Times New Roman" w:hAnsi="Times New Roman"/>
          <w:sz w:val="17"/>
          <w:szCs w:val="17"/>
          <w:color w:val="auto"/>
        </w:rPr>
      </w:pPr>
    </w:p>
    <w:p>
      <w:pPr>
        <w:ind w:left="640" w:hanging="320"/>
        <w:spacing w:after="0" w:line="247" w:lineRule="auto"/>
        <w:tabs>
          <w:tab w:leader="none" w:pos="6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certain non-physician practitioners including physician assistants and nurse practitioners, and teaching hospitals, as well as ownership and investment interests held by physicians and their immediate family members; and</w:t>
      </w:r>
    </w:p>
    <w:p>
      <w:pPr>
        <w:spacing w:after="0" w:line="226" w:lineRule="exact"/>
        <w:rPr>
          <w:rFonts w:ascii="Times New Roman" w:cs="Times New Roman" w:eastAsia="Times New Roman" w:hAnsi="Times New Roman"/>
          <w:sz w:val="17"/>
          <w:szCs w:val="17"/>
          <w:color w:val="auto"/>
        </w:rPr>
      </w:pPr>
    </w:p>
    <w:p>
      <w:pPr>
        <w:jc w:val="both"/>
        <w:ind w:left="640" w:right="40" w:hanging="320"/>
        <w:spacing w:after="0" w:line="249" w:lineRule="auto"/>
        <w:tabs>
          <w:tab w:leader="none" w:pos="6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self-pay patients; some state laws that require biotechnology companies to comply with the industry’s voluntary compliance guidelines and the relevant compliance guidance promulgated by the federal government and may require drug and device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of sales representatives.</w:t>
      </w:r>
    </w:p>
    <w:p>
      <w:pPr>
        <w:spacing w:after="0" w:line="21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In addition, federal government price reporting laws, among other things,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and potentially limit our ability to offer certain marketplace discounts.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Because of the complex and far-reaching nature of these laws, we cannot be assured that we would not be required to alter one or more of our practices to be in compliance with these laws. 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Interest and Foreign Exchange Rates, Debt and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rate fluctuations and foreign currency hedges could adversely affect our financial results.</w:t>
      </w:r>
    </w:p>
    <w:p>
      <w:pPr>
        <w:spacing w:after="0" w:line="24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As a result of our international operations, currency exchange rate fluctuations may affect our results of operations and financial position. Our most significant currency exposures are the British pound, Euro and Japanese yen. We expect to generate an increasing portion of our revenue and incur a significant portion of our expenses in currencies other than U.S. dollars. To the extent we are unable to materially offset non-functional currency flows, exchange rate fluctuations could 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stockholders to understand the relative strengths or weaknesses of the underlying business on a period-over-period comparative basis. Although we may enter into foreign exchange agreements with financial institutions to reduce our net exposure to fluctuations in foreign currency values relative to our non-functional currency obligations or balances, they would not eliminate that risk entirely.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vulnerable to interest rate risk with respect to our debt.</w:t>
      </w:r>
    </w:p>
    <w:p>
      <w:pPr>
        <w:spacing w:after="0" w:line="2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We are subject to interest rate risk in connection with the issuance of variable and fixed-rate debt. In order to maintain a desired mix of fixed-rate and variable-rate debt, from time to time we may use interest rate swap agreements to fix a portion of our variable-rate debt as further described in Note 13. Financial Derivatives and Hedging of the Consolidated Financial Statements. We may not be successful in structuring such swap agreements to manage our risks effectively, which could adversely affect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indebtedness could adversely affect our financial health and prevent us from fulfilling our debt obligations.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now and expect to continue to have a significant amount of indebtedness.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indebtedness could:</w:t>
      </w:r>
    </w:p>
    <w:p>
      <w:pPr>
        <w:spacing w:after="0" w:line="237" w:lineRule="exact"/>
        <w:rPr>
          <w:sz w:val="20"/>
          <w:szCs w:val="20"/>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106" w:lineRule="exact"/>
        <w:rPr>
          <w:rFonts w:ascii="Times New Roman" w:cs="Times New Roman" w:eastAsia="Times New Roman" w:hAnsi="Times New Roman"/>
          <w:sz w:val="17"/>
          <w:szCs w:val="17"/>
          <w:color w:val="auto"/>
        </w:rPr>
      </w:pPr>
    </w:p>
    <w:p>
      <w:pPr>
        <w:ind w:left="320" w:right="140" w:hanging="315"/>
        <w:spacing w:after="0" w:line="266" w:lineRule="auto"/>
        <w:tabs>
          <w:tab w:leader="none" w:pos="31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spacing w:after="0" w:line="64"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competitors that have less debt;</w:t>
      </w:r>
    </w:p>
    <w:p>
      <w:pPr>
        <w:spacing w:after="0" w:line="119"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greater interest rate risk and volatility;</w:t>
      </w:r>
    </w:p>
    <w:p>
      <w:pPr>
        <w:spacing w:after="0" w:line="10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borrow additional funds; and</w:t>
      </w:r>
    </w:p>
    <w:p>
      <w:pPr>
        <w:spacing w:after="0" w:line="106" w:lineRule="exact"/>
        <w:rPr>
          <w:rFonts w:ascii="Times New Roman" w:cs="Times New Roman" w:eastAsia="Times New Roman" w:hAnsi="Times New Roman"/>
          <w:sz w:val="17"/>
          <w:szCs w:val="17"/>
          <w:color w:val="auto"/>
        </w:rPr>
      </w:pPr>
    </w:p>
    <w:p>
      <w:pPr>
        <w:ind w:left="320" w:right="80" w:hanging="315"/>
        <w:spacing w:after="0" w:line="266" w:lineRule="auto"/>
        <w:tabs>
          <w:tab w:leader="none" w:pos="31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obligations with respect to our debt, including our obligation to repay our credit facilities under certain circumstances, or refinance our indebtedness on favorable terms or at all.</w:t>
      </w:r>
    </w:p>
    <w:p>
      <w:pPr>
        <w:spacing w:after="0" w:line="196"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7"/>
          <w:szCs w:val="17"/>
          <w:color w:val="auto"/>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Volatility in the securities markets, interest rates, and other factors could substantially increase our defined benefit plan costs.</w:t>
      </w:r>
    </w:p>
    <w:p>
      <w:pPr>
        <w:spacing w:after="0" w:line="24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We sponsor a defined benefit plan for certain employees in the United States. This defined benefit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plan and cause volatility in the net periodic benefit cost and future funding requirements of the plan. A significant increase in our obligations or future funding requirements could increase our cash requirements and adversely affect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Taxes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tax laws, examinations by tax authorities, and changes in our geographic composition of income could adversely affect our financial results.</w:t>
      </w:r>
    </w:p>
    <w:p>
      <w:pPr>
        <w:spacing w:after="0" w:line="24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7"/>
          <w:szCs w:val="17"/>
          <w:color w:val="auto"/>
        </w:rPr>
        <w:t>We are subject to U.S. and foreign tax laws that may change. The base erosion and profit shifting (BEPS) project undertaken by the Organisation for Economic Co-operation and Development (OECD) includes Pillar Two, a global minimum tax rate of 15% that may adversely affect our provision for income taxes.</w:t>
      </w:r>
    </w:p>
    <w:p>
      <w:pPr>
        <w:spacing w:after="0" w:line="18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7"/>
          <w:szCs w:val="17"/>
          <w:color w:val="auto"/>
        </w:rPr>
        <w:t>We are subject to the examination of our tax returns and other matters by tax authorities. Tax authorities could challenge our positions related to transfer pricing and intercompany transactions, including the valuation of intangible assets. Tax examinations can result in costly litigation with significant interest and penalties and ultimate settlement can take several years. For example, we have engaged (and expect to continue to engage) with tax authorities over tax positions we have taken in connection with our acquisitions, and such examinations could cause us to incur significant expense (and adverse determinations by the tax authority could result in penalties) which could have an adverse effect on our financial results.</w:t>
      </w:r>
    </w:p>
    <w:p>
      <w:pPr>
        <w:spacing w:after="0" w:line="22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6"/>
          <w:szCs w:val="16"/>
          <w:color w:val="auto"/>
        </w:rPr>
        <w:t>Our effective tax rate could fluctuate based on the geographic composition of income, which could significantly change based on our business results and acquisitions. Our effective tax rate could also fluctuate based on changes in estimates, changes in excess tax benefits from share-based compensation, changes in nondeductible expenses, changes in tax laws and the valuation of deferred tax assets and liabilities. These fluctuations could have an adverse effect on our financial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Cybersecurity Risk Management and Strategy</w:t>
      </w:r>
    </w:p>
    <w:p>
      <w:pPr>
        <w:spacing w:after="0" w:line="24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7"/>
          <w:szCs w:val="17"/>
          <w:color w:val="auto"/>
        </w:rPr>
        <w:t>We have developed and implemented a cybersecurity risk management program intended to protect the confidentiality, integrity, and availability of our information assets and communication networks and mitigate risks to our assets, data, employees and customers. Our cybersecurity risk management program includes a cybersecurity incident response plan which is regularly updated to include structured processes encompassing preparation, identification, notification, containment, analysis, eradication, recovery and follow up.</w:t>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designed and assessed our program based on the Center for Internet Security Critical Security Controls (CIS Controls) and Safeguards. This does not imply that we meet any particular technical standards, specifications, or requirements, only that we use the CIS Controls as a guide to help us identify, assess, and manage cybersecurity risks relevant to our business.</w:t>
      </w:r>
    </w:p>
    <w:p>
      <w:pPr>
        <w:spacing w:after="0" w:line="20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237" w:lineRule="exact"/>
        <w:rPr>
          <w:sz w:val="20"/>
          <w:szCs w:val="20"/>
          <w:color w:val="auto"/>
        </w:rPr>
      </w:pPr>
    </w:p>
    <w:p>
      <w:pPr>
        <w:ind w:left="640" w:right="620" w:hanging="320"/>
        <w:spacing w:after="0" w:line="266" w:lineRule="auto"/>
        <w:tabs>
          <w:tab w:leader="none" w:pos="6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responsibility for inventory and control of enterprise and software assets, technical and administrative controls and testing of our controls and security measures;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left="640" w:right="240" w:hanging="320"/>
        <w:spacing w:after="0" w:line="266" w:lineRule="auto"/>
        <w:tabs>
          <w:tab w:leader="none" w:pos="63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IT environment;</w:t>
      </w:r>
    </w:p>
    <w:p>
      <w:pPr>
        <w:spacing w:after="0" w:line="196" w:lineRule="exact"/>
        <w:rPr>
          <w:rFonts w:ascii="Times New Roman" w:cs="Times New Roman" w:eastAsia="Times New Roman" w:hAnsi="Times New Roman"/>
          <w:sz w:val="17"/>
          <w:szCs w:val="17"/>
          <w:color w:val="auto"/>
        </w:rPr>
      </w:pPr>
    </w:p>
    <w:p>
      <w:pPr>
        <w:ind w:left="640" w:right="600" w:hanging="320"/>
        <w:spacing w:after="0" w:line="282" w:lineRule="auto"/>
        <w:tabs>
          <w:tab w:leader="none" w:pos="63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security team principally responsible for managing (1) our cybersecurity risk assessment processes, (2) our security controls, and (3) our response to cybersecurity incidents;</w:t>
      </w:r>
    </w:p>
    <w:p>
      <w:pPr>
        <w:spacing w:after="0" w:line="183" w:lineRule="exact"/>
        <w:rPr>
          <w:rFonts w:ascii="Times New Roman" w:cs="Times New Roman" w:eastAsia="Times New Roman" w:hAnsi="Times New Roman"/>
          <w:sz w:val="17"/>
          <w:szCs w:val="17"/>
          <w:color w:val="auto"/>
        </w:rPr>
      </w:pPr>
    </w:p>
    <w:p>
      <w:pPr>
        <w:ind w:left="640" w:right="440" w:hanging="320"/>
        <w:spacing w:after="0" w:line="266" w:lineRule="auto"/>
        <w:tabs>
          <w:tab w:leader="none" w:pos="63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security controls, including monitoring and alerting;</w:t>
      </w:r>
    </w:p>
    <w:p>
      <w:pPr>
        <w:spacing w:after="0" w:line="196"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employees, incident response personnel, and senior management; and</w:t>
      </w:r>
    </w:p>
    <w:p>
      <w:pPr>
        <w:spacing w:after="0" w:line="23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w:t>
      </w:r>
    </w:p>
    <w:p>
      <w:pPr>
        <w:spacing w:after="0" w:line="25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9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Cybersecurity Governance</w:t>
      </w: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Our Board of Directors considers cybersecurity risk as part of its risk oversight function and has delegated oversight of cybersecurity and other information technology risks to the Audit Committee. The Audit Committee oversees management’s implementation of our cybersecurity risk management program.</w:t>
      </w:r>
    </w:p>
    <w:p>
      <w:pPr>
        <w:spacing w:after="0" w:line="19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The Audit Committee receives regular reports from management on our cybersecurity risks and reviews our cybersecurity program on at least an annual basis, or more frequently as necessary or advisable. In addition, the Audit Committee is informed, as necessary, regarding material cybersecurity incidents, as well as incidents with lesser impact potential.</w:t>
      </w:r>
    </w:p>
    <w:p>
      <w:pPr>
        <w:spacing w:after="0" w:line="1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7"/>
          <w:szCs w:val="17"/>
          <w:color w:val="auto"/>
        </w:rPr>
        <w:t>The Audit Committee reports to the full Board of Directors regarding its activities, including those related to cybersecurity. The Board of Directors also receives an annual briefing from our Chief Information Officer, or CIO, on our cybersecurity program, including risks and priorities.</w:t>
      </w:r>
    </w:p>
    <w:p>
      <w:pPr>
        <w:spacing w:after="0" w:line="19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Our cybersecurity program is led by our CIO, who has over 25 years of experience in information technology. Our CIO leads a credentialed and experienced Information Security team who has primary responsibility for our overall cybersecurity risk management program and who supervises both our internal cybersecurity personnel and our retained external cybersecurity consultants. Our Enterprise Risk Leadership Team, including our Chief Operating Officer &amp; General Counsel, and the Chief Financial Officer, is responsible for assessing and managing our material enterprise risks, including risks from cybersecurity threats.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Our Information Security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following is a summary of Cooper's principal facilities as of October 31, 2025. We generally lease our office and operations facilities but own several manufacturing and research and development facilities, including 332,172 square feet in the United Kingdom, 347,329 square feet in Costa Rica, 115,000 square feet in Puerto Rico, 512,854 square feet in New York, 80,000 square feet in Arizona and 34,453 square feet in Texas. The following table lists those properties that we lease. Our lease agreements expire at various dates through the year 2045. We believe our properties are suitable and adequate for our businesses.</w:t>
      </w:r>
    </w:p>
    <w:p>
      <w:pPr>
        <w:spacing w:after="0" w:line="80"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7"/>
          <w:szCs w:val="17"/>
          <w:b w:val="1"/>
          <w:bCs w:val="1"/>
          <w:u w:val="single" w:color="auto"/>
          <w:color w:val="auto"/>
        </w:rPr>
        <w:t>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36130" cy="349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349885"/>
                    </a:xfrm>
                    <a:prstGeom prst="rect">
                      <a:avLst/>
                    </a:prstGeom>
                    <a:noFill/>
                  </pic:spPr>
                </pic:pic>
              </a:graphicData>
            </a:graphic>
          </wp:anchor>
        </w:drawing>
      </w:r>
    </w:p>
    <w:p>
      <w:pPr>
        <w:jc w:val="center"/>
        <w:ind w:right="5260"/>
        <w:spacing w:after="0" w:line="197" w:lineRule="auto"/>
        <w:rPr>
          <w:sz w:val="20"/>
          <w:szCs w:val="20"/>
          <w:color w:val="auto"/>
        </w:rPr>
      </w:pPr>
      <w:r>
        <w:rPr>
          <w:rFonts w:ascii="Times New Roman" w:cs="Times New Roman" w:eastAsia="Times New Roman" w:hAnsi="Times New Roman"/>
          <w:sz w:val="17"/>
          <w:szCs w:val="17"/>
          <w:b w:val="1"/>
          <w:bCs w:val="1"/>
          <w:color w:val="auto"/>
        </w:rPr>
        <w:t>Leased</w:t>
      </w: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880" w:type="dxa"/>
            <w:vAlign w:val="bottom"/>
            <w:gridSpan w:val="2"/>
            <w:vMerge w:val="restart"/>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Location</w:t>
            </w: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0" w:type="dxa"/>
            <w:vAlign w:val="bottom"/>
            <w:gridSpan w:val="2"/>
            <w:vMerge w:val="restart"/>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Operations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940" w:type="dxa"/>
            <w:vAlign w:val="bottom"/>
            <w:gridSpan w:val="5"/>
          </w:tcPr>
          <w:p>
            <w:pPr>
              <w:jc w:val="right"/>
              <w:ind w:right="420"/>
              <w:spacing w:after="0" w:line="131" w:lineRule="exact"/>
              <w:rPr>
                <w:sz w:val="20"/>
                <w:szCs w:val="20"/>
                <w:color w:val="auto"/>
              </w:rPr>
            </w:pPr>
            <w:r>
              <w:rPr>
                <w:rFonts w:ascii="Times New Roman" w:cs="Times New Roman" w:eastAsia="Times New Roman" w:hAnsi="Times New Roman"/>
                <w:sz w:val="15"/>
                <w:szCs w:val="15"/>
                <w:b w:val="1"/>
                <w:bCs w:val="1"/>
                <w:color w:val="auto"/>
              </w:rPr>
              <w:t>Square Feet</w:t>
            </w:r>
          </w:p>
        </w:tc>
        <w:tc>
          <w:tcPr>
            <w:tcW w:w="7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AMERICAS</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7"/>
                <w:szCs w:val="17"/>
                <w:color w:val="auto"/>
              </w:rPr>
              <w:t>California</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119,433</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Executive offices; CooperVision manufacturing and administrative offices; CooperSurgical research &amp;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development and administrative offices</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New York</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137,813</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offices; CooperSurgical administrative offices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New Jersey</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37,700</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 research &amp; development, distribution and administrative offices</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Connecticut</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267,737</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manufacturing, distribution and administrative offices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Arizona</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90,000</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manufacturing</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Texas</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272,895</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manufacturing and distribution</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Puerto Rico</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682,650</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manufacturing, distribution and research &amp; development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Canada</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40,973</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w w:val="98"/>
              </w:rPr>
              <w:t>CooperVision manufacturing and administrative office; CooperSurgical distribution, research &amp; development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administrative offices</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Other Americas</w:t>
            </w:r>
          </w:p>
        </w:tc>
        <w:tc>
          <w:tcPr>
            <w:tcW w:w="1940" w:type="dxa"/>
            <w:vAlign w:val="bottom"/>
            <w:gridSpan w:val="5"/>
            <w:shd w:val="clear" w:color="auto" w:fill="CCEEFF"/>
          </w:tcPr>
          <w:p>
            <w:pPr>
              <w:jc w:val="right"/>
              <w:ind w:right="200"/>
              <w:spacing w:after="0" w:line="161" w:lineRule="exact"/>
              <w:rPr>
                <w:sz w:val="20"/>
                <w:szCs w:val="20"/>
                <w:color w:val="auto"/>
              </w:rPr>
            </w:pPr>
            <w:r>
              <w:rPr>
                <w:rFonts w:ascii="Times New Roman" w:cs="Times New Roman" w:eastAsia="Times New Roman" w:hAnsi="Times New Roman"/>
                <w:sz w:val="17"/>
                <w:szCs w:val="17"/>
                <w:color w:val="auto"/>
              </w:rPr>
              <w:t>89,576</w:t>
            </w:r>
          </w:p>
        </w:tc>
        <w:tc>
          <w:tcPr>
            <w:tcW w:w="74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w w:val="99"/>
              </w:rPr>
              <w:t>CooperVision distribution, marketing and administrative offices; CooperSurgical manufacturing, distribution</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administrative offices</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EMEA</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United Kingdom</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352,964</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w w:val="97"/>
              </w:rPr>
              <w:t>CooperVision manufacturing, distribution, research &amp; development and administrative offices; CooperSurgical</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distribution, research &amp; development and administrative offices</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Hungary</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421,953</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manufacturing and distribution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Belgium</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248,341</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distribution; CooperSurgical administrative office</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Spain</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181,145</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 CooperSurgical administrative office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Netherlands</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282,515</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administrative offices; CooperSurgical distribution</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EMEA</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180,686</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and administrative office; CooperSurgical administrative office and distribution</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ASIA PACIFIC</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Japan</w:t>
            </w:r>
          </w:p>
        </w:tc>
        <w:tc>
          <w:tcPr>
            <w:tcW w:w="194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7"/>
                <w:szCs w:val="17"/>
                <w:color w:val="auto"/>
              </w:rPr>
              <w:t>120,669</w:t>
            </w:r>
          </w:p>
        </w:tc>
        <w:tc>
          <w:tcPr>
            <w:tcW w:w="7400" w:type="dxa"/>
            <w:vAlign w:val="bottom"/>
            <w:gridSpan w:val="2"/>
          </w:tcPr>
          <w:p>
            <w:pPr>
              <w:spacing w:after="0" w:line="158" w:lineRule="exact"/>
              <w:rPr>
                <w:sz w:val="20"/>
                <w:szCs w:val="20"/>
                <w:color w:val="auto"/>
              </w:rPr>
            </w:pPr>
            <w:r>
              <w:rPr>
                <w:rFonts w:ascii="Times New Roman" w:cs="Times New Roman" w:eastAsia="Times New Roman" w:hAnsi="Times New Roman"/>
                <w:sz w:val="17"/>
                <w:szCs w:val="17"/>
                <w:color w:val="auto"/>
              </w:rPr>
              <w:t>CooperVision distribution, marketing, administrative offices and apartment; CooperSurgical marketing and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&amp; development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Australia</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55,557</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and marketing; CooperSurgical distribution and research &amp; development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China</w:t>
            </w:r>
          </w:p>
        </w:tc>
        <w:tc>
          <w:tcPr>
            <w:tcW w:w="1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50,663</w:t>
            </w: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CooperVision administrative office, distribution and apartment; CooperSurgical administrative office</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Asia Pacific</w:t>
            </w:r>
          </w:p>
        </w:tc>
        <w:tc>
          <w:tcPr>
            <w:tcW w:w="19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65,053</w:t>
            </w: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distribution, marketing and administrative office; CooperSurgical administrative office</w:t>
            </w:r>
          </w:p>
        </w:tc>
        <w:tc>
          <w:tcPr>
            <w:tcW w:w="0" w:type="dxa"/>
            <w:vAlign w:val="bottom"/>
          </w:tcPr>
          <w:p>
            <w:pPr>
              <w:spacing w:after="0"/>
              <w:rPr>
                <w:sz w:val="1"/>
                <w:szCs w:val="1"/>
                <w:color w:val="auto"/>
              </w:rPr>
            </w:pPr>
          </w:p>
        </w:tc>
      </w:tr>
      <w:tr>
        <w:trPr>
          <w:trHeight w:val="87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2"/>
          </w:tcPr>
          <w:p>
            <w:pPr>
              <w:ind w:left="170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2" w:name="page43"/>
    <w:bookmarkEnd w:id="42"/>
    <w:p>
      <w:pPr>
        <w:ind w:left="3640"/>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regarding legal proceedings is included in Note 11. Contingencies of the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54" w:right="1440" w:bottom="1440" w:gutter="0" w:footer="0" w:header="0"/>
        </w:sectPr>
      </w:pPr>
    </w:p>
    <w:bookmarkStart w:id="43" w:name="page44"/>
    <w:bookmarkEnd w:id="43"/>
    <w:p>
      <w:pPr>
        <w:jc w:val="center"/>
        <w:ind w:right="-1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1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Our common stock, par value $0.10 per share, is traded on the Nasdaq under the symbol “COO.” As of December 1, 2025, there were 141 common stockholders of record.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In December 2023, our Board of Directors decided to end the declaration of the semiannual dividend. Any future determination to pay dividends will be made at the discretion of our Board of Directors subject to applicable laws and will depend on, among other factors, our results of operations, financial condition, contractual restrictions and capital requirements.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This performance graph shall not be deemed “soliciting material” or to be “filed” with the SEC for purposes of Section 18 of the Securities Exchange Act of 1934 or otherwise subject to the liabilities under that Section, and shall not be deemed to be incorporated by reference into any of our filings under the Securities Act, except as shall be expressly set forth by specific reference in such filing.</w:t>
      </w:r>
    </w:p>
    <w:p>
      <w:pPr>
        <w:spacing w:after="0" w:line="2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following graph compares the cumulative total return on our common stock with the cumulative total return of the Standard &amp; Poor 500 and the Standard &amp; Poor's Health Care Equipment Index for the five-year period ended October 31, 2025. The graph assumes that the value of the investment in Cooper and in each index was $100 on October 31, 2020, and assumes that all dividends were reinvested.</w:t>
      </w:r>
    </w:p>
    <w:p>
      <w:pPr>
        <w:spacing w:after="0" w:line="1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COMPARISON OF 5 YEAR CUMULATIVE TOTAL RETURN*</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Among The Cooper Companies, Inc.,</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S&amp;P 500 Index 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4996180" cy="29978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6180" cy="299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invested on October 31, 2020, in stock or index, including reinvestment of dividends.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Fiscal year ending October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Copyright© 2025 Standard &amp; Poor's, a division of S&amp;P Global. All rights reserved.</w:t>
      </w: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354" w:right="4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In September 2025, the authorization under the 2012 Share Repurchase Program was increased to $2.0 billion by the Company's Board of Directors. As of October 31, 2025, $966.4 million remains authorized for repurchase.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about the shares repurchased by the Company for the three months ended October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Total 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Approximate dollar</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9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6"/>
              </w:rPr>
              <w:t>purchased as part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jc w:val="center"/>
              <w:ind w:right="37"/>
              <w:spacing w:after="0" w:line="171" w:lineRule="exact"/>
              <w:rPr>
                <w:sz w:val="20"/>
                <w:szCs w:val="20"/>
                <w:color w:val="auto"/>
              </w:rPr>
            </w:pPr>
            <w:r>
              <w:rPr>
                <w:rFonts w:ascii="Times New Roman" w:cs="Times New Roman" w:eastAsia="Times New Roman" w:hAnsi="Times New Roman"/>
                <w:sz w:val="17"/>
                <w:szCs w:val="17"/>
                <w:b w:val="1"/>
                <w:bCs w:val="1"/>
                <w:color w:val="auto"/>
                <w:w w:val="97"/>
              </w:rPr>
              <w:t>value of shares that may yet be</w:t>
            </w:r>
          </w:p>
        </w:tc>
        <w:tc>
          <w:tcPr>
            <w:tcW w:w="0" w:type="dxa"/>
            <w:vAlign w:val="bottom"/>
          </w:tcPr>
          <w:p>
            <w:pPr>
              <w:spacing w:after="0"/>
              <w:rPr>
                <w:sz w:val="1"/>
                <w:szCs w:val="1"/>
                <w:color w:val="auto"/>
              </w:rPr>
            </w:pPr>
          </w:p>
        </w:tc>
      </w:tr>
      <w:tr>
        <w:trPr>
          <w:trHeight w:val="158"/>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auto"/>
                <w:w w:val="98"/>
              </w:rPr>
              <w:t>shares purchased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7"/>
                <w:szCs w:val="17"/>
                <w:b w:val="1"/>
                <w:bCs w:val="1"/>
                <w:color w:val="auto"/>
                <w:w w:val="98"/>
              </w:rPr>
              <w:t>price paid</w:t>
            </w:r>
          </w:p>
        </w:tc>
        <w:tc>
          <w:tcPr>
            <w:tcW w:w="1900" w:type="dxa"/>
            <w:vAlign w:val="bottom"/>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auto"/>
                <w:w w:val="97"/>
              </w:rPr>
              <w:t>publicly announced plan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jc w:val="center"/>
              <w:ind w:right="37"/>
              <w:spacing w:after="0" w:line="158" w:lineRule="exact"/>
              <w:rPr>
                <w:sz w:val="20"/>
                <w:szCs w:val="20"/>
                <w:color w:val="auto"/>
              </w:rPr>
            </w:pPr>
            <w:r>
              <w:rPr>
                <w:rFonts w:ascii="Times New Roman" w:cs="Times New Roman" w:eastAsia="Times New Roman" w:hAnsi="Times New Roman"/>
                <w:sz w:val="17"/>
                <w:szCs w:val="17"/>
                <w:b w:val="1"/>
                <w:bCs w:val="1"/>
                <w:color w:val="auto"/>
                <w:w w:val="97"/>
              </w:rPr>
              <w:t>purchased under the plan</w:t>
            </w:r>
          </w:p>
        </w:tc>
        <w:tc>
          <w:tcPr>
            <w:tcW w:w="0" w:type="dxa"/>
            <w:vAlign w:val="bottom"/>
          </w:tcPr>
          <w:p>
            <w:pPr>
              <w:spacing w:after="0"/>
              <w:rPr>
                <w:sz w:val="1"/>
                <w:szCs w:val="1"/>
                <w:color w:val="auto"/>
              </w:rPr>
            </w:pPr>
          </w:p>
        </w:tc>
      </w:tr>
      <w:tr>
        <w:trPr>
          <w:trHeight w:val="229"/>
        </w:trPr>
        <w:tc>
          <w:tcPr>
            <w:tcW w:w="4020" w:type="dxa"/>
            <w:vAlign w:val="bottom"/>
            <w:gridSpan w:val="2"/>
            <w:vMerge w:val="continue"/>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 thousands)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(in millions)</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1, 2025 to August 31, 2025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65.68</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September 1, 2025 to September 30,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67.08</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0" w:type="dxa"/>
            <w:vAlign w:val="bottom"/>
          </w:tcPr>
          <w:p>
            <w:pPr>
              <w:spacing w:after="0"/>
              <w:rPr>
                <w:sz w:val="1"/>
                <w:szCs w:val="1"/>
                <w:color w:val="auto"/>
              </w:rPr>
            </w:pPr>
          </w:p>
        </w:tc>
      </w:tr>
      <w:tr>
        <w:trPr>
          <w:trHeight w:val="22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2025 to October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70.40</w:t>
            </w:r>
          </w:p>
        </w:tc>
        <w:tc>
          <w:tcPr>
            <w:tcW w:w="8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966.4</w:t>
            </w:r>
          </w:p>
        </w:tc>
        <w:tc>
          <w:tcPr>
            <w:tcW w:w="0" w:type="dxa"/>
            <w:vAlign w:val="bottom"/>
          </w:tcPr>
          <w:p>
            <w:pPr>
              <w:spacing w:after="0"/>
              <w:rPr>
                <w:sz w:val="1"/>
                <w:szCs w:val="1"/>
                <w:color w:val="auto"/>
              </w:rPr>
            </w:pPr>
          </w:p>
        </w:tc>
      </w:tr>
      <w:tr>
        <w:trPr>
          <w:trHeight w:val="22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2,923.5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67.48</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4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7"/>
          <w:szCs w:val="17"/>
          <w:color w:val="auto"/>
        </w:rPr>
        <w:t>The following table sets forth certain information as of October 31, 2025, concerning the shares of our Common Stock that may be issued under any form of award granted under our equity compensation plans in effect as of October 31,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 Securities to be</w:t>
            </w:r>
          </w:p>
        </w:tc>
        <w:tc>
          <w:tcPr>
            <w:tcW w:w="120" w:type="dxa"/>
            <w:vAlign w:val="bottom"/>
          </w:tcPr>
          <w:p>
            <w:pPr>
              <w:spacing w:after="0"/>
              <w:rPr>
                <w:sz w:val="17"/>
                <w:szCs w:val="17"/>
                <w:color w:val="auto"/>
              </w:rPr>
            </w:pPr>
          </w:p>
        </w:tc>
        <w:tc>
          <w:tcPr>
            <w:tcW w:w="2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Weighted-Average Exercise</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Number of Securities Remaining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60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6"/>
              </w:rPr>
              <w:t>Available for Future Issuance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6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7"/>
              </w:rPr>
              <w:t>Issued Upon Exercise of</w:t>
            </w:r>
          </w:p>
        </w:tc>
        <w:tc>
          <w:tcPr>
            <w:tcW w:w="120" w:type="dxa"/>
            <w:vAlign w:val="bottom"/>
          </w:tcPr>
          <w:p>
            <w:pPr>
              <w:spacing w:after="0"/>
              <w:rPr>
                <w:sz w:val="14"/>
                <w:szCs w:val="14"/>
                <w:color w:val="auto"/>
              </w:rPr>
            </w:pPr>
          </w:p>
        </w:tc>
        <w:tc>
          <w:tcPr>
            <w:tcW w:w="22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7"/>
                <w:szCs w:val="17"/>
                <w:b w:val="1"/>
                <w:bCs w:val="1"/>
                <w:color w:val="auto"/>
                <w:w w:val="97"/>
              </w:rPr>
              <w:t>Price of Outstanding</w:t>
            </w:r>
          </w:p>
        </w:tc>
        <w:tc>
          <w:tcPr>
            <w:tcW w:w="26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8"/>
              </w:rPr>
              <w:t>Under Equity Compensation Plans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360" w:type="dxa"/>
            <w:vAlign w:val="bottom"/>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auto"/>
                <w:w w:val="97"/>
              </w:rPr>
              <w:t>Outstanding Options, Warrants</w:t>
            </w:r>
          </w:p>
        </w:tc>
        <w:tc>
          <w:tcPr>
            <w:tcW w:w="120" w:type="dxa"/>
            <w:vAlign w:val="bottom"/>
          </w:tcPr>
          <w:p>
            <w:pPr>
              <w:spacing w:after="0"/>
              <w:rPr>
                <w:sz w:val="13"/>
                <w:szCs w:val="13"/>
                <w:color w:val="auto"/>
              </w:rPr>
            </w:pPr>
          </w:p>
        </w:tc>
        <w:tc>
          <w:tcPr>
            <w:tcW w:w="22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7"/>
                <w:szCs w:val="17"/>
                <w:b w:val="1"/>
                <w:bCs w:val="1"/>
                <w:color w:val="auto"/>
                <w:w w:val="97"/>
              </w:rPr>
              <w:t>Options, Warrants and</w:t>
            </w:r>
          </w:p>
        </w:tc>
        <w:tc>
          <w:tcPr>
            <w:tcW w:w="2600" w:type="dxa"/>
            <w:vAlign w:val="bottom"/>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auto"/>
                <w:w w:val="97"/>
              </w:rPr>
              <w:t>(Excluding Securities Reflected 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236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rPr>
              <w:t>and Rights</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22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5"/>
                <w:szCs w:val="15"/>
                <w:b w:val="1"/>
                <w:bCs w:val="1"/>
                <w:color w:val="auto"/>
              </w:rPr>
              <w:t>Rights</w:t>
            </w:r>
            <w:r>
              <w:rPr>
                <w:rFonts w:ascii="Times New Roman" w:cs="Times New Roman" w:eastAsia="Times New Roman" w:hAnsi="Times New Roman"/>
                <w:sz w:val="19"/>
                <w:szCs w:val="19"/>
                <w:b w:val="1"/>
                <w:bCs w:val="1"/>
                <w:color w:val="auto"/>
                <w:vertAlign w:val="superscript"/>
              </w:rPr>
              <w:t>(2)</w:t>
            </w:r>
          </w:p>
        </w:tc>
        <w:tc>
          <w:tcPr>
            <w:tcW w:w="26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rPr>
              <w:t>Column A)</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236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w w:val="93"/>
              </w:rPr>
              <w:t>(A)</w:t>
            </w:r>
          </w:p>
        </w:tc>
        <w:tc>
          <w:tcPr>
            <w:tcW w:w="120" w:type="dxa"/>
            <w:vAlign w:val="bottom"/>
          </w:tcPr>
          <w:p>
            <w:pPr>
              <w:spacing w:after="0"/>
              <w:rPr>
                <w:sz w:val="14"/>
                <w:szCs w:val="14"/>
                <w:color w:val="auto"/>
              </w:rPr>
            </w:pPr>
          </w:p>
        </w:tc>
        <w:tc>
          <w:tcPr>
            <w:tcW w:w="228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7"/>
                <w:szCs w:val="17"/>
                <w:b w:val="1"/>
                <w:bCs w:val="1"/>
                <w:color w:val="auto"/>
              </w:rPr>
              <w:t>(B)</w:t>
            </w:r>
          </w:p>
        </w:tc>
        <w:tc>
          <w:tcPr>
            <w:tcW w:w="260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(C)</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shareholders</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5,444,288</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$77.54</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7,882,366</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w w:val="98"/>
              </w:rPr>
              <w:t>Equity compensation plans not approved by shareholders</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5,444,288</w:t>
            </w:r>
          </w:p>
        </w:tc>
        <w:tc>
          <w:tcPr>
            <w:tcW w:w="2280" w:type="dxa"/>
            <w:vAlign w:val="bottom"/>
            <w:tcBorders>
              <w:bottom w:val="single" w:sz="8" w:color="CCEEFF"/>
            </w:tcBorders>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4"/>
              </w:rPr>
              <w:t>$77.54</w:t>
            </w: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7,882,366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240" w:right="400" w:hanging="235"/>
        <w:spacing w:after="0" w:line="246" w:lineRule="auto"/>
        <w:tabs>
          <w:tab w:leader="none" w:pos="171"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(i) 1,211,579 shares subject to outstanding Restricted Stock Units (RSU), (ii) 744,980 shares subject to outstanding Performance Share Units (PSU), calculated at the maximum potential payout and (iii) 3,487,729 shares subject to outstanding options. Does not include rights to purchase shares under the 2019 Employee Stock Purchase Plan (the "2019 ESPP" or the "ESPP"), which depend on a number of factors described in the 2019 ESPP.</w:t>
      </w:r>
    </w:p>
    <w:p>
      <w:pPr>
        <w:spacing w:after="0" w:line="213" w:lineRule="exact"/>
        <w:rPr>
          <w:rFonts w:ascii="Times New Roman" w:cs="Times New Roman" w:eastAsia="Times New Roman" w:hAnsi="Times New Roman"/>
          <w:sz w:val="20"/>
          <w:szCs w:val="20"/>
          <w:color w:val="auto"/>
          <w:vertAlign w:val="superscript"/>
        </w:rPr>
      </w:pPr>
    </w:p>
    <w:p>
      <w:pPr>
        <w:ind w:left="240" w:right="100" w:hanging="235"/>
        <w:spacing w:after="0" w:line="239" w:lineRule="auto"/>
        <w:tabs>
          <w:tab w:leader="none" w:pos="171"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weighted-average exercise price is calculated based solely on the exercise prices of outstanding options and do not reflect shares to be issued upon the vesting of RSUs and PSUs, which have no exercise price.</w:t>
      </w:r>
    </w:p>
    <w:p>
      <w:pPr>
        <w:spacing w:after="0" w:line="230" w:lineRule="exact"/>
        <w:rPr>
          <w:rFonts w:ascii="Times New Roman" w:cs="Times New Roman" w:eastAsia="Times New Roman" w:hAnsi="Times New Roman"/>
          <w:sz w:val="20"/>
          <w:szCs w:val="20"/>
          <w:color w:val="auto"/>
          <w:vertAlign w:val="superscript"/>
        </w:rPr>
      </w:pPr>
    </w:p>
    <w:p>
      <w:pPr>
        <w:ind w:left="240" w:right="380" w:hanging="235"/>
        <w:spacing w:after="0" w:line="239" w:lineRule="auto"/>
        <w:tabs>
          <w:tab w:leader="none" w:pos="171"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(i) 4,315,716 shares available for issuance under the 2023 Plan, (ii) 3,499,807 shares available for issuance under the 2019 ESPP and (iii) 66,843 shares available for issuance under the 2020 Long Term Incentive Plan for Non-Employee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Reserved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 numbers refer to “Notes to Consolidated Financial Statements” in Item 8. Financial Statements and Supplementary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In this section, we discuss the results of our operations for fiscal 2025 compared with fiscal 2024. We discuss our cash flows and current financial condition under “Capital Resources and Liquidity.” For a discussion related to fiscal 2024 compared with fiscal 2023, please refer to Item 7 of Part II, “Management’s Discussion and Analysis of Financial Condition and Results of Operations” in our Annual Report on Form 10-K for the year ended October 31, 2024, which was filed with the SEC on December 6, 2024, and is available on the SEC's website at www.sec.gov and our Investor Relations website at investor.coopercos.com.</w:t>
      </w:r>
    </w:p>
    <w:p>
      <w:pPr>
        <w:spacing w:after="0" w:line="20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7"/>
          <w:szCs w:val="17"/>
          <w:color w:val="auto"/>
        </w:rPr>
        <w:t>Within the tables presented, percentages are calculated based on the underlying whole-dollar amounts and, therefore, may not recalculate exactly from the rounded numbers used for disclosure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16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“Risk Factors” section in Part I, Item 1A of this filing.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and disruptions, such as the impact of tariffs. These risks and uncertainties have adversely affected our sales, cash flow and performance in the past and could further adversely affect our future sales, cash flow and performance.</w:t>
      </w:r>
    </w:p>
    <w:p>
      <w:pPr>
        <w:spacing w:after="0" w:line="132"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CooperVision </w:t>
      </w:r>
      <w:r>
        <w:rPr>
          <w:rFonts w:ascii="Times New Roman" w:cs="Times New Roman" w:eastAsia="Times New Roman" w:hAnsi="Times New Roman"/>
          <w:sz w:val="16"/>
          <w:szCs w:val="16"/>
          <w:color w:val="auto"/>
        </w:rPr>
        <w:t>- We compete in the worldwide contact lens market with our spherical, toric, multifocal and toric multifocal contact lenses offered in materials like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w:t>
      </w:r>
    </w:p>
    <w:p>
      <w:pPr>
        <w:spacing w:after="0" w:line="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7"/>
          <w:szCs w:val="17"/>
          <w:color w:val="auto"/>
        </w:rPr>
        <w:t>CooperVision also competes in the myopia management and specialty eye care contact lens markets with myopia management contact lenses using its ActivControl technology and with products such as orthokeratology (ortho-k) and scleral lenses. CooperVision has FDA approval for its MiSight 1 day lens, which is the first and only FDA-approved product indicated to slow the progression of myopia in children with treatment initiated between the ages of 8-12. Further, CooperVision received Chinese NMPA approval for use of the MiSight 1 day lens in China and received MHLW approval for use of the MiSight 1 day lens in Japan. CooperVision is focused on greater worldwide market penetration using recently introduced products, and we continue to expand our presence in existing and emerging markets, including through acquisitions.</w:t>
      </w:r>
    </w:p>
    <w:p>
      <w:pPr>
        <w:spacing w:after="0" w:line="13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 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spacing w:after="0" w:line="13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CooperSurgical - </w:t>
      </w:r>
      <w:r>
        <w:rPr>
          <w:rFonts w:ascii="Times New Roman" w:cs="Times New Roman" w:eastAsia="Times New Roman" w:hAnsi="Times New Roman"/>
          <w:sz w:val="16"/>
          <w:szCs w:val="16"/>
          <w:color w:val="auto"/>
        </w:rPr>
        <w:t>Our CooperSurgical business competes in the fertility and women's health care market through its diversified portfolio of products and services,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w:t>
      </w:r>
    </w:p>
    <w:p>
      <w:pPr>
        <w:spacing w:after="0" w:line="10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7"/>
          <w:szCs w:val="17"/>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w:t>
      </w:r>
    </w:p>
    <w:p>
      <w:pPr>
        <w:spacing w:after="0" w:line="120"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125095</wp:posOffset>
            </wp:positionV>
            <wp:extent cx="3214370" cy="2115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14370"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contact lens market has two major product categories:</w:t>
      </w:r>
    </w:p>
    <w:p>
      <w:pPr>
        <w:spacing w:after="0" w:line="172" w:lineRule="exact"/>
        <w:rPr>
          <w:sz w:val="20"/>
          <w:szCs w:val="20"/>
          <w:color w:val="auto"/>
        </w:rPr>
      </w:pPr>
    </w:p>
    <w:p>
      <w:pPr>
        <w:ind w:left="320" w:right="180" w:hanging="315"/>
        <w:spacing w:after="0" w:line="266" w:lineRule="auto"/>
        <w:tabs>
          <w:tab w:leader="none" w:pos="31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spacing w:after="0" w:line="117" w:lineRule="exact"/>
        <w:rPr>
          <w:rFonts w:ascii="Times New Roman" w:cs="Times New Roman" w:eastAsia="Times New Roman" w:hAnsi="Times New Roman"/>
          <w:sz w:val="17"/>
          <w:szCs w:val="17"/>
          <w:color w:val="auto"/>
        </w:rPr>
      </w:pPr>
    </w:p>
    <w:p>
      <w:pPr>
        <w:ind w:left="320" w:right="40" w:hanging="315"/>
        <w:spacing w:after="0" w:line="266" w:lineRule="auto"/>
        <w:tabs>
          <w:tab w:leader="none" w:pos="31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Spherical lenses, including lenses that correct near- and farsightedness uncomplicated by more complex visual defects, myopia management lenses, which slow the progression of and correct myopia in age-appropriate children, and other specialty lenses.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125095</wp:posOffset>
            </wp:positionV>
            <wp:extent cx="4996180" cy="2398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618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20" w:type="dxa"/>
            <w:vAlign w:val="bottom"/>
          </w:tcPr>
          <w:p>
            <w:pPr>
              <w:spacing w:after="0"/>
              <w:rPr>
                <w:sz w:val="17"/>
                <w:szCs w:val="17"/>
                <w:color w:val="auto"/>
              </w:rPr>
            </w:pPr>
          </w:p>
        </w:tc>
        <w:tc>
          <w:tcPr>
            <w:tcW w:w="104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2025 vs 2024 %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41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Toric and multifocal</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1,257.2</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Sphere, 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1,352.2</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7"/>
          <w:szCs w:val="17"/>
          <w:color w:val="auto"/>
        </w:rPr>
        <w:t>In the fiscal year ended October 31, 2025, the growth experienced across all categories was positively impacted by favorable foreign exchange rate fluctuations of approximately $16.0 million.</w:t>
      </w:r>
    </w:p>
    <w:p>
      <w:pPr>
        <w:spacing w:after="0" w:line="117" w:lineRule="exact"/>
        <w:rPr>
          <w:sz w:val="20"/>
          <w:szCs w:val="20"/>
          <w:color w:val="auto"/>
        </w:rPr>
      </w:pPr>
    </w:p>
    <w:p>
      <w:pPr>
        <w:ind w:left="620" w:hanging="30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grew primarily through the success of Biofinity and MyDay.</w:t>
      </w:r>
    </w:p>
    <w:p>
      <w:pPr>
        <w:spacing w:after="0" w:line="158"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Sphere, other grew primarily through MiSight and MyDay, offset by a decrease in legacy hydrogel products.</w:t>
      </w:r>
    </w:p>
    <w:p>
      <w:pPr>
        <w:spacing w:after="0" w:line="158"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products represented less than 1% of net sales in fiscal 2025 and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Geography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CooperVision competes in the worldwide soft contact lens market and services in three primary regions: the Americas, EMEA and Asia Pacific.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00" w:type="dxa"/>
            <w:vAlign w:val="bottom"/>
          </w:tcPr>
          <w:p>
            <w:pPr>
              <w:spacing w:after="0"/>
              <w:rPr>
                <w:sz w:val="16"/>
                <w:szCs w:val="16"/>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164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ind w:right="357"/>
              <w:spacing w:after="0" w:line="171"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Americas</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EMEA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2,743.8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CooperVision's growth in net sales in the Americas and EMEA was primarily attributable to market gains of silicone hydrogel contact lenses. The growth in EMEA was positively impacted by favorable foreign exchange rate fluctuations. Refer to CooperVision Net Sales by Category above for further discussion.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CooperSurgical supplies the fertility and women's health care market with a diversified portfolio of products and services in two categories:</w:t>
      </w:r>
    </w:p>
    <w:p>
      <w:pPr>
        <w:spacing w:after="0" w:line="159" w:lineRule="exact"/>
        <w:rPr>
          <w:sz w:val="20"/>
          <w:szCs w:val="20"/>
          <w:color w:val="auto"/>
        </w:rPr>
      </w:pPr>
    </w:p>
    <w:p>
      <w:pPr>
        <w:ind w:left="640" w:right="80" w:hanging="320"/>
        <w:spacing w:after="0" w:line="254" w:lineRule="auto"/>
        <w:tabs>
          <w:tab w:leader="none" w:pos="63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spacing w:after="0" w:line="126" w:lineRule="exact"/>
        <w:rPr>
          <w:rFonts w:ascii="Times New Roman" w:cs="Times New Roman" w:eastAsia="Times New Roman" w:hAnsi="Times New Roman"/>
          <w:sz w:val="17"/>
          <w:szCs w:val="17"/>
          <w:color w:val="auto"/>
        </w:rPr>
      </w:pPr>
    </w:p>
    <w:p>
      <w:pPr>
        <w:ind w:left="640" w:hanging="320"/>
        <w:spacing w:after="0" w:line="262" w:lineRule="auto"/>
        <w:tabs>
          <w:tab w:leader="none" w:pos="63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Fertility offerings include highly specialized products and services that target the in vitro fertilization process, including diagnostics testing with a goal to make fertility treatment safer, more efficient and convenient. This includes fertility consumables and equipment, donor gamete services, and genomic services (including genetic testing).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116840</wp:posOffset>
            </wp:positionV>
            <wp:extent cx="4996180" cy="2398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618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00" w:type="dxa"/>
            <w:vAlign w:val="bottom"/>
          </w:tcPr>
          <w:p>
            <w:pPr>
              <w:spacing w:after="0"/>
              <w:rPr>
                <w:sz w:val="16"/>
                <w:szCs w:val="16"/>
                <w:color w:val="auto"/>
              </w:rPr>
            </w:pPr>
          </w:p>
        </w:tc>
        <w:tc>
          <w:tcPr>
            <w:tcW w:w="104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164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0" w:type="dxa"/>
            <w:vAlign w:val="bottom"/>
          </w:tcPr>
          <w:p>
            <w:pPr>
              <w:spacing w:after="0"/>
              <w:rPr>
                <w:sz w:val="1"/>
                <w:szCs w:val="1"/>
                <w:color w:val="auto"/>
              </w:rPr>
            </w:pPr>
          </w:p>
        </w:tc>
      </w:tr>
      <w:tr>
        <w:trPr>
          <w:trHeight w:val="221"/>
        </w:trPr>
        <w:tc>
          <w:tcPr>
            <w:tcW w:w="66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and surgical</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774.7</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Fertility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511.3</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41"/>
        </w:trPr>
        <w:tc>
          <w:tcPr>
            <w:tcW w:w="6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 the fiscal year ended October 31, 2025, office and surgical net sales increased primarily due to increased sales of Paragard contraceptive intrauterine devices and the acquisition of obp Surgical on August 1, 2024. Fertility net sales increased primarily due to an increase in revenue from genomic services and gamete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Consolidated gross margin decreased in fiscal 2025 to 66% compared to 67% in fiscal 2024, primarily driven by inventory and long-lived asset write-offs and severance costs related to workforce optimization initiatives.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40" w:type="dxa"/>
            <w:vAlign w:val="bottom"/>
          </w:tcPr>
          <w:p>
            <w:pPr>
              <w:spacing w:after="0"/>
              <w:rPr>
                <w:sz w:val="24"/>
                <w:szCs w:val="24"/>
                <w:color w:val="auto"/>
              </w:rPr>
            </w:pPr>
          </w:p>
        </w:tc>
        <w:tc>
          <w:tcPr>
            <w:tcW w:w="880" w:type="dxa"/>
            <w:vAlign w:val="bottom"/>
            <w:vMerge w:val="restart"/>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40" w:type="dxa"/>
            <w:vAlign w:val="bottom"/>
          </w:tcPr>
          <w:p>
            <w:pPr>
              <w:spacing w:after="0"/>
              <w:rPr>
                <w:sz w:val="24"/>
                <w:szCs w:val="24"/>
                <w:color w:val="auto"/>
              </w:rPr>
            </w:pPr>
          </w:p>
        </w:tc>
        <w:tc>
          <w:tcPr>
            <w:tcW w:w="840" w:type="dxa"/>
            <w:vAlign w:val="bottom"/>
            <w:vMerge w:val="restart"/>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154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2025 vs. 2024 %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540" w:type="dxa"/>
            <w:vAlign w:val="bottom"/>
          </w:tcPr>
          <w:p>
            <w:pPr>
              <w:jc w:val="right"/>
              <w:ind w:right="41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5"/>
              </w:rPr>
              <w:t>35 %</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568.4</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534.2</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95"/>
              </w:rPr>
              <w:t>42 %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1,627.8</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95"/>
              </w:rPr>
              <w:t>39 %</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7"/>
          <w:szCs w:val="17"/>
          <w:color w:val="auto"/>
        </w:rPr>
        <w:t>CooperVision's SGA expenses increased in fiscal 2025 compared to fiscal 2024 primarily due to increased selling activities, severance costs related to workforce optimization initiatives, and long-lived asset write-offs.</w:t>
      </w:r>
    </w:p>
    <w:p>
      <w:pPr>
        <w:spacing w:after="0" w:line="11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7"/>
          <w:szCs w:val="17"/>
          <w:color w:val="auto"/>
        </w:rPr>
        <w:t>CooperSurgical's SGA expenses increased in fiscal 2025 compared to fiscal 2024 primarily due to severance costs related to workforce optimization initiatives, increased selling activities, and long-lived asset write-offs.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SGA expenses increased in fiscal 2025 compared to fiscal 2024 primarily due to an increase in severance costs related to workforce optimization initiatives.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Research and Development (R&amp;D)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60" w:type="dxa"/>
            <w:vAlign w:val="bottom"/>
          </w:tcPr>
          <w:p>
            <w:pPr>
              <w:spacing w:after="0"/>
              <w:rPr>
                <w:sz w:val="24"/>
                <w:szCs w:val="24"/>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60" w:type="dxa"/>
            <w:vAlign w:val="bottom"/>
          </w:tcPr>
          <w:p>
            <w:pPr>
              <w:spacing w:after="0"/>
              <w:rPr>
                <w:sz w:val="24"/>
                <w:szCs w:val="24"/>
                <w:color w:val="auto"/>
              </w:rPr>
            </w:pPr>
          </w:p>
        </w:tc>
        <w:tc>
          <w:tcPr>
            <w:tcW w:w="920" w:type="dxa"/>
            <w:vAlign w:val="bottom"/>
            <w:vMerge w:val="restart"/>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 vs. 2024 %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80"/>
              <w:spacing w:after="0" w:line="171"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260" w:type="dxa"/>
            <w:vAlign w:val="bottom"/>
          </w:tcPr>
          <w:p>
            <w:pPr>
              <w:jc w:val="right"/>
              <w:ind w:right="277"/>
              <w:spacing w:after="0" w:line="171"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CooperVision's R&amp;D expenses increased in fiscal 2025 compared to fiscal 2024 primarily due to an increase in R&amp;D project spend. CooperVision's R&amp;D activities are primarily focused on the development of contact lenses, manufacturing technology and process enhancements.</w:t>
      </w:r>
    </w:p>
    <w:p>
      <w:pPr>
        <w:spacing w:after="0" w:line="1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CooperSurgical's R&amp;D expenses increased in fiscal 2025 compared to fiscal 2024 primarily due to an increase in R&amp;D project spend. CooperSurgical's R&amp;D activities are primarily focused on the development of surgical devices and fertility solutions, manufacturing technology and process enhancements.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Amortization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60" w:type="dxa"/>
            <w:vAlign w:val="bottom"/>
          </w:tcPr>
          <w:p>
            <w:pPr>
              <w:spacing w:after="0"/>
              <w:rPr>
                <w:sz w:val="24"/>
                <w:szCs w:val="24"/>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60" w:type="dxa"/>
            <w:vAlign w:val="bottom"/>
          </w:tcPr>
          <w:p>
            <w:pPr>
              <w:spacing w:after="0"/>
              <w:rPr>
                <w:sz w:val="24"/>
                <w:szCs w:val="24"/>
                <w:color w:val="auto"/>
              </w:rPr>
            </w:pPr>
          </w:p>
        </w:tc>
        <w:tc>
          <w:tcPr>
            <w:tcW w:w="920" w:type="dxa"/>
            <w:vAlign w:val="bottom"/>
            <w:vMerge w:val="restart"/>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 vs. 2024 %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4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300" w:type="dxa"/>
            <w:vAlign w:val="bottom"/>
          </w:tcPr>
          <w:p>
            <w:pPr>
              <w:jc w:val="right"/>
              <w:ind w:right="29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CooperVision's amortization expense decreased in fiscal 2025 compared to fiscal 2024, primarily due to certain intangible assets being fully amortized.</w:t>
      </w:r>
    </w:p>
    <w:p>
      <w:pPr>
        <w:spacing w:after="0" w:line="15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7"/>
          <w:szCs w:val="17"/>
          <w:color w:val="auto"/>
        </w:rPr>
        <w:t>CooperSurgical's amortization expense increased in fiscal 2025 compared to fiscal 2024, primarily due to the amortization of intangible assets acquired through acquisitions in the second half of fiscal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40" w:type="dxa"/>
            <w:vAlign w:val="bottom"/>
          </w:tcPr>
          <w:p>
            <w:pPr>
              <w:spacing w:after="0"/>
              <w:rPr>
                <w:sz w:val="24"/>
                <w:szCs w:val="24"/>
                <w:color w:val="auto"/>
              </w:rPr>
            </w:pPr>
          </w:p>
        </w:tc>
        <w:tc>
          <w:tcPr>
            <w:tcW w:w="820" w:type="dxa"/>
            <w:vAlign w:val="bottom"/>
            <w:vMerge w:val="restart"/>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220" w:type="dxa"/>
            <w:vAlign w:val="bottom"/>
          </w:tcPr>
          <w:p>
            <w:pPr>
              <w:spacing w:after="0"/>
              <w:rPr>
                <w:sz w:val="24"/>
                <w:szCs w:val="24"/>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 vs. 2024 %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260" w:type="dxa"/>
            <w:vAlign w:val="bottom"/>
          </w:tcPr>
          <w:p>
            <w:pPr>
              <w:jc w:val="right"/>
              <w:ind w:right="277"/>
              <w:spacing w:after="0" w:line="150" w:lineRule="exact"/>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676.2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7"/>
              </w:rPr>
              <w:t>(88.8)</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705.7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7"/>
          <w:szCs w:val="17"/>
          <w:color w:val="auto"/>
        </w:rPr>
        <w:t>CooperVision's operating income increased in fiscal 2025 compared to fiscal 2024, primarily due to the increase in net sales outpacing the increase in operating expenses.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CooperSurgical's operating income decreased in fiscal 2025 compared to fiscal 2024, primarily due to inventory and long-lived asset write-offs, severance costs related to workforce optimization initiatives and an increase in amortization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operating loss increased in fiscal 2025 compared to fiscal 2024, primarily due to an increase in severance costs related to workforce optimization initiatives.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260" w:type="dxa"/>
            <w:vAlign w:val="bottom"/>
          </w:tcPr>
          <w:p>
            <w:pPr>
              <w:spacing w:after="0"/>
              <w:rPr>
                <w:sz w:val="24"/>
                <w:szCs w:val="24"/>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4"/>
                <w:szCs w:val="24"/>
                <w:color w:val="auto"/>
              </w:rPr>
            </w:pPr>
          </w:p>
        </w:tc>
        <w:tc>
          <w:tcPr>
            <w:tcW w:w="1360" w:type="dxa"/>
            <w:vAlign w:val="bottom"/>
            <w:gridSpan w:val="3"/>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 Net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2025 vs. 2024 %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77"/>
              <w:spacing w:after="0" w:line="171"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7"/>
                <w:szCs w:val="17"/>
                <w:b w:val="1"/>
                <w:bCs w:val="1"/>
                <w:color w:val="auto"/>
                <w:w w:val="97"/>
              </w:rPr>
              <w:t>Sales</w:t>
            </w:r>
          </w:p>
        </w:tc>
        <w:tc>
          <w:tcPr>
            <w:tcW w:w="138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6"/>
              </w:rPr>
              <w:t>Change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decreased during fiscal 2025 compared to the prior year, primarily due to lower interest rates and lower average debt balances.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Expense, Net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2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41"/>
        </w:trPr>
        <w:tc>
          <w:tcPr>
            <w:tcW w:w="8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460"/>
        <w:spacing w:after="0" w:line="516" w:lineRule="auto"/>
        <w:rPr>
          <w:sz w:val="20"/>
          <w:szCs w:val="20"/>
          <w:color w:val="auto"/>
        </w:rPr>
      </w:pPr>
      <w:r>
        <w:rPr>
          <w:rFonts w:ascii="Times New Roman" w:cs="Times New Roman" w:eastAsia="Times New Roman" w:hAnsi="Times New Roman"/>
          <w:sz w:val="17"/>
          <w:szCs w:val="17"/>
          <w:color w:val="auto"/>
        </w:rPr>
        <w:t xml:space="preserve">Foreign exchange loss was primarily due to movements of U.S. dollar against various foreign currencies and the effect on intercompany receivables and payables. Other expense, net increased in fiscal 2025, primarily due to a loss on the disposal of a minority interest investment. </w:t>
      </w:r>
      <w:r>
        <w:rPr>
          <w:rFonts w:ascii="Times New Roman" w:cs="Times New Roman" w:eastAsia="Times New Roman" w:hAnsi="Times New Roman"/>
          <w:sz w:val="17"/>
          <w:szCs w:val="17"/>
          <w:b w:val="1"/>
          <w:bCs w:val="1"/>
          <w:color w:val="auto"/>
        </w:rPr>
        <w:t>Provision for Income Taxes</w:t>
      </w: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The effective tax rates for fiscal 2025 and 2024 were 33.8% and 32.6%, respectively. The increase was primarily due to changes in valuation allowance and a decrease in excess tax benefits from share-based compensation, partially offset by changes in unrecognized tax benefits and changes in the geographic composition of pre-tax earnings.</w:t>
      </w:r>
    </w:p>
    <w:p>
      <w:pPr>
        <w:spacing w:after="0" w:line="1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effective tax rate for fiscal 2025 and 2024 was higher than the U.S. federal statutory rate primarily due to foreign earnings subject to U.S. tax and foreign earnings in jurisdictions with different tax rates.</w:t>
      </w:r>
    </w:p>
    <w:p>
      <w:pPr>
        <w:spacing w:after="0" w:line="13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The One Big Beautiful Bill Act was enacted in the United States during the third quarter of fiscal 2025. It is not expected to have a material impact on the provision for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6. 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 AND LIQUIDITY</w:t>
      </w:r>
    </w:p>
    <w:p>
      <w:pPr>
        <w:spacing w:after="0" w:line="1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Working capital at October 31, 2025, and October 31, 2024, was $993.6 million and $928.7 million, respectively. The increase in working capital was primarily due to increases in trade accounts receivable mainly driven by higher sales and timing of collections and inventories, partially offset by increases in accounts payable, employee compensation and benefits and short-term debt.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5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w:t>
            </w:r>
          </w:p>
        </w:tc>
      </w:tr>
      <w:tr>
        <w:trPr>
          <w:trHeight w:val="228"/>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w:t>
            </w:r>
          </w:p>
        </w:tc>
      </w:tr>
      <w:tr>
        <w:trPr>
          <w:trHeight w:val="24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6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Cash Flow</w:t>
      </w:r>
    </w:p>
    <w:p>
      <w:pPr>
        <w:spacing w:after="0" w:line="1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Cash provided by operating activities in fiscal 2025 increased compared to fiscal 2024, primarily due to changes in prepaid and other assets and an increase in non-cash add-back of long-lived asset write-offs.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Cash Flow</w:t>
      </w:r>
    </w:p>
    <w:p>
      <w:pPr>
        <w:spacing w:after="0" w:line="1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Cash used in investing activities in fiscal 2025 decreased compared to cash used in investing activities in fiscal 2024, primarily attributable to $343.4 million cash paid for acquisitions in fiscal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Cash Flow</w:t>
      </w:r>
    </w:p>
    <w:p>
      <w:pPr>
        <w:spacing w:after="0" w:line="16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7"/>
          <w:szCs w:val="17"/>
          <w:color w:val="auto"/>
        </w:rPr>
        <w:t>Cash used in financing activities in fiscal 2025 was primarily attributable to the repurchase of common stock, net repayments on the revolving credit, and the first installment payment related to the Cook Medical acquisition.</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Cash provided by financing activities in fiscal 2024 was primarily attributable to funds received from the 2024 Revolving Credit Facility, partially offset by repayments to fully repay all borrowings outstanding under the 2020 Term Loan Facility and the 2020 Revolving Credit Facility. See Note 5. Financing Arrangements for further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maximum commitments and the net amounts available to us under different credit facilities as of October 31, 2025:</w:t>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Facility Limit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20" w:type="dxa"/>
            <w:vAlign w:val="bottom"/>
          </w:tcPr>
          <w:p>
            <w:pPr>
              <w:spacing w:after="0"/>
              <w:rPr>
                <w:sz w:val="16"/>
                <w:szCs w:val="16"/>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3"/>
              </w:rPr>
              <w:t>Total Amount</w:t>
            </w:r>
          </w:p>
        </w:tc>
        <w:tc>
          <w:tcPr>
            <w:tcW w:w="120" w:type="dxa"/>
            <w:vAlign w:val="bottom"/>
          </w:tcPr>
          <w:p>
            <w:pPr>
              <w:spacing w:after="0"/>
              <w:rPr>
                <w:sz w:val="16"/>
                <w:szCs w:val="16"/>
                <w:color w:val="auto"/>
              </w:rPr>
            </w:pPr>
          </w:p>
        </w:tc>
        <w:tc>
          <w:tcPr>
            <w:tcW w:w="2240" w:type="dxa"/>
            <w:vAlign w:val="bottom"/>
            <w:vMerge w:val="restart"/>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70"/>
        </w:trPr>
        <w:tc>
          <w:tcPr>
            <w:tcW w:w="3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7"/>
                <w:szCs w:val="17"/>
                <w:b w:val="1"/>
                <w:bCs w:val="1"/>
                <w:color w:val="auto"/>
                <w:w w:val="98"/>
              </w:rPr>
              <w:t>Borrowings</w:t>
            </w:r>
          </w:p>
        </w:tc>
        <w:tc>
          <w:tcPr>
            <w:tcW w:w="1460" w:type="dxa"/>
            <w:vAlign w:val="bottom"/>
            <w:gridSpan w:val="3"/>
          </w:tcPr>
          <w:p>
            <w:pPr>
              <w:jc w:val="center"/>
              <w:ind w:right="120"/>
              <w:spacing w:after="0" w:line="171" w:lineRule="exact"/>
              <w:rPr>
                <w:sz w:val="20"/>
                <w:szCs w:val="20"/>
                <w:color w:val="auto"/>
              </w:rPr>
            </w:pPr>
            <w:r>
              <w:rPr>
                <w:rFonts w:ascii="Times New Roman" w:cs="Times New Roman" w:eastAsia="Times New Roman" w:hAnsi="Times New Roman"/>
                <w:sz w:val="17"/>
                <w:szCs w:val="17"/>
                <w:b w:val="1"/>
                <w:bCs w:val="1"/>
                <w:color w:val="auto"/>
                <w:w w:val="96"/>
              </w:rPr>
              <w:t>Letters of Credit</w:t>
            </w:r>
          </w:p>
        </w:tc>
        <w:tc>
          <w:tcPr>
            <w:tcW w:w="120" w:type="dxa"/>
            <w:vAlign w:val="bottom"/>
          </w:tcPr>
          <w:p>
            <w:pPr>
              <w:spacing w:after="0"/>
              <w:rPr>
                <w:sz w:val="14"/>
                <w:szCs w:val="14"/>
                <w:color w:val="auto"/>
              </w:rPr>
            </w:pPr>
          </w:p>
        </w:tc>
        <w:tc>
          <w:tcPr>
            <w:tcW w:w="1120" w:type="dxa"/>
            <w:vAlign w:val="bottom"/>
          </w:tcPr>
          <w:p>
            <w:pPr>
              <w:jc w:val="right"/>
              <w:ind w:right="217"/>
              <w:spacing w:after="0" w:line="171"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12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Revolving Credit: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2024 Revolving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1,338.4</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 1, 2029</w:t>
            </w:r>
          </w:p>
        </w:tc>
        <w:tc>
          <w:tcPr>
            <w:tcW w:w="0" w:type="dxa"/>
            <w:vAlign w:val="bottom"/>
          </w:tcPr>
          <w:p>
            <w:pPr>
              <w:spacing w:after="0"/>
              <w:rPr>
                <w:sz w:val="1"/>
                <w:szCs w:val="1"/>
                <w:color w:val="auto"/>
              </w:rPr>
            </w:pPr>
          </w:p>
        </w:tc>
      </w:tr>
      <w:tr>
        <w:trPr>
          <w:trHeight w:val="226"/>
        </w:trPr>
        <w:tc>
          <w:tcPr>
            <w:tcW w:w="3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Term Loan:</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2021 Term Loan</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December 17, 2026</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As of October 31, 2025, the Company was in compliance with all debt covenants. On May 1, 2024, the Company entered into a Revolving Credit Agreement (the 2024 Credit Agreement). The Company drew on the 2024 Credit Agreement to fully repay borrowings outstanding under the 2020 Term Loan and 2020 Revolving Credit Facility and terminated the 2020 Credit Agreement. See Note 5. Financing Arrangements for further information.</w:t>
      </w:r>
    </w:p>
    <w:p>
      <w:pPr>
        <w:spacing w:after="0" w:line="120"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7"/>
          <w:szCs w:val="17"/>
          <w:color w:val="auto"/>
        </w:rPr>
        <w:t>We have re-evaluated our operating cash flows and cash requirements and continue to believe that current cash, cash equivalents, future cash flow from operating activities and cash available under our 2024 Credit Agreement will be sufficient to meet our anticipated cash needs, including working capital needs, capital expenditures and contractual obligations for at least 12 months from the issuance date of the Consolidated Financial Statements included in this annual report. To the extent additional funds are necessary to meet our liquidity needs such as for acquisitions, share repurchases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In September 2025, the authorization under the 2012 Share Repurchase Program was increased to $2.0 billion by the Company's Board of Directors. As of October 31, 2025, $966.4 million remains authorized for repurchase.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fiscal 2025, the Company repurchased 4.1 million shares of its common stock for $290.1 million, at a weighted average price of $69.30 per share under the program.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fiscal 2024, there were no share repurchases under the program. See Note 8. Stockholders’ Equity for additional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Split</w:t>
      </w:r>
    </w:p>
    <w:p>
      <w:pPr>
        <w:spacing w:after="0" w:line="163"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All share and per share information has been retroactively adjusted to reflect the stock split for all periods presented. The par value of the common stock remains $0.10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As of October 31, 2025, our material cash requirements consisted of future payments for debt and related interests, income tax liabilities related to one-time transition tax, purchase obligations, operating lease and Retirement Income Plan.</w:t>
      </w:r>
    </w:p>
    <w:p>
      <w:pPr>
        <w:spacing w:after="0" w:line="10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We incur interest on a revolving loan and a term loan. Using the same interest rate of October 31, 2025, and assuming borrowings as of October 31, 2025, remain constant throughout all periods, these loans would result in interest payments of $98.7 million in the twelve months ending October 31, 2026, and $128.9 million in the years thereafter. See Note 5. Financing Arrangements for additional information related to debt and interests.</w:t>
      </w:r>
    </w:p>
    <w:p>
      <w:pPr>
        <w:spacing w:after="0" w:line="127"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7"/>
          <w:szCs w:val="17"/>
          <w:color w:val="auto"/>
        </w:rPr>
        <w:t>Income tax liabilities related to the one-time transition tax resulted from the enactment of the 2017 U.S. Tax Act and are payable in annual installments through fiscal 2026. The installment for fiscal 2025 is classified in "Other current liabilities" in our Consolidated Balance Sheet. See Note 6. Income Taxes for the expected one-time transition tax payments.</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Purchase obligations consist of agreements to purchase goods and services that are enforceable and legally binding and includes obligations for inventory, capital expenditures and other operating expense commitments. As of October 31, 2025, we had purchase obligations of $585.1 million, with $279.3 million payable within the twelve months ending October 31, 2026.</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The minimum future payments for operating leases are disclosed in Note 2. Operating Leases and the expected future benefit payments for our Retirement Income Plan through 2035 are disclosed in Note 10. Employee Benefits.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6" w:lineRule="exact"/>
        <w:rPr>
          <w:sz w:val="20"/>
          <w:szCs w:val="20"/>
          <w:color w:val="auto"/>
        </w:rPr>
      </w:pPr>
    </w:p>
    <w:p>
      <w:pPr>
        <w:ind w:right="320" w:firstLine="41"/>
        <w:spacing w:after="0" w:line="247" w:lineRule="auto"/>
        <w:rPr>
          <w:sz w:val="20"/>
          <w:szCs w:val="20"/>
          <w:color w:val="auto"/>
        </w:rPr>
      </w:pPr>
      <w:r>
        <w:rPr>
          <w:rFonts w:ascii="Times New Roman" w:cs="Times New Roman" w:eastAsia="Times New Roman" w:hAnsi="Times New Roman"/>
          <w:sz w:val="17"/>
          <w:szCs w:val="17"/>
          <w:color w:val="auto"/>
        </w:rPr>
        <w:t>Management estimates and judgments are an integral part of financial statements prepared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 The critical accounting policies described in this section address the more significant estimates required of management when preparing the Consolidated Financial Statements in accordance with GAAP.</w:t>
      </w:r>
    </w:p>
    <w:p>
      <w:pPr>
        <w:spacing w:after="0" w:line="148" w:lineRule="exact"/>
        <w:rPr>
          <w:sz w:val="20"/>
          <w:szCs w:val="20"/>
          <w:color w:val="auto"/>
        </w:rPr>
      </w:pPr>
    </w:p>
    <w:p>
      <w:pPr>
        <w:ind w:left="640" w:right="140" w:hanging="635"/>
        <w:spacing w:after="0" w:line="247" w:lineRule="auto"/>
        <w:tabs>
          <w:tab w:leader="none" w:pos="632"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Revenue recognition - We recognize revenue from product sales when obligations under the terms of a contract with the customer are satisfied; generally, this occurs with the transfer of control of the goods to customers and/or when services are rendered. Our payment terms are typically between 30 to 120 days. Provisions for certain rebates, sales incentives, volume discounts, contractual pricing allowances and product returns are accounted for as variable consideration and recorded as a reduction in sales. Estimating these provisions requires judgment based on current and historical customer patterns related to these programs or contractual terms as described below.</w:t>
      </w:r>
    </w:p>
    <w:p>
      <w:pPr>
        <w:spacing w:after="0" w:line="134" w:lineRule="exact"/>
        <w:rPr>
          <w:rFonts w:ascii="Times New Roman" w:cs="Times New Roman" w:eastAsia="Times New Roman" w:hAnsi="Times New Roman"/>
          <w:sz w:val="17"/>
          <w:szCs w:val="17"/>
          <w:i w:val="1"/>
          <w:iCs w:val="1"/>
          <w:color w:val="auto"/>
        </w:rPr>
      </w:pPr>
    </w:p>
    <w:p>
      <w:pPr>
        <w:ind w:left="640" w:right="80"/>
        <w:spacing w:after="0" w:line="251"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Product discounts, including certain rebates, sales incentives, and volume discounts are granted based on terms of the arrangement with direct distribution customers and at times the indirect end consumer. We evaluate contractual terms, historical experience, and perform internal analysis to estimate total product discounts at the time revenue is recognized. Variations between our estimates and actual product discounts have not been material. CooperSurgical rebates are predominately related to the Medicaid rebate provision that is estimated based upon contractual terms, historical experience, and trend analysis which requires judgment due to the length of time between sale and reimbursement from Medicaid.</w:t>
      </w:r>
    </w:p>
    <w:p>
      <w:pPr>
        <w:spacing w:after="0" w:line="131" w:lineRule="exact"/>
        <w:rPr>
          <w:rFonts w:ascii="Times New Roman" w:cs="Times New Roman" w:eastAsia="Times New Roman" w:hAnsi="Times New Roman"/>
          <w:sz w:val="17"/>
          <w:szCs w:val="17"/>
          <w:i w:val="1"/>
          <w:iCs w:val="1"/>
          <w:color w:val="auto"/>
        </w:rPr>
      </w:pPr>
    </w:p>
    <w:p>
      <w:pPr>
        <w:ind w:left="640" w:right="60"/>
        <w:spacing w:after="0" w:line="25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Sales returns are estimated and recorded based on historical sales return data. Promotional programs, such as cooperative advertising arrangements, are recorded in the same period as related sales. Reasonably likely changes to assumptions used to calculate the accruals for rebates, sales incentives, volume discounts, contractual pricing allowances and product returns are not anticipated to have a material effect on the financial statements. We currently disclose the impact of changes to assumptions in the quarterly or annual filing in which there is a material financial statement impact.</w:t>
      </w:r>
    </w:p>
    <w:p>
      <w:pPr>
        <w:spacing w:after="0" w:line="126" w:lineRule="exact"/>
        <w:rPr>
          <w:rFonts w:ascii="Times New Roman" w:cs="Times New Roman" w:eastAsia="Times New Roman" w:hAnsi="Times New Roman"/>
          <w:sz w:val="17"/>
          <w:szCs w:val="17"/>
          <w:i w:val="1"/>
          <w:iCs w:val="1"/>
          <w:color w:val="auto"/>
        </w:rPr>
      </w:pPr>
    </w:p>
    <w:p>
      <w:pPr>
        <w:ind w:left="640" w:right="100" w:hanging="635"/>
        <w:spacing w:after="0" w:line="264" w:lineRule="auto"/>
        <w:tabs>
          <w:tab w:leader="none" w:pos="632"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(IPR&amp;D), the liabilities assumed, and any noncontrolling interest in the acquiree at the acquisition date fair values as defined by accounting standards related to fair value measurements. The fair value of the identifiable intangible assets is determined primarily using the “income approach.” Key assumptions routinely utilized in the income approach to allocate the purchase price to intangible assets include risk-adjusted discount rates and projected financial information such as revenue projections, expected gross and operating margins for the acquired companies. The fair value of IPR&amp;D also factors in probability assumptions about the stage of development and successful completion. If the actual results differ from the estimates and judgments used in these estimates, the amounts recorded in the financial statements could result in a possible impairment of the intangible assets and goodwill.</w:t>
      </w:r>
    </w:p>
    <w:p>
      <w:pPr>
        <w:spacing w:after="0" w:line="138" w:lineRule="exact"/>
        <w:rPr>
          <w:rFonts w:ascii="Times New Roman" w:cs="Times New Roman" w:eastAsia="Times New Roman" w:hAnsi="Times New Roman"/>
          <w:sz w:val="16"/>
          <w:szCs w:val="16"/>
          <w:i w:val="1"/>
          <w:iCs w:val="1"/>
          <w:color w:val="auto"/>
        </w:rPr>
      </w:pPr>
    </w:p>
    <w:p>
      <w:pPr>
        <w:ind w:left="640" w:hanging="635"/>
        <w:spacing w:after="0" w:line="248" w:lineRule="auto"/>
        <w:tabs>
          <w:tab w:leader="none" w:pos="63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taxes - Income taxes are estimated based on enacted income tax laws and the results of operations in each jurisdiction. Deferred tax assets and liabilities are estimated based on temporary differences between the financial reporting basis and income tax basis of assets and liabilities. Judgment is required in measuring the value of deferred tax assets, which are reduced by a valuation allowance to the extent it is more likely than not that the tax benefits are not expected to be realized, including tax credits and net operating loss carryforwards expected to expire before they can be claimed or deducted. For uncertain tax positions, judgment is required in evaluating tax positions for uncertainty in the application of accounting guidance and tax laws. A tax benefit is recognized if it is more likely than not a tax position will be sustained based on its technical merits in a tax authority examination, based on the largest benefit that has a greater than 50% likelihood of being realized upon ultimate settlement with the tax authority.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regarding new accounting pronouncements is included in Note 1. Organization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 About Market Risk</w:t>
      </w:r>
    </w:p>
    <w:p>
      <w:pPr>
        <w:spacing w:after="0" w:line="1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6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w:t>
      </w:r>
    </w:p>
    <w:p>
      <w:pPr>
        <w:spacing w:after="0" w:line="11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At October 31, 2025, a uniform hypothetical 10% increase or decrease in the foreign currency exchange rates in comparison to the value of the U.S. dollar would have resulted in a corresponding increase or decrease of approximately $114.4 million in operating income for the fiscal year ended October 31, 2025. Refer to Item 1A. Risk Factors - "</w:t>
      </w:r>
      <w:r>
        <w:rPr>
          <w:rFonts w:ascii="Times New Roman" w:cs="Times New Roman" w:eastAsia="Times New Roman" w:hAnsi="Times New Roman"/>
          <w:sz w:val="17"/>
          <w:szCs w:val="17"/>
          <w:i w:val="1"/>
          <w:iCs w:val="1"/>
          <w:color w:val="auto"/>
        </w:rPr>
        <w:t>Our substantial and expanding international operations are subject to uncertainties which could affect our business.</w:t>
      </w:r>
      <w:r>
        <w:rPr>
          <w:rFonts w:ascii="Times New Roman" w:cs="Times New Roman" w:eastAsia="Times New Roman" w:hAnsi="Times New Roman"/>
          <w:sz w:val="17"/>
          <w:szCs w:val="17"/>
          <w:color w:val="auto"/>
        </w:rPr>
        <w:t>" and Note 1. Organization and Significant Accounting Policies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7"/>
          <w:szCs w:val="17"/>
          <w:color w:val="auto"/>
        </w:rPr>
        <w:t>We are exposed to risks associated with changes in interest rates, as the interest rates on our revolving lines of credit and term loans may vary with the federal funds rate and SOFR. As of October 31, 2025, we had outstanding debt for an aggregate carrying amount of $2.5 billion. We have entered, and in the future may enter, into interest rate swaps to manage interest rate risk.</w:t>
      </w:r>
    </w:p>
    <w:p>
      <w:pPr>
        <w:spacing w:after="0" w:line="1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fourth quarter of fiscal 2025. Refer to Item 1A. Risk Factors</w:t>
      </w:r>
    </w:p>
    <w:p>
      <w:pPr>
        <w:ind w:left="5540" w:right="2740" w:hanging="5535"/>
        <w:spacing w:after="0" w:line="872" w:lineRule="auto"/>
        <w:tabs>
          <w:tab w:leader="none" w:pos="10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 are vulnerable to interest rate risk with respect to our debt.</w:t>
      </w:r>
      <w:r>
        <w:rPr>
          <w:rFonts w:ascii="Times New Roman" w:cs="Times New Roman" w:eastAsia="Times New Roman" w:hAnsi="Times New Roman"/>
          <w:sz w:val="17"/>
          <w:szCs w:val="17"/>
          <w:color w:val="auto"/>
        </w:rPr>
        <w:t>" and Note 5. Financing Arrangements for further information.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-270510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Opinions on the Consolidated Financial Statements and Internal Control Over Financial Reporting</w:t>
      </w:r>
    </w:p>
    <w:p>
      <w:pPr>
        <w:spacing w:after="0" w:line="8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The Cooper Companies, Inc. and subsidiaries (the Company) as of October 31, 2025 and 2024, the related consolidated statements of income, comprehensive income, stockholders’ equity, and cash flows for each of the years in the three-year period ended October 31, 2025, and the related notes (collectively, the consolidated financial statements). We also have audited the Company’s internal control over financial reporting as of October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5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October 31, 2025 and 2024, and the results of its operations and its cash flows for each of the years in the three-year period ended October 31, 2025, in conformity with U.S. generally accepted accounting principles. Also in our opinion, the Company maintained, in all material respects, effective internal control over financial reporting as of October 31, 2025 based on criteria established in Internal Control – Integrated Framework (2013) issued by the Committee of Sponsoring Organizations of the Treadway Commission.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Opinions</w:t>
      </w:r>
    </w:p>
    <w:p>
      <w:pPr>
        <w:spacing w:after="0" w:line="17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3"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8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w:t>
      </w:r>
    </w:p>
    <w:p>
      <w:pPr>
        <w:spacing w:after="0" w:line="17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the sufficiency of audit evidence over inventories and net sales</w:t>
      </w:r>
    </w:p>
    <w:p>
      <w:pPr>
        <w:spacing w:after="0" w:line="1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As discussed in Notes 1 and 12 to the consolidated financial statements and disclosed in the consolidated balance sheet and consolidated statement of income, the Company recorded $846.0 million in inventories and $4,092.4 million in net sales as of and for the year ended October 31, 2025, respectively. Inventories are primarily comprised of raw materials, work-in-process, and finished goods that are physically located at certain of the Company's locations. Net sales are recognized primarily from the sale of products from each of the Company's locations.</w:t>
      </w:r>
    </w:p>
    <w:p>
      <w:pPr>
        <w:spacing w:after="0" w:line="2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over inventories and net sales as a critical audit matter. Evaluating the sufficiency of the audit evidence obtained required subjective auditor judgment because of the decentralized structure and geographic dispersion of the Company's manufacturing and distribution locations. This included determining the locations for which procedures were performed.</w:t>
      </w:r>
    </w:p>
    <w:p>
      <w:pPr>
        <w:spacing w:after="0" w:line="21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applied auditor judgment to determine the nature and extent of procedures to be performed over inventories and net sales, including the determination of the Company’s locations for which those procedures were performed. For certain locations where procedures were performed, we evaluated the design and tested the operating effectiveness of certain internal controls over the Company's inventories and net sales processes, including controls over the amounts recorded in inventories and the amounts recorded in net sales. We assessed the recorded inventories for each location where procedures were performed by participating in a physical inventory count and observing a sample of inventories on hand and comparing the cost recorded for a sample of inventories on hand to underlying documentation. We 1) assessed recorded net sales by selecting a sample of net sales transactions and comparing the amount recognized to underlying documentation, such as contracts with customers and shipping documentation and 2) performed software-assisted data analyses to test the relationships among certain sales transactions. We evaluated the overall sufficiency of audit evidence obtained by assessing the results of procedures performed over inventories and net sales, including the appropriateness of the nature and extent of audit effort.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1982.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5, 2025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40" w:type="dxa"/>
            <w:vAlign w:val="bottom"/>
          </w:tcPr>
          <w:p>
            <w:pPr>
              <w:spacing w:after="0"/>
              <w:rPr>
                <w:sz w:val="17"/>
                <w:szCs w:val="17"/>
                <w:color w:val="auto"/>
              </w:rPr>
            </w:pPr>
          </w:p>
        </w:tc>
        <w:tc>
          <w:tcPr>
            <w:tcW w:w="112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 except for earnings per share)</w:t>
            </w: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 (Note 6)</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share (Note 7)*;</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560" w:type="dxa"/>
            <w:vAlign w:val="bottom"/>
            <w:gridSpan w:val="2"/>
            <w:vMerge w:val="continue"/>
          </w:tcPr>
          <w:p>
            <w:pPr>
              <w:spacing w:after="0"/>
              <w:rPr>
                <w:sz w:val="16"/>
                <w:szCs w:val="16"/>
                <w:color w:val="auto"/>
              </w:rPr>
            </w:pPr>
          </w:p>
        </w:tc>
        <w:tc>
          <w:tcPr>
            <w:tcW w:w="340" w:type="dxa"/>
            <w:vAlign w:val="bottom"/>
            <w:tcBorders>
              <w:bottom w:val="single" w:sz="8" w:color="auto"/>
            </w:tcBorders>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1.97</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Number of shares used to compute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560" w:type="dxa"/>
            <w:vAlign w:val="bottom"/>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200.0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199.3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160" w:right="140" w:hanging="4011"/>
        <w:spacing w:after="0" w:line="266" w:lineRule="auto"/>
        <w:tabs>
          <w:tab w:leader="none" w:pos="77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Organization and Significant Accounting Policies for further information.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60" w:type="dxa"/>
            <w:vAlign w:val="bottom"/>
          </w:tcPr>
          <w:p>
            <w:pPr>
              <w:spacing w:after="0"/>
              <w:rPr>
                <w:sz w:val="17"/>
                <w:szCs w:val="17"/>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8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Cash flow hedges, net of tax of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shd w:val="clear" w:color="auto" w:fill="CCEEFF"/>
              </w:rPr>
              <w:t>8.6</w:t>
            </w: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$13.4 and $(2.4),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Change in minimum pension liability, net of tax of $(1.9), $0.5 and $1.0, respectively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6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October 31,</w:t>
            </w:r>
          </w:p>
        </w:tc>
        <w:tc>
          <w:tcPr>
            <w:tcW w:w="400" w:type="dxa"/>
            <w:vAlign w:val="bottom"/>
          </w:tcPr>
          <w:p>
            <w:pPr>
              <w:spacing w:after="0"/>
              <w:rPr>
                <w:sz w:val="16"/>
                <w:szCs w:val="16"/>
                <w:color w:val="auto"/>
              </w:rPr>
            </w:pPr>
          </w:p>
        </w:tc>
        <w:tc>
          <w:tcPr>
            <w:tcW w:w="1320" w:type="dxa"/>
            <w:vAlign w:val="bottom"/>
            <w:vMerge w:val="restart"/>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5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6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7"/>
                <w:szCs w:val="17"/>
                <w:color w:val="auto"/>
              </w:rPr>
              <w:t>Trade accounts receivable, net of allowance for credit losses of $51.9 at October 31, 2025 and $43.5 at</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829.0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717.0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October 31, 2024</w:t>
            </w:r>
          </w:p>
        </w:tc>
        <w:tc>
          <w:tcPr>
            <w:tcW w:w="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Inventories (Note 1)</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802.7</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(Note 4)</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intangibles, net (Note 4)</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1,791.0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660.6</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12,394.8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76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Short-term debt (Note 5)</w:t>
            </w: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 (Note 5)</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tax payable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4,155.7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Contingencies (Note 11)</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Preferred stock, $0.10 par value, 1.0 shares authorized, zero shares issued or outstanding</w:t>
            </w: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660" w:type="dxa"/>
            <w:vAlign w:val="bottom"/>
            <w:gridSpan w:val="2"/>
            <w:shd w:val="clear" w:color="auto" w:fill="CCEEFF"/>
          </w:tcPr>
          <w:p>
            <w:pPr>
              <w:ind w:left="320"/>
              <w:spacing w:after="0" w:line="166" w:lineRule="exact"/>
              <w:rPr>
                <w:sz w:val="20"/>
                <w:szCs w:val="20"/>
                <w:color w:val="auto"/>
              </w:rPr>
            </w:pPr>
            <w:r>
              <w:rPr>
                <w:rFonts w:ascii="Times New Roman" w:cs="Times New Roman" w:eastAsia="Times New Roman" w:hAnsi="Times New Roman"/>
                <w:sz w:val="17"/>
                <w:szCs w:val="17"/>
                <w:color w:val="auto"/>
                <w:w w:val="99"/>
              </w:rPr>
              <w:t>Common stock, $0.10 par value, 480.0 shares authorized, 217.6 issued and 195.9 outstanding at October 31,</w:t>
            </w: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7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2025 and 217.2 issued and 199.6 outstanding at October 31, 2024</w:t>
            </w:r>
          </w:p>
        </w:tc>
        <w:tc>
          <w:tcPr>
            <w:tcW w:w="40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766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7,268.4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Treasury stock at cost: 21.7 shares at October 31, 2025 and 17.6 shares at October 31, 2024</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Total Cooper stockholders' equity</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8,238.9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8,083.4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Stockholders’ equity (Note 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8,239.1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8,083.6</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12,394.8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60" w:hanging="311"/>
        <w:spacing w:after="0"/>
        <w:tabs>
          <w:tab w:leader="none" w:pos="4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Organization and Significant</w:t>
      </w:r>
    </w:p>
    <w:p>
      <w:pPr>
        <w:spacing w:after="0" w:line="19" w:lineRule="exact"/>
        <w:rPr>
          <w:rFonts w:ascii="Times New Roman" w:cs="Times New Roman" w:eastAsia="Times New Roman" w:hAnsi="Times New Roman"/>
          <w:sz w:val="17"/>
          <w:szCs w:val="17"/>
          <w:color w:val="auto"/>
        </w:rPr>
      </w:pPr>
    </w:p>
    <w:p>
      <w:pPr>
        <w:ind w:left="4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Policies for further information.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60" w:name="page61"/>
    <w:bookmarkEnd w:id="60"/>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0" w:lineRule="exact"/>
        <w:rPr>
          <w:sz w:val="20"/>
          <w:szCs w:val="20"/>
          <w:color w:val="auto"/>
        </w:rPr>
      </w:pP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Common Shares</w:t>
            </w:r>
          </w:p>
        </w:tc>
        <w:tc>
          <w:tcPr>
            <w:tcW w:w="1280" w:type="dxa"/>
            <w:vAlign w:val="bottom"/>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gridSpan w:val="5"/>
          </w:tcPr>
          <w:p>
            <w:pPr>
              <w:spacing w:after="0" w:line="158"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7"/>
                <w:szCs w:val="17"/>
                <w:b w:val="1"/>
                <w:bCs w:val="1"/>
                <w:color w:val="auto"/>
                <w:w w:val="97"/>
              </w:rPr>
              <w:t>Accumulated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tcBorders>
              <w:top w:val="single" w:sz="8" w:color="auto"/>
            </w:tcBorders>
            <w:gridSpan w:val="4"/>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except per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5"/>
                <w:szCs w:val="15"/>
                <w:b w:val="1"/>
                <w:bCs w:val="1"/>
                <w:color w:val="auto"/>
              </w:rPr>
              <w:t>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38"/>
              <w:spacing w:after="0" w:line="138"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share</w:t>
            </w:r>
          </w:p>
        </w:tc>
        <w:tc>
          <w:tcPr>
            <w:tcW w:w="340" w:type="dxa"/>
            <w:vAlign w:val="bottom"/>
            <w:tcBorders>
              <w:top w:val="single" w:sz="8" w:color="auto"/>
            </w:tcBorders>
            <w:gridSpan w:val="2"/>
          </w:tcPr>
          <w:p>
            <w:pPr>
              <w:spacing w:after="0"/>
              <w:rPr>
                <w:sz w:val="12"/>
                <w:szCs w:val="12"/>
                <w:color w:val="auto"/>
              </w:rPr>
            </w:pPr>
          </w:p>
        </w:tc>
        <w:tc>
          <w:tcPr>
            <w:tcW w:w="32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2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76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1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0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40" w:type="dxa"/>
            <w:vAlign w:val="bottom"/>
            <w:gridSpan w:val="5"/>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amounts)</w:t>
            </w:r>
          </w:p>
        </w:tc>
        <w:tc>
          <w:tcPr>
            <w:tcW w:w="6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Amount</w:t>
            </w:r>
          </w:p>
        </w:tc>
        <w:tc>
          <w:tcPr>
            <w:tcW w:w="5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3"/>
                <w:szCs w:val="13"/>
                <w:color w:val="auto"/>
              </w:rPr>
            </w:pPr>
          </w:p>
        </w:tc>
        <w:tc>
          <w:tcPr>
            <w:tcW w:w="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5"/>
                <w:szCs w:val="15"/>
                <w:b w:val="1"/>
                <w:bCs w:val="1"/>
                <w:color w:val="auto"/>
              </w:rPr>
              <w:t>Income Loss</w:t>
            </w:r>
          </w:p>
        </w:tc>
        <w:tc>
          <w:tcPr>
            <w:tcW w:w="76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7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3"/>
                <w:szCs w:val="13"/>
                <w:color w:val="auto"/>
              </w:rPr>
            </w:pPr>
          </w:p>
        </w:tc>
        <w:tc>
          <w:tcPr>
            <w:tcW w:w="10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5"/>
                <w:szCs w:val="15"/>
                <w:b w:val="1"/>
                <w:bCs w:val="1"/>
                <w:color w:val="auto"/>
              </w:rPr>
              <w:t>Interests</w:t>
            </w:r>
          </w:p>
        </w:tc>
        <w:tc>
          <w:tcPr>
            <w:tcW w:w="180" w:type="dxa"/>
            <w:vAlign w:val="bottom"/>
          </w:tcPr>
          <w:p>
            <w:pPr>
              <w:spacing w:after="0"/>
              <w:rPr>
                <w:sz w:val="13"/>
                <w:szCs w:val="13"/>
                <w:color w:val="auto"/>
              </w:rPr>
            </w:pPr>
          </w:p>
        </w:tc>
        <w:tc>
          <w:tcPr>
            <w:tcW w:w="820" w:type="dxa"/>
            <w:vAlign w:val="bottom"/>
          </w:tcPr>
          <w:p>
            <w:pPr>
              <w:jc w:val="right"/>
              <w:ind w:right="178"/>
              <w:spacing w:after="0" w:line="131"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$6,584.9</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(714.5)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7,174.7</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Other</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w w:val="99"/>
              </w:rPr>
              <w:t>comprehensive</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5"/>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income (loss),</w:t>
            </w:r>
          </w:p>
        </w:tc>
        <w:tc>
          <w:tcPr>
            <w:tcW w:w="6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040" w:type="dxa"/>
            <w:vAlign w:val="bottom"/>
            <w:gridSpan w:val="5"/>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of tax</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Issuance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w w:val="97"/>
              </w:rPr>
              <w:t>for stock plans,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5"/>
          </w:tcPr>
          <w:p>
            <w:pPr>
              <w:spacing w:after="0" w:line="171" w:lineRule="exact"/>
              <w:rPr>
                <w:sz w:val="20"/>
                <w:szCs w:val="20"/>
                <w:color w:val="auto"/>
              </w:rPr>
            </w:pPr>
            <w:r>
              <w:rPr>
                <w:rFonts w:ascii="Times New Roman" w:cs="Times New Roman" w:eastAsia="Times New Roman" w:hAnsi="Times New Roman"/>
                <w:sz w:val="17"/>
                <w:szCs w:val="17"/>
                <w:color w:val="auto"/>
              </w:rPr>
              <w:t>net and</w:t>
            </w: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employee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stock purchase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plan</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Dividends on</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5"/>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($0.01 per</w:t>
            </w:r>
          </w:p>
        </w:tc>
        <w:tc>
          <w:tcPr>
            <w:tcW w:w="6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040" w:type="dxa"/>
            <w:vAlign w:val="bottom"/>
            <w:gridSpan w:val="5"/>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Share-based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expense</w:t>
            </w:r>
          </w:p>
        </w:tc>
        <w:tc>
          <w:tcPr>
            <w:tcW w:w="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gridSpan w:val="5"/>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$6,876.1</w:t>
            </w: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(710.3)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7,551.0</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Other</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w w:val="99"/>
              </w:rPr>
              <w:t>comprehensive</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5"/>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income (loss),</w:t>
            </w:r>
          </w:p>
        </w:tc>
        <w:tc>
          <w:tcPr>
            <w:tcW w:w="6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040" w:type="dxa"/>
            <w:vAlign w:val="bottom"/>
            <w:gridSpan w:val="5"/>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of tax</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Issuance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w w:val="97"/>
              </w:rPr>
              <w:t>for stock plans,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5"/>
          </w:tcPr>
          <w:p>
            <w:pPr>
              <w:spacing w:after="0" w:line="171" w:lineRule="exact"/>
              <w:rPr>
                <w:sz w:val="20"/>
                <w:szCs w:val="20"/>
                <w:color w:val="auto"/>
              </w:rPr>
            </w:pPr>
            <w:r>
              <w:rPr>
                <w:rFonts w:ascii="Times New Roman" w:cs="Times New Roman" w:eastAsia="Times New Roman" w:hAnsi="Times New Roman"/>
                <w:sz w:val="17"/>
                <w:szCs w:val="17"/>
                <w:color w:val="auto"/>
              </w:rPr>
              <w:t>net and</w:t>
            </w: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employee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stock purchase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plan</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Share-based</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w:t>
            </w:r>
          </w:p>
        </w:tc>
        <w:tc>
          <w:tcPr>
            <w:tcW w:w="5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5"/>
          </w:tcPr>
          <w:p>
            <w:pPr>
              <w:spacing w:after="0" w:line="142"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1,921.0</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$7,268.4</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(706.0)</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8,083.6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Other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w w:val="99"/>
              </w:rPr>
              <w:t>comprehensive</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5"/>
            <w:vMerge w:val="restart"/>
          </w:tcPr>
          <w:p>
            <w:pPr>
              <w:spacing w:after="0" w:line="162" w:lineRule="exact"/>
              <w:rPr>
                <w:sz w:val="20"/>
                <w:szCs w:val="20"/>
                <w:color w:val="auto"/>
              </w:rPr>
            </w:pPr>
            <w:r>
              <w:rPr>
                <w:rFonts w:ascii="Times New Roman" w:cs="Times New Roman" w:eastAsia="Times New Roman" w:hAnsi="Times New Roman"/>
                <w:sz w:val="17"/>
                <w:szCs w:val="17"/>
                <w:color w:val="auto"/>
              </w:rPr>
              <w:t>income (loss),</w:t>
            </w:r>
          </w:p>
        </w:tc>
        <w:tc>
          <w:tcPr>
            <w:tcW w:w="6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net of tax</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Issuance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common stock</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w w:val="97"/>
              </w:rPr>
              <w:t>for stock plans,</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net and</w:t>
            </w: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employee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stock purchase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gridSpan w:val="5"/>
          </w:tcPr>
          <w:p>
            <w:pPr>
              <w:spacing w:after="0" w:line="162" w:lineRule="exact"/>
              <w:rPr>
                <w:sz w:val="20"/>
                <w:szCs w:val="20"/>
                <w:color w:val="auto"/>
              </w:rPr>
            </w:pPr>
            <w:r>
              <w:rPr>
                <w:rFonts w:ascii="Times New Roman" w:cs="Times New Roman" w:eastAsia="Times New Roman" w:hAnsi="Times New Roman"/>
                <w:sz w:val="17"/>
                <w:szCs w:val="17"/>
                <w:color w:val="auto"/>
              </w:rPr>
              <w:t>Share-based</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expense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Stock</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104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w:t>
            </w: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1040" w:type="dxa"/>
            <w:vAlign w:val="bottom"/>
            <w:gridSpan w:val="5"/>
            <w:vMerge w:val="continue"/>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5"/>
          </w:tcPr>
          <w:p>
            <w:pPr>
              <w:spacing w:after="0" w:line="142" w:lineRule="exact"/>
              <w:rPr>
                <w:sz w:val="20"/>
                <w:szCs w:val="20"/>
                <w:color w:val="auto"/>
              </w:rPr>
            </w:pPr>
            <w:r>
              <w:rPr>
                <w:rFonts w:ascii="Times New Roman" w:cs="Times New Roman" w:eastAsia="Times New Roman" w:hAnsi="Times New Roman"/>
                <w:sz w:val="16"/>
                <w:szCs w:val="16"/>
                <w:color w:val="auto"/>
              </w:rPr>
              <w:t>Balance at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1,975.5</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$7,643.3</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(995.2)</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8,239.1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October 31,</w:t>
            </w: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1"/>
        <w:spacing w:after="0"/>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Organization and Significant</w:t>
      </w:r>
    </w:p>
    <w:p>
      <w:pPr>
        <w:spacing w:after="0" w:line="19" w:lineRule="exact"/>
        <w:rPr>
          <w:rFonts w:ascii="Times New Roman" w:cs="Times New Roman" w:eastAsia="Times New Roman" w:hAnsi="Times New Roman"/>
          <w:sz w:val="17"/>
          <w:szCs w:val="17"/>
          <w:color w:val="auto"/>
        </w:rPr>
      </w:pPr>
    </w:p>
    <w:p>
      <w:pPr>
        <w:ind w:left="4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Policies for further information.</w:t>
      </w:r>
    </w:p>
    <w:p>
      <w:pPr>
        <w:spacing w:after="0" w:line="21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00"/>
          </w:cols>
          <w:pgMar w:left="460" w:top="901" w:right="239" w:bottom="681" w:gutter="0" w:footer="0" w:header="0"/>
        </w:sectPr>
      </w:pPr>
    </w:p>
    <w:p>
      <w:pPr>
        <w:spacing w:after="0" w:line="3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75565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460" w:top="901" w:right="239" w:bottom="681" w:gutter="0" w:footer="0" w:header="0"/>
          <w:type w:val="continuous"/>
        </w:sectPr>
      </w:pPr>
    </w:p>
    <w:bookmarkStart w:id="61" w:name="page62"/>
    <w:bookmarkEnd w:id="61"/>
    <w:p>
      <w:pPr>
        <w:ind w:left="3840"/>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w:t>
      </w: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4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60" w:type="dxa"/>
            <w:vAlign w:val="bottom"/>
            <w:gridSpan w:val="2"/>
            <w:vMerge w:val="restart"/>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46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204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8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Adjustments to reconcile net income to net cash provided by operating activities: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including asset impairment charges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income taxes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Operating lease right-of-use assets and liabilities, net</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Accrued liabilities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income taxes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Acquisitions of businesses and assets, net of cash acquired, and other</w:t>
            </w:r>
          </w:p>
        </w:tc>
        <w:tc>
          <w:tcPr>
            <w:tcW w:w="1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long-term debt, net of issuance costs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proceeds from (repayments of) short-term debt, other</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related to share-based compensation awards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Payments related to share-based compensation awards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on common stock</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common stock for employee stock purchase plan</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installment payment</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cash provided (used in) by financing activities</w:t>
            </w:r>
          </w:p>
        </w:tc>
        <w:tc>
          <w:tcPr>
            <w:tcW w:w="1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(425.9)</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Cash, cash equivalents, restricted cash and cash held for sale at beginning of year</w:t>
            </w:r>
          </w:p>
        </w:tc>
        <w:tc>
          <w:tcPr>
            <w:tcW w:w="1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176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paid for:</w:t>
            </w:r>
          </w:p>
        </w:tc>
        <w:tc>
          <w:tcPr>
            <w:tcW w:w="1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204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8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ROU assets obtained in exchange for lease obligations</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60" w:type="dxa"/>
            <w:vAlign w:val="bottom"/>
          </w:tcPr>
          <w:p>
            <w:pPr>
              <w:jc w:val="right"/>
              <w:ind w:right="1457"/>
              <w:spacing w:after="0"/>
              <w:rPr>
                <w:sz w:val="20"/>
                <w:szCs w:val="20"/>
                <w:color w:val="auto"/>
              </w:rPr>
            </w:pPr>
            <w:r>
              <w:rPr>
                <w:rFonts w:ascii="Times New Roman" w:cs="Times New Roman" w:eastAsia="Times New Roman" w:hAnsi="Times New Roman"/>
                <w:sz w:val="17"/>
                <w:szCs w:val="17"/>
                <w:color w:val="auto"/>
              </w:rPr>
              <w:t>62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vMerge w:val="restart"/>
          </w:tcPr>
          <w:p>
            <w:pPr>
              <w:spacing w:after="0" w:line="183" w:lineRule="exact"/>
              <w:rPr>
                <w:sz w:val="20"/>
                <w:szCs w:val="20"/>
                <w:color w:val="auto"/>
              </w:rPr>
            </w:pPr>
            <w:r>
              <w:rPr>
                <w:rFonts w:ascii="Times New Roman" w:cs="Times New Roman" w:eastAsia="Times New Roman" w:hAnsi="Times New Roman"/>
                <w:sz w:val="17"/>
                <w:szCs w:val="17"/>
                <w:b w:val="1"/>
                <w:bCs w:val="1"/>
                <w:color w:val="auto"/>
                <w:w w:val="96"/>
              </w:rPr>
              <w:t>(In millions)</w:t>
            </w:r>
          </w:p>
        </w:tc>
        <w:tc>
          <w:tcPr>
            <w:tcW w:w="6340" w:type="dxa"/>
            <w:vAlign w:val="bottom"/>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63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flow information:</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7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110.6</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107.6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Restricted cash included in other current assets</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2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cash, cash equivalents, restricted cash and cash held for sale</w:t>
            </w:r>
          </w:p>
        </w:tc>
        <w:tc>
          <w:tcPr>
            <w:tcW w:w="82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107.7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Organization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The Cooper Companies, Inc. (Cooper, we or the Company) is a global medical device company publicly traded on the Nasdaq (Nasdaq: COO). Cooper operates through two business units, CooperVision and CooperSurgical.</w:t>
      </w:r>
    </w:p>
    <w:p>
      <w:pPr>
        <w:spacing w:after="0" w:line="104" w:lineRule="exact"/>
        <w:rPr>
          <w:sz w:val="20"/>
          <w:szCs w:val="20"/>
          <w:color w:val="auto"/>
        </w:rPr>
      </w:pPr>
    </w:p>
    <w:p>
      <w:pPr>
        <w:ind w:left="620" w:hanging="615"/>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CooperVision primarily develops, manufactures and markets a broad range of soft contact lenses for the worldwide vision correction market.</w:t>
      </w:r>
    </w:p>
    <w:p>
      <w:pPr>
        <w:spacing w:after="0" w:line="158" w:lineRule="exact"/>
        <w:rPr>
          <w:rFonts w:ascii="Times New Roman" w:cs="Times New Roman" w:eastAsia="Times New Roman" w:hAnsi="Times New Roman"/>
          <w:sz w:val="17"/>
          <w:szCs w:val="17"/>
          <w:color w:val="auto"/>
        </w:rPr>
      </w:pPr>
    </w:p>
    <w:p>
      <w:pPr>
        <w:ind w:left="640" w:right="140" w:hanging="635"/>
        <w:spacing w:after="0" w:line="266" w:lineRule="auto"/>
        <w:tabs>
          <w:tab w:leader="none" w:pos="632"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CooperSurgical primarily develops, manufactures, markets medical devices and procedures solutions, and provides services to improve fertility and women's health care market.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The financial statements in this report include the results of all of Cooper's consolidated entities. All significant intercompany transactions and balances are eliminated on consolidation.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Sales</w:t>
      </w:r>
    </w:p>
    <w:p>
      <w:pPr>
        <w:spacing w:after="0" w:line="1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may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 negotiated rebates, chargebacks and discounts with respect to the purchase of the Company’s products. The Company considers purchase orders, which in some cases are governed by master sales agreements, to be contracts with a customer. As part of its consideration of the contract, the Company evaluates certain factors including the customer’s ability to pay (or credit risk). For each contract, the Company considers the promise to transfer products or render services, each of which is distinct, to be the identified performance obligations. The consideration in the contract is allocated among the identified performance obligations based on a relative standalone selling price basis. The standalone selling price for each performance obligation is derived from the actual selling price or estimated using historical data or publicly available information.</w:t>
      </w:r>
    </w:p>
    <w:p>
      <w:pPr>
        <w:spacing w:after="0" w:line="11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7"/>
          <w:szCs w:val="17"/>
          <w:color w:val="auto"/>
        </w:rPr>
        <w:t>Revenues from product sales are recognized when the Customer obtains control of the Company’s product, which occurs at a point in time, typically upon shipment or delivery to the Customer. Revenues from service sales are recognized when services are rendered, whether at a point in time or based on the passage of time depending on the type of services.</w:t>
      </w:r>
    </w:p>
    <w:p>
      <w:pPr>
        <w:spacing w:after="0" w:line="1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Stem cell revenue, which includes the initial processing service and ongoing storage service, accounts for the majority of our service revenues. Revenue allocated to the processing service is recognized at a point in time when the cord blood and/or cord tissue is processed and deemed ready for storage. Revenue allocated to storage service is recognized ratably over the terms of the storage contracts, which vary in length. The majority of the contracts have a term of one year or 18 years. Deferred revenue primarily represents prepaid stem cell storage as part of the CooperSurgical business unit. The current portion of the deferred revenue balances at the beginning of each year presented were generally fully recognized in a ratable manner in the subsequent 12-month period. We recognized revenue of approximately$129.9 million and $123.6 million for the year ended October 31, 2025, and October 31, 2024, respectively, that was included in the deferred revenue balance at October 31, 2024, and October 31, 2023.</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Taxes collected from Customers and remitted to governmental authorities are excluded from revenues. The Company expenses incremental costs of obtaining a contract as and when incurred if the expected amortization period of the asset that the Company would have recognized is one year or less. See Note 12. Business Segment Information for disaggregation of revenue.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Reserves for Variable Consideration</w:t>
      </w:r>
    </w:p>
    <w:p>
      <w:pPr>
        <w:spacing w:after="0" w:line="16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applies that method consistently.</w:t>
      </w:r>
    </w:p>
    <w:p>
      <w:pPr>
        <w:spacing w:after="0" w:line="134"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6"/>
          <w:szCs w:val="16"/>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Trade Discounts and Allowances</w:t>
      </w:r>
    </w:p>
    <w:p>
      <w:pPr>
        <w:spacing w:after="0" w:line="1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The Company generally provides Customers with discounts, which include incentive fees that are stated in the Company’s contracts and are recorded as a reduction of revenue in the period the related product revenue is recognized.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Returns</w:t>
      </w:r>
    </w:p>
    <w:p>
      <w:pPr>
        <w:spacing w:after="0" w:line="17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Consistent with industry practice, the Company generally offers Customers a limited right of return for a product that has been purchased from the Company. The Company estimates the amount of its product sales that may be returned by its Customers and records this estimate as a reduction of revenue in the period the related product revenue is recognized. Historically, returns have been infrequent and insignificant relative to our total sales. Our refund liability for product returns is included in "Other current liabilities" in our Consolidated Balance Sheets and represents the expected value of the aggregate refunds that will be due to our customers.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Rebates and Chargebacks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Rebates are estimated based on contractual terms, historical experience, customer mix, trend analysis and projected market conditions in the various markets served.</w:t>
      </w:r>
    </w:p>
    <w:p>
      <w:pPr>
        <w:spacing w:after="0" w:line="15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portfolio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We grant various share-based compensation awards, including stock options, performance unit shares, restricted stock and restricted stock units. The Company accounts for share-based compensation expense based on estimated grant-date fair value, and expenses the amount over the vesting period of the award. Determining the fair value of share-based awards at the grant date requires judgment, including estimating Cooper's stock price volatility, employee exercise behaviors and related employee forfeiture rates.</w:t>
      </w:r>
    </w:p>
    <w:p>
      <w:pPr>
        <w:spacing w:after="0" w:line="1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The expected life of the share-based awards is based on the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 provided by the United States Treasury with a term equal to the expected life of the award. The dividend yield is based on the projected annual dividend payment per share, divided by the stock price at the date of grant.</w:t>
      </w:r>
    </w:p>
    <w:p>
      <w:pPr>
        <w:spacing w:after="0" w:line="13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Forfeitures are estimated at the time of grant, based on historical experience, and revised, if necessary, in subsequent periods if actual forfeitures differ from those estimates.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Most of our operations outside the United States use their local currency as their functional currency. We translate these assets and liabilities into U.S. dollars at year-end exchange rates. We translate income and expense accounts at average exchange rates for the period. We record gains and losses from the translation of financial statements in foreign currencies into U.S. dollars in other comprehensive income. We record gains and losses from changes in exchange rates on transactions denominated in currencies other than each reporting location's functional currency in net income for each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Derivatives and Hedging</w:t>
      </w:r>
    </w:p>
    <w:p>
      <w:pPr>
        <w:spacing w:after="0" w:line="16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7"/>
          <w:szCs w:val="17"/>
          <w:color w:val="auto"/>
        </w:rPr>
        <w:t>Derivatives are recorded on the Consolidated Balance Sheets at fair value. Accounting for gains or losses resulting from changes in the values of those derivatives depends on the use of the derivative instrument and whether it qualifies for hedge accounting.</w:t>
      </w:r>
    </w:p>
    <w:p>
      <w:pPr>
        <w:spacing w:after="0" w:line="1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Balance Sheets for presentation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Quoted market prices in active markets for identical assets or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Observable market-based inputs or unobservable inputs that are corroborated by market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3: Unobservable inputs reflecting the reporting entity’s own assumptions.</w:t>
      </w:r>
    </w:p>
    <w:p>
      <w:pPr>
        <w:spacing w:after="0" w:line="17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The carrying value of the Company's revolving credit facility and term loans approximates fair value based on current market rates (Level 2). Refer to Note 5. Financing Arrangements for further information.</w:t>
      </w:r>
    </w:p>
    <w:p>
      <w:pPr>
        <w:spacing w:after="0" w:line="11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fair value of the Company's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The fair value of derivative instruments is included in "Other assets" in our Consolidated Balance Sheets. On our Consolidated Financial Statements. the gain or loss on the derivatives is recorded as a component of "Accumulated other comprehensive loss" and subsequently reclassified into "Interest expense" in the same period during which the hedged transaction affects earnings. Refer to Note 13. Financial Derivatives and Hedging for further information.</w:t>
      </w:r>
    </w:p>
    <w:p>
      <w:pPr>
        <w:spacing w:after="0" w:line="14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7"/>
          <w:szCs w:val="17"/>
          <w:color w:val="auto"/>
        </w:rPr>
        <w:t>The Company uses fair value measures for assets and liabilities acquired in an acquisition, which are considered a Level 3 measurement. Contingent consideration for which a liability is recorded and the initial measurement of the joint venture interest are also categorized as Level 3 in the fair value hierarchy; and the change in fair value is recognized in "Selling, general and administrative expense" in the Consolidated Statements of Income. The fair value is measured by discounting expected future cash flows. The discount rate used for cash flows reflects capital market conditions and the specific risks associated with the business. Refer to Note 3. Acquisitions and Joint Venture for further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6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Income taxes are estimated based on enacted income tax laws and the results of operations in each jurisdiction. Deferred tax assets and liabilities are estimated based on temporary differences between the financial reporting basis and income tax basis of assets and liabilities. Deferred tax assets are also estimated based on net operating loss and tax credit carryforwards. Deferred tax assets are reduced by a valuation allowance to the extent it is more likely than not that the tax benefits are not expected to be realized. Adjustments to deferred tax assets and liabilities due to changes in tax laws, changes in jurisdiction from intra-entity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transfers of assets, and changes in judgment regarding a valuation allowance are recognized in provision for income taxes in the quarter in which such changes occur. Long-term tax payable is estimated income tax to be paid for unrecognized tax benefits. A tax benefit is recognized if it is more likely than not a tax position will be sustained based on its technical merits in a tax authority examination, based on the largest benefit that has a greater than 50% likelihood of being realized upon ultimate settlement with the tax authority. Adjustments to unrecognized tax benefits due to changes in judgment are recognized in provision for income taxes in the quarter in which such changes occur. Interest and penalties related to unrecognized tax benefits are recognized in provision for income taxes.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Income taxes include U.S. tax on foreign earnings, which is primarily due to the global intangible low-taxed income (GILTI) provision of the U.S. Tax Cuts and Jobs Act of 2017. An accounting policy choice was allowed to treat GILTI temporary differences in taxable income either as a current-period expense (period cost method) or factor such amounts into the measurement of deferred taxes (deferral method). We chose the period cost method.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16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7"/>
          <w:szCs w:val="17"/>
          <w:color w:val="auto"/>
        </w:rPr>
        <w:t>We determine basic earnings per share (EPS) by using the weighted-average number of shares outstanding. We determine diluted EPS by increasing the weighted-average number of shares outstanding in the denominator by the number of outstanding dilutive equity awards using the treasury stock method.</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The par value of the common stock remains at $0.10 per share. Accordingly, an amount equal to the par value of the increased shares resulting from the stock split was reclassified from "Additional paid-in capital" to "Common stock". All share and per share information has been retroactively adjusted to reflect the stock split for all periods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considers all short-term, highly liquid investments purchased with maturities of three months or less to be cash equivalents.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computed using standard cost that approximates actual cost, on a first-in, first-out basis.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400" w:type="dxa"/>
            <w:vAlign w:val="bottom"/>
          </w:tcPr>
          <w:p>
            <w:pPr>
              <w:spacing w:after="0"/>
              <w:rPr>
                <w:sz w:val="17"/>
                <w:szCs w:val="17"/>
                <w:color w:val="auto"/>
              </w:rPr>
            </w:pPr>
          </w:p>
        </w:tc>
        <w:tc>
          <w:tcPr>
            <w:tcW w:w="1360" w:type="dxa"/>
            <w:vAlign w:val="bottom"/>
            <w:vMerge w:val="restart"/>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restart"/>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8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In assessing the value of inventories, we make estimates and judgments regarding aging of inventories and other relevant issues potentially affecting the salable condition of products and estimated prices at which those products will sell. On an ongoing basis, we review the carrying value of our inventory, measuring number of months on hand and other indications of salability.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p>
      <w:pPr>
        <w:spacing w:after="0" w:line="163"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7"/>
          <w:szCs w:val="17"/>
          <w:color w:val="auto"/>
        </w:rPr>
        <w:t>We record property, plant, and equipment at cost. We compute depreciation expense using the straight-line method over the estimated useful lives of the assets. Useful lives are generally 3 to 15 years except for buildings which are depreciated over 30 to 40 years and leasehold improvements, which we amortize over the shorter of the useful life or the lease term. We charge maintenance and repairs to expense as we incur them.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October 31,</w:t>
      </w: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(In millions)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Land and improvements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Machinery and equipment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Construction in progress</w:t>
      </w:r>
    </w:p>
    <w:p>
      <w:pPr>
        <w:spacing w:after="0" w:line="20" w:lineRule="exact"/>
        <w:rPr>
          <w:sz w:val="20"/>
          <w:szCs w:val="20"/>
          <w:color w:val="auto"/>
        </w:rPr>
      </w:pPr>
      <w:r>
        <w:rPr>
          <w:sz w:val="20"/>
          <w:szCs w:val="20"/>
          <w:color w:val="auto"/>
        </w:rPr>
        <w:br w:type="column"/>
      </w:r>
    </w:p>
    <w:p>
      <w:pPr>
        <w:jc w:val="center"/>
        <w:ind w:right="3620"/>
        <w:spacing w:after="0"/>
        <w:rPr>
          <w:sz w:val="20"/>
          <w:szCs w:val="20"/>
          <w:color w:val="auto"/>
        </w:rPr>
      </w:pPr>
      <w:r>
        <w:rPr>
          <w:rFonts w:ascii="Times New Roman" w:cs="Times New Roman" w:eastAsia="Times New Roman" w:hAnsi="Times New Roman"/>
          <w:sz w:val="16"/>
          <w:szCs w:val="16"/>
          <w:color w:val="auto"/>
        </w:rPr>
        <w:t>THE COOPER COMPANIES, INC. AND SUBSIDIARIES</w:t>
      </w:r>
    </w:p>
    <w:p>
      <w:pPr>
        <w:spacing w:after="0" w:line="31"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960" w:type="dxa"/>
        <w:tblCellMar>
          <w:top w:w="0" w:type="dxa"/>
          <w:left w:w="0" w:type="dxa"/>
          <w:bottom w:w="0" w:type="dxa"/>
          <w:right w:w="0" w:type="dxa"/>
        </w:tblCellMar>
      </w:tblPr>
      <w:tr>
        <w:trPr>
          <w:trHeight w:val="229"/>
        </w:trPr>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4"/>
        </w:trPr>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16"/>
        </w:trPr>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557.3</w:t>
            </w:r>
          </w:p>
        </w:tc>
      </w:tr>
      <w:tr>
        <w:trPr>
          <w:trHeight w:val="223"/>
        </w:trPr>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2,441.7</w:t>
            </w:r>
          </w:p>
        </w:tc>
      </w:tr>
      <w:tr>
        <w:trPr>
          <w:trHeight w:val="223"/>
        </w:trPr>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-563880</wp:posOffset>
            </wp:positionV>
            <wp:extent cx="7136130" cy="149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-272415</wp:posOffset>
            </wp:positionV>
            <wp:extent cx="7136130" cy="141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20" w:space="720"/>
            <w:col w:w="7600"/>
          </w:cols>
          <w:pgMar w:left="320" w:top="354" w:right="339" w:bottom="1440" w:gutter="0" w:footer="0" w:header="0"/>
        </w:sectPr>
      </w:pPr>
    </w:p>
    <w:tbl>
      <w:tblPr>
        <w:tblLayout w:type="fixed"/>
        <w:tblInd w:w="0" w:type="dxa"/>
        <w:tblCellMar>
          <w:top w:w="0" w:type="dxa"/>
          <w:left w:w="0" w:type="dxa"/>
          <w:bottom w:w="0" w:type="dxa"/>
          <w:right w:w="0" w:type="dxa"/>
        </w:tblCellMar>
      </w:tblPr>
      <w:tr>
        <w:trPr>
          <w:trHeight w:val="23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at cost</w:t>
            </w:r>
          </w:p>
        </w:tc>
        <w:tc>
          <w:tcPr>
            <w:tcW w:w="66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3,906.3</w:t>
            </w: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3,557.0</w:t>
            </w:r>
          </w:p>
        </w:tc>
      </w:tr>
      <w:tr>
        <w:trPr>
          <w:trHeight w:val="21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1,826.4</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1,696.5</w:t>
            </w: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6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1,860.5</w:t>
            </w:r>
          </w:p>
        </w:tc>
      </w:tr>
      <w:tr>
        <w:trPr>
          <w:trHeight w:val="21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ROU assets, net</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41"/>
        </w:trPr>
        <w:tc>
          <w:tcPr>
            <w:tcW w:w="7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76" w:lineRule="exact"/>
        <w:rPr>
          <w:sz w:val="20"/>
          <w:szCs w:val="20"/>
          <w:color w:val="auto"/>
        </w:rPr>
      </w:pPr>
    </w:p>
    <w:p>
      <w:pPr>
        <w:jc w:val="both"/>
        <w:ind w:right="440"/>
        <w:spacing w:after="0" w:line="254" w:lineRule="auto"/>
        <w:rPr>
          <w:sz w:val="20"/>
          <w:szCs w:val="20"/>
          <w:color w:val="auto"/>
        </w:rPr>
      </w:pPr>
      <w:r>
        <w:rPr>
          <w:rFonts w:ascii="Times New Roman" w:cs="Times New Roman" w:eastAsia="Times New Roman" w:hAnsi="Times New Roman"/>
          <w:sz w:val="17"/>
          <w:szCs w:val="17"/>
          <w:color w:val="auto"/>
        </w:rPr>
        <w:t>We consider an arrangement a lease if the arrangement transfers the right to control the use of an identified asset in exchange for consideration. We have operating leases, but do not have material financing leases. The Company primarily has operating leases for office, manufacturing and warehouse space, vehicles, and office equipment.</w:t>
      </w:r>
    </w:p>
    <w:p>
      <w:pPr>
        <w:spacing w:after="0" w:line="12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lease payments over the lease term. The lease term reflects the noncancellable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Consolidated Balance Sheets.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13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Company’s operating leases typically include non-lease components such as common-area maintenance costs. The Company has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2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7"/>
          <w:szCs w:val="17"/>
          <w:color w:val="auto"/>
        </w:rPr>
        <w:t>Leases with a term of one year or less are not recognized in the Consolidated Balance Sheets, while the associated lease payments are expensed in the Consolidated Statements of Income and Comprehensive Income on a straight-line basis over the lease term.</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Operating leases are classified in “Other current liabilities”, “Other liabilities”, and “Other assets” in our Consolidated Balance Sheets. Operating lease expense is recognized on a straight-line basis over the expected lease term and included in "Selling, general and administrative expense" in our Consolidated Statements of Income. Financing leases are classified in "Property, plant and equipment, net", "Short-term debt", and "Long-term debt" in our Consolidated Balance Sheets. See Note 2. Operating Leases and Note 5. Financing Arrangements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Cloud Computing Arrangements</w:t>
      </w:r>
    </w:p>
    <w:p>
      <w:pPr>
        <w:spacing w:after="0" w:line="16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post-implementation/operation stages of the project are expensed as incurred. Implementation costs are included in “Other assets” in our Consolidated Balance Sheets. Amortization of capitalized implementation costs is included in the same line item in the Consolidated Statements of Income as the expense for fees for the associated hosting arrangement.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Goodwill</w:t>
      </w:r>
    </w:p>
    <w:p>
      <w:pPr>
        <w:spacing w:after="0" w:line="16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We evaluate goodwill for impairment annually during the fiscal third quarter and when an event occurs or circumstances change such that it is reasonably possible that impairment may exist. Goodwill is tested for impairment at the reporting unit level by performing a qualitative assessment to determine whether it is more likely than not that the fair value of the reporting unit is less than its carrying value. We perform a qualitative assessment to test each reporting unit's goodwill for impairment, which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includes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16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We review long-lived assets held and used for impairment whenever events or changes in circumstances indicate that the carrying amount of an asset group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Indefinite-lived Intangible Assets</w:t>
      </w:r>
    </w:p>
    <w:p>
      <w:pPr>
        <w:spacing w:after="0" w:line="16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We assess indefinite-lived intangible assets annually in the third quarter of the fiscal year, or whenever events or changes in circumstances indicate that the carrying amount of an indefinite-lived intangible asset (asset group) may not be recoverable. We evaluate whether the indefinite-lived intangible asset is impaired by comparing its carrying value to its fair value. If the carrying value of an indefinite-lived intangible asset is not recoverable, an impairment loss is recognized based on the amount by which the carrying value exceeds the fair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1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discount rates and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34" w:lineRule="exact"/>
        <w:rPr>
          <w:sz w:val="20"/>
          <w:szCs w:val="20"/>
          <w:color w:val="auto"/>
        </w:rPr>
      </w:pPr>
    </w:p>
    <w:p>
      <w:pPr>
        <w:ind w:right="20"/>
        <w:spacing w:after="0" w:line="434" w:lineRule="auto"/>
        <w:rPr>
          <w:sz w:val="20"/>
          <w:szCs w:val="20"/>
          <w:color w:val="auto"/>
        </w:rPr>
      </w:pPr>
      <w:r>
        <w:rPr>
          <w:rFonts w:ascii="Times New Roman" w:cs="Times New Roman" w:eastAsia="Times New Roman" w:hAnsi="Times New Roman"/>
          <w:sz w:val="17"/>
          <w:szCs w:val="17"/>
          <w:color w:val="auto"/>
        </w:rPr>
        <w:t xml:space="preserve">For business acquisitions, the Company records tangible and intangible assets acquired and liabilities assumed at their fair values as of the applicable date of acquisition. </w:t>
      </w:r>
      <w:r>
        <w:rPr>
          <w:rFonts w:ascii="Times New Roman" w:cs="Times New Roman" w:eastAsia="Times New Roman" w:hAnsi="Times New Roman"/>
          <w:sz w:val="17"/>
          <w:szCs w:val="17"/>
          <w:b w:val="1"/>
          <w:bCs w:val="1"/>
          <w:color w:val="auto"/>
        </w:rPr>
        <w:t>Litigation</w:t>
      </w:r>
    </w:p>
    <w:p>
      <w:pPr>
        <w:spacing w:after="0" w:line="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7"/>
          <w:szCs w:val="17"/>
          <w:color w:val="auto"/>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record treasury stock purchases under the cost method whereby the entire cost of the acquired stock is recorded as treasury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Assistance</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 xml:space="preserve">The Company at times receives government assistance primarily to support manufacturing capital expansion, to create or retain jobs, or to provide tax credits mainly for eligible research and development activities. The Company generally accounts for such government assistance by analogy to IAS 20, </w:t>
      </w:r>
      <w:r>
        <w:rPr>
          <w:rFonts w:ascii="Times New Roman" w:cs="Times New Roman" w:eastAsia="Times New Roman" w:hAnsi="Times New Roman"/>
          <w:sz w:val="17"/>
          <w:szCs w:val="17"/>
          <w:i w:val="1"/>
          <w:iCs w:val="1"/>
          <w:color w:val="auto"/>
        </w:rPr>
        <w:t>Accounting for 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Grants and Disclosure of Government Assistance </w:t>
      </w:r>
      <w:r>
        <w:rPr>
          <w:rFonts w:ascii="Times New Roman" w:cs="Times New Roman" w:eastAsia="Times New Roman" w:hAnsi="Times New Roman"/>
          <w:sz w:val="17"/>
          <w:szCs w:val="17"/>
          <w:color w:val="auto"/>
        </w:rPr>
        <w:t>and recognizes the assistance when it is probable that it will be received by complying with the prerequisite terms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The government assistance is recorded as a reduction to the underlying asset or related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6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 xml:space="preserve">The Company adopted the Accounting Standards Update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in the fiscal year 2025, which enhances the disclosures required for operating segments in our annual and interim consolidated financial statements. The standard was applied retrospectively to all periods presented in the financial statements. As this accounting standard only impacts disclosures, it did not have a material impact on the Company’s Consolidated Financial Statements. See Note 12. Business Segment Information for the required disclosures.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Issued Not Yet Adopted</w:t>
      </w:r>
    </w:p>
    <w:p>
      <w:pPr>
        <w:spacing w:after="0" w:line="16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7"/>
          <w:szCs w:val="17"/>
          <w:color w:val="auto"/>
        </w:rPr>
        <w:t xml:space="preserve">In September 2025, the Financial Accounting Standards Board (FASB) issued ASU 2025-07, </w:t>
      </w:r>
      <w:r>
        <w:rPr>
          <w:rFonts w:ascii="Times New Roman" w:cs="Times New Roman" w:eastAsia="Times New Roman" w:hAnsi="Times New Roman"/>
          <w:sz w:val="17"/>
          <w:szCs w:val="17"/>
          <w:i w:val="1"/>
          <w:iCs w:val="1"/>
          <w:color w:val="auto"/>
        </w:rPr>
        <w:t>Derivatives and Hedging (Topic 815) and 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 (Topic 606)</w:t>
      </w:r>
      <w:r>
        <w:rPr>
          <w:rFonts w:ascii="Times New Roman" w:cs="Times New Roman" w:eastAsia="Times New Roman" w:hAnsi="Times New Roman"/>
          <w:sz w:val="17"/>
          <w:szCs w:val="17"/>
          <w:color w:val="auto"/>
        </w:rPr>
        <w:t>, which clarifies the application of derivative accounting to certain contract. This update introduces a scope exception for contracts that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exchange-traded and whose underlying is tied to operations or activities specific to one of the parties to the contract. It also clarifies the guidance for share-based noncash consideration from a customer, which is not applicable to us. This ASU is effective for fiscal years beginning after December 15, 2026, and interim periods within those annual reporting periods, with early adoption permitted and the option to apply on a prospective or modified retrospective basis. We are currently evaluating the impact that the adoption of this guidance will have on our consolidated financial statements and disclosures.</w:t>
      </w:r>
    </w:p>
    <w:p>
      <w:pPr>
        <w:spacing w:after="0" w:line="12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i w:val="1"/>
          <w:iCs w:val="1"/>
          <w:color w:val="auto"/>
        </w:rPr>
        <w:t>Intangibles—Goodwill and Other—Internal-Use Software (Subtopic 350-40)</w:t>
      </w:r>
      <w:r>
        <w:rPr>
          <w:rFonts w:ascii="Times New Roman" w:cs="Times New Roman" w:eastAsia="Times New Roman" w:hAnsi="Times New Roman"/>
          <w:sz w:val="16"/>
          <w:szCs w:val="16"/>
          <w:color w:val="auto"/>
        </w:rPr>
        <w:t>, which removes references to sequential project stages and requires capitalization of software costs begins when: (1) management has authorized and committed to funding the software project, and</w:t>
      </w:r>
    </w:p>
    <w:p>
      <w:pPr>
        <w:jc w:val="both"/>
        <w:ind w:right="60" w:firstLine="5"/>
        <w:spacing w:after="0" w:line="242" w:lineRule="auto"/>
        <w:tabs>
          <w:tab w:leader="none" w:pos="2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probable the project will be completed and the software will be used to perform the function intended. This ASU is effective for fiscal years beginning after December 15, 2027, and interim periods within those annual reporting periods, with early adoption permitted as of the beginning of an annual reporting period. The update permits either a prospective, modified prospective, or retrospective adoption approach. We are currently evaluating the impact that the adoption of this guidance will have on our consolidated financial statements and disclosures.</w:t>
      </w:r>
    </w:p>
    <w:p>
      <w:pPr>
        <w:spacing w:after="0" w:line="13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 xml:space="preserve">In July 2025, the Financial Accounting Standards Board (FASB) issued Accounting Standards Update (ASU) 2025-05, </w:t>
      </w:r>
      <w:r>
        <w:rPr>
          <w:rFonts w:ascii="Times New Roman" w:cs="Times New Roman" w:eastAsia="Times New Roman" w:hAnsi="Times New Roman"/>
          <w:sz w:val="16"/>
          <w:szCs w:val="16"/>
          <w:i w:val="1"/>
          <w:iCs w:val="1"/>
          <w:color w:val="auto"/>
        </w:rPr>
        <w:t>Financial Instruments - Credit Losses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326): Measurement of Credit Losses for Accounts Receivable and Contract Assets</w:t>
      </w:r>
      <w:r>
        <w:rPr>
          <w:rFonts w:ascii="Times New Roman" w:cs="Times New Roman" w:eastAsia="Times New Roman" w:hAnsi="Times New Roman"/>
          <w:sz w:val="16"/>
          <w:szCs w:val="16"/>
          <w:color w:val="auto"/>
        </w:rPr>
        <w:t>, which provides a practical expedient to measure credit losses on current accounts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receivable and current contract assets. The practical expedient assumes that current conditions as of the balance sheet does not change for the remaining life of the asset. This ASU should be applied prospectively for fiscal years beginning after December 15, 2025, and interim periods within those annual reporting periods, with early adoption permitted. We are currently evaluating the impact that the adoption of this guidance will have on our consolidated financial statements and disclosures.</w:t>
      </w:r>
    </w:p>
    <w:p>
      <w:pPr>
        <w:spacing w:after="0" w:line="115"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 - Reporting Comprehensive Income - 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which requires additional disclosure of the nature of expenses included in the income statement. The standard requires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spacing w:after="0" w:line="11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other recently issued accounting pronouncements had or are expected to have a material impact on our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Note 2. Operating Leases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7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table presents information about leases on the Consolidated Balance Sheets: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vMerge w:val="restart"/>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7820" w:type="dxa"/>
            <w:vAlign w:val="bottom"/>
            <w:gridSpan w:val="3"/>
            <w:vMerge w:val="restart"/>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10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82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270.9</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260.7</w:t>
            </w:r>
          </w:p>
        </w:tc>
        <w:tc>
          <w:tcPr>
            <w:tcW w:w="0" w:type="dxa"/>
            <w:vAlign w:val="bottom"/>
          </w:tcPr>
          <w:p>
            <w:pPr>
              <w:spacing w:after="0"/>
              <w:rPr>
                <w:sz w:val="1"/>
                <w:szCs w:val="1"/>
                <w:color w:val="auto"/>
              </w:rPr>
            </w:pPr>
          </w:p>
        </w:tc>
      </w:tr>
      <w:tr>
        <w:trPr>
          <w:trHeight w:val="266"/>
        </w:trPr>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060" w:type="dxa"/>
            <w:vAlign w:val="bottom"/>
          </w:tcPr>
          <w:p>
            <w:pPr>
              <w:spacing w:after="0"/>
              <w:rPr>
                <w:sz w:val="19"/>
                <w:szCs w:val="19"/>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240.5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230.8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operating lease liabilities</w:t>
            </w: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278.3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269.4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060" w:type="dxa"/>
            <w:vAlign w:val="bottom"/>
          </w:tcPr>
          <w:p>
            <w:pPr>
              <w:spacing w:after="0"/>
              <w:rPr>
                <w:sz w:val="19"/>
                <w:szCs w:val="19"/>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180"/>
        <w:spacing w:after="0" w:line="434" w:lineRule="auto"/>
        <w:rPr>
          <w:sz w:val="20"/>
          <w:szCs w:val="20"/>
          <w:color w:val="auto"/>
        </w:rPr>
      </w:pPr>
      <w:r>
        <w:rPr>
          <w:rFonts w:ascii="Times New Roman" w:cs="Times New Roman" w:eastAsia="Times New Roman" w:hAnsi="Times New Roman"/>
          <w:sz w:val="17"/>
          <w:szCs w:val="17"/>
          <w:color w:val="auto"/>
        </w:rPr>
        <w:t xml:space="preserve">Operating lease expense for the fiscal years ended October 31, 2025, 2024 and 2023 was $56.2 million, $47.4 million and $48.1 million. </w:t>
      </w:r>
      <w:r>
        <w:rPr>
          <w:rFonts w:ascii="Times New Roman" w:cs="Times New Roman" w:eastAsia="Times New Roman" w:hAnsi="Times New Roman"/>
          <w:sz w:val="17"/>
          <w:szCs w:val="17"/>
          <w:b w:val="1"/>
          <w:bCs w:val="1"/>
          <w:color w:val="auto"/>
        </w:rPr>
        <w:t>Maturity of Lease Liabilities</w:t>
      </w:r>
    </w:p>
    <w:p>
      <w:pPr>
        <w:spacing w:after="0" w:line="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The minimum rental payments required under operating leases that have initial or remaining noncancellable lease terms in excess of one year as of October 31, 2025, are: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5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1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r>
      <w:tr>
        <w:trPr>
          <w:trHeight w:val="226"/>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1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6"/>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8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19"/>
        </w:trPr>
        <w:tc>
          <w:tcPr>
            <w:tcW w:w="20" w:type="dxa"/>
            <w:vAlign w:val="bottom"/>
            <w:tcBorders>
              <w:bottom w:val="single" w:sz="8" w:color="CCEEFF"/>
            </w:tcBorders>
          </w:tcPr>
          <w:p>
            <w:pPr>
              <w:spacing w:after="0"/>
              <w:rPr>
                <w:sz w:val="19"/>
                <w:szCs w:val="19"/>
                <w:color w:val="auto"/>
              </w:rPr>
            </w:pPr>
          </w:p>
        </w:tc>
        <w:tc>
          <w:tcPr>
            <w:tcW w:w="9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20"/>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r>
      <w:tr>
        <w:trPr>
          <w:trHeight w:val="219"/>
        </w:trPr>
        <w:tc>
          <w:tcPr>
            <w:tcW w:w="20" w:type="dxa"/>
            <w:vAlign w:val="bottom"/>
            <w:tcBorders>
              <w:bottom w:val="single" w:sz="8" w:color="CCEEFF"/>
            </w:tcBorders>
          </w:tcPr>
          <w:p>
            <w:pPr>
              <w:spacing w:after="0"/>
              <w:rPr>
                <w:sz w:val="19"/>
                <w:szCs w:val="19"/>
                <w:color w:val="auto"/>
              </w:rPr>
            </w:pPr>
          </w:p>
        </w:tc>
        <w:tc>
          <w:tcPr>
            <w:tcW w:w="9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Excluded from the above table are additional leases to expand manufacturing as well as research and development capacity that have not yet commenced. The undiscounted lease payments are estimated at $140.2 million for leases that will commence starting in fiscal 2026 with initial terms ranging from 20 to 24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Acquisitions and Joint Venture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acquisitions were funded by cash generated from operations or facility borrowings.</w:t>
      </w:r>
    </w:p>
    <w:p>
      <w:pPr>
        <w:spacing w:after="0" w:line="17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7"/>
          <w:szCs w:val="17"/>
          <w:color w:val="auto"/>
        </w:rPr>
        <w:t>The Company believes these acquisitions strengthen CooperSurgical's and CooperVision's businesses through the addition of new distributors or complementary products and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1, 2024, CooperSurgical completed the acquisition of obp Surgical, a U.S.-based medical device company with a suite of single-use cordless surgical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retractors with integrated light source and evacuation channels. The purchase price of the acquisition was $100.0 million. Assets acquired consisted primarily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$45.6 million of developed technology, $8.5 million of customer relationships, $7.7 million of inventory, $5.4 million of other net assets, and $50.6 million of goodwill,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primarily related to expected synergies from combined operations. The goodwill is not deductible for tax purposes.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On June 7, 2024, CooperSurgical acquired a fertility company that specializes in sperm separation devices. The purchase price of the acquisition was $33.5 million. The Company accounted for this acquisition as an asset acquisition, whereby the Company allocated the total cost of the acquisition to the net assets acquired on the basis of their estimated relative fair values on the acquisition date. The primary asset acquired in this asset acquisition is a composite intangible asset of $39.6 million. The value of the composite intangible asset reflects, in addition to the purchase price, a deferred tax liability of $8.3 million arising from book/tax basis differences generated upon the acquisition. The composite intangible asset encompasses the portfolio of intellectual property associated with the sperm separation devices including the patents, trademarks, customer relationships, regulatory approvals, and commercialization rights, which have been valued as a single composite intangible asset as they are inextricably linked.</w:t>
      </w:r>
    </w:p>
    <w:p>
      <w:pPr>
        <w:spacing w:after="0" w:line="1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On November 1, 2023, CooperSurgical completed the acquisition of select Cook Medical assets focused primarily on the obstetrics, doppler monitoring, and gynecology surgery markets. The purchase price of the acquisition was $300.0 million, with $200.0 million paid at closing and two cash payments of $50.0 million each to be paid on November 1, 2024, and November 1, 2025. The present value of the acquisition purchase price was $291.6 million, which is included in the Company's balance sheet. Assets acquired primarily comprised of $157.9 million of technologies, $26.6 million of customer relationship related intangibles, and $107.2 million of goodwill. The goodwill is deductible for tax purposes.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2023</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On November 1, 2022, CooperVision completed the acquisition of a privately-held U.S.-based company that provides a broad portfolio of technologically advanced contact lens products, including scleral and hybrid lenses. The purchase price of the acquisition was $33.0 million. Assets acquired primarily comprised of $12.6 million of customer relationship related intangibles, $7.6 million of technology, $5.1 million of net assets and $7.7 million of goodwill. The goodwill is not deductible for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7"/>
          <w:szCs w:val="17"/>
          <w:color w:val="auto"/>
        </w:rPr>
        <w:t>The Company has three reporting units: CooperVision and within the CooperSurgical segment, Office/Surgical and Fertility, reflecting the current way the Company manages its business. There was no impairment of goodwill in its reporting units in fiscal 2025, 2024, and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CooperVision</w:t>
            </w: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CooperSurgical</w:t>
            </w:r>
          </w:p>
        </w:tc>
        <w:tc>
          <w:tcPr>
            <w:tcW w:w="360" w:type="dxa"/>
            <w:vAlign w:val="bottom"/>
          </w:tcPr>
          <w:p>
            <w:pPr>
              <w:spacing w:after="0"/>
              <w:rPr>
                <w:sz w:val="16"/>
                <w:szCs w:val="16"/>
                <w:color w:val="auto"/>
              </w:rPr>
            </w:pPr>
          </w:p>
        </w:tc>
        <w:tc>
          <w:tcPr>
            <w:tcW w:w="1280" w:type="dxa"/>
            <w:vAlign w:val="bottom"/>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2024</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3,838.4</w:t>
            </w:r>
          </w:p>
        </w:tc>
      </w:tr>
      <w:tr>
        <w:trPr>
          <w:trHeight w:val="219"/>
        </w:trPr>
        <w:tc>
          <w:tcPr>
            <w:tcW w:w="2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2025</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Of the October 31, 2025 goodwill balance, $282.2 million for CooperSurgical and $15.6 million for CooperVision is expected to be deductible for tax purposes. Of the October 31, 2024, goodwill balance, $311.5 million for CooperSurgical and $17.8 million for CooperVision was expected to be deductible for tax purposes.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Intangible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140" w:type="dxa"/>
            <w:vAlign w:val="bottom"/>
          </w:tcPr>
          <w:p>
            <w:pPr>
              <w:spacing w:after="0"/>
              <w:rPr>
                <w:sz w:val="24"/>
                <w:szCs w:val="24"/>
                <w:color w:val="auto"/>
              </w:rPr>
            </w:pPr>
          </w:p>
        </w:tc>
        <w:tc>
          <w:tcPr>
            <w:tcW w:w="2340" w:type="dxa"/>
            <w:vAlign w:val="bottom"/>
            <w:gridSpan w:val="4"/>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Period (in</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0" w:type="dxa"/>
            <w:vAlign w:val="bottom"/>
          </w:tcPr>
          <w:p>
            <w:pPr>
              <w:spacing w:after="0"/>
              <w:rPr>
                <w:sz w:val="14"/>
                <w:szCs w:val="14"/>
                <w:color w:val="auto"/>
              </w:rPr>
            </w:pPr>
          </w:p>
        </w:tc>
        <w:tc>
          <w:tcPr>
            <w:tcW w:w="880" w:type="dxa"/>
            <w:vAlign w:val="bottom"/>
          </w:tcPr>
          <w:p>
            <w:pPr>
              <w:jc w:val="center"/>
              <w:ind w:right="57"/>
              <w:spacing w:after="0" w:line="170"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line="170"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line="150" w:lineRule="exact"/>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140" w:type="dxa"/>
            <w:vAlign w:val="bottom"/>
          </w:tcPr>
          <w:p>
            <w:pPr>
              <w:spacing w:after="0"/>
              <w:rPr>
                <w:sz w:val="14"/>
                <w:szCs w:val="14"/>
                <w:color w:val="auto"/>
              </w:rPr>
            </w:pPr>
          </w:p>
        </w:tc>
        <w:tc>
          <w:tcPr>
            <w:tcW w:w="880" w:type="dxa"/>
            <w:vAlign w:val="bottom"/>
          </w:tcPr>
          <w:p>
            <w:pPr>
              <w:jc w:val="center"/>
              <w:ind w:right="57"/>
              <w:spacing w:after="0" w:line="150" w:lineRule="exact"/>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7"/>
              <w:spacing w:after="0" w:line="150"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7"/>
                <w:szCs w:val="17"/>
                <w:color w:val="auto"/>
              </w:rPr>
              <w:t xml:space="preserve">Composite intangible assets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Technology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1,584.5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1,401.4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Borders>
              <w:bottom w:val="single" w:sz="8" w:color="CCEEFF"/>
            </w:tcBorders>
            <w:vMerge w:val="continue"/>
          </w:tcPr>
          <w:p>
            <w:pPr>
              <w:spacing w:after="0"/>
              <w:rPr>
                <w:sz w:val="14"/>
                <w:szCs w:val="14"/>
                <w:color w:val="auto"/>
              </w:rPr>
            </w:pPr>
          </w:p>
        </w:tc>
        <w:tc>
          <w:tcPr>
            <w:tcW w:w="4800" w:type="dxa"/>
            <w:vAlign w:val="bottom"/>
            <w:tcBorders>
              <w:bottom w:val="single" w:sz="8" w:color="CCEEFF"/>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Intangible assets with indefinite lives, net </w:t>
            </w:r>
            <w:r>
              <w:rPr>
                <w:rFonts w:ascii="Times New Roman" w:cs="Times New Roman" w:eastAsia="Times New Roman" w:hAnsi="Times New Roman"/>
                <w:sz w:val="21"/>
                <w:szCs w:val="2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20" w:firstLine="5"/>
        <w:spacing w:after="0" w:line="309" w:lineRule="auto"/>
        <w:tabs>
          <w:tab w:leader="none" w:pos="152" w:val="left"/>
        </w:tabs>
        <w:numPr>
          <w:ilvl w:val="0"/>
          <w:numId w:val="36"/>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Composite intangible assets primarily consist of technology, trade name, New Drug Application approval and physician relationships. The components are not reflected separately or within the corresponding categories because they are inextricably linked.</w:t>
      </w:r>
    </w:p>
    <w:p>
      <w:pPr>
        <w:spacing w:after="0" w:line="76" w:lineRule="exact"/>
        <w:rPr>
          <w:rFonts w:ascii="Times New Roman" w:cs="Times New Roman" w:eastAsia="Times New Roman" w:hAnsi="Times New Roman"/>
          <w:sz w:val="18"/>
          <w:szCs w:val="18"/>
          <w:i w:val="1"/>
          <w:iCs w:val="1"/>
          <w:color w:val="auto"/>
          <w:vertAlign w:val="superscript"/>
        </w:rPr>
      </w:pPr>
    </w:p>
    <w:p>
      <w:pPr>
        <w:ind w:left="160" w:hanging="155"/>
        <w:spacing w:after="0"/>
        <w:tabs>
          <w:tab w:leader="none" w:pos="160" w:val="left"/>
        </w:tabs>
        <w:numPr>
          <w:ilvl w:val="0"/>
          <w:numId w:val="3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Intangible assets with indefinite lives include technology and trademarks.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Balances include foreign currency translation adjustments.</w:t>
            </w: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4"/>
        </w:trPr>
        <w:tc>
          <w:tcPr>
            <w:tcW w:w="9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of October 31, 2025, the estimate of future amortization expenses for intangible assets with definite lives is as follows:</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Fiscal years:</w:t>
            </w:r>
          </w:p>
        </w:tc>
        <w:tc>
          <w:tcPr>
            <w:tcW w:w="360" w:type="dxa"/>
            <w:vAlign w:val="bottom"/>
          </w:tcPr>
          <w:p>
            <w:pPr>
              <w:spacing w:after="0"/>
              <w:rPr>
                <w:sz w:val="24"/>
                <w:szCs w:val="24"/>
                <w:color w:val="auto"/>
              </w:rPr>
            </w:pPr>
          </w:p>
        </w:tc>
        <w:tc>
          <w:tcPr>
            <w:tcW w:w="1780" w:type="dxa"/>
            <w:vAlign w:val="bottom"/>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32"/>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6"/>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w:t>
            </w:r>
          </w:p>
        </w:tc>
      </w:tr>
      <w:tr>
        <w:trPr>
          <w:trHeight w:val="21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w:t>
            </w:r>
          </w:p>
        </w:tc>
      </w:tr>
      <w:tr>
        <w:trPr>
          <w:trHeight w:val="226"/>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r>
      <w:tr>
        <w:trPr>
          <w:trHeight w:val="219"/>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w:t>
            </w:r>
          </w:p>
        </w:tc>
      </w:tr>
      <w:tr>
        <w:trPr>
          <w:trHeight w:val="226"/>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8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r>
      <w:tr>
        <w:trPr>
          <w:trHeight w:val="219"/>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725.1</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remaining amortization for intangible assets with definite lives</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7"/>
          <w:szCs w:val="17"/>
          <w:color w:val="auto"/>
        </w:rPr>
        <w:t>The Company performed its annual impairment assessment in the third quarter of fiscal 2025 and concluded there was no material impairment to the Company's definite-lived or indefinite-lived intangible assets during fiscal 2025.</w:t>
      </w:r>
    </w:p>
    <w:p>
      <w:pPr>
        <w:spacing w:after="0" w:line="117" w:lineRule="exact"/>
        <w:rPr>
          <w:sz w:val="20"/>
          <w:szCs w:val="20"/>
          <w:color w:val="auto"/>
        </w:rPr>
      </w:pPr>
    </w:p>
    <w:p>
      <w:pPr>
        <w:jc w:val="both"/>
        <w:ind w:right="760"/>
        <w:spacing w:after="0" w:line="262" w:lineRule="auto"/>
        <w:rPr>
          <w:sz w:val="20"/>
          <w:szCs w:val="20"/>
          <w:color w:val="auto"/>
        </w:rPr>
      </w:pPr>
      <w:r>
        <w:rPr>
          <w:rFonts w:ascii="Times New Roman" w:cs="Times New Roman" w:eastAsia="Times New Roman" w:hAnsi="Times New Roman"/>
          <w:sz w:val="17"/>
          <w:szCs w:val="17"/>
          <w:color w:val="auto"/>
        </w:rPr>
        <w:t>There was no material impairment to the Company's definite-lived or indefinite-lived intangible assets during fiscal 2024. In the fourth quarter of fiscal 2023, CooperVision fully impaired some intangible assets associated with the discontinuation of certain products. The carrying value of these intangible assets were immaterial.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Note 5. Financing Arrangements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 had outstanding debt as follows: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October 31,</w:t>
            </w:r>
          </w:p>
        </w:tc>
        <w:tc>
          <w:tcPr>
            <w:tcW w:w="420" w:type="dxa"/>
            <w:vAlign w:val="bottom"/>
          </w:tcPr>
          <w:p>
            <w:pPr>
              <w:spacing w:after="0"/>
              <w:rPr>
                <w:sz w:val="24"/>
                <w:szCs w:val="24"/>
                <w:color w:val="auto"/>
              </w:rPr>
            </w:pPr>
          </w:p>
        </w:tc>
        <w:tc>
          <w:tcPr>
            <w:tcW w:w="144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vMerge w:val="restart"/>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 excluding financing leases</w:t>
            </w: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Revolving credit</w:t>
            </w: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Term loans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excluding financing leases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2,548.0</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w:t>
            </w:r>
          </w:p>
        </w:tc>
        <w:tc>
          <w:tcPr>
            <w:tcW w:w="4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2,583.7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October 31, 2025, the Company was in compliance with all debt covenants.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Agreement on May 1, 2024</w:t>
      </w:r>
    </w:p>
    <w:p>
      <w:pPr>
        <w:spacing w:after="0" w:line="16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On May 1, 2024, the Company entered into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$2,300.0 million which, unless terminated earlier, matures on May 1, 2029. On May 1, 2024, the Company used $1,170.0 million under the 2024 Revolving Credit Facility to fully repay all borrowings outstanding under the 2020 Term Loan Facility and the 2020 Revolving Credit Facility, and terminated the 2020 Credit Agreement (all as defined below). The Company has an uncommitted option to increase the revolving credit facility or establish a new term loan in an aggregate amount up to the greater of $1,150.0 million or 100% of consolidated Earnings Before Interest, Taxes, Depreciation and Amortization (EBITDA), as defined in the 2024 Credit Agreement.</w:t>
      </w:r>
    </w:p>
    <w:p>
      <w:pPr>
        <w:spacing w:after="0" w:line="13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7"/>
          <w:szCs w:val="17"/>
          <w:color w:val="auto"/>
        </w:rPr>
        <w:t>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w:t>
      </w:r>
    </w:p>
    <w:p>
      <w:pPr>
        <w:spacing w:after="0" w:line="12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The Company pays an annual commitment fee that ranges from 0.10% to 0.20% of the unused portion of the 2024 Revolving Credit Facility based upon the Company's Total Leverage Ratio, as defined in the 2024 Credit Agreement.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The 2024 Credit Agreement contains customary restrictive covenants, as well as financial covenants that require the Company to maintain a certain Total Leverage Ratio and Interest Coverage Ratio, each as defined in the 2024 Credit Agreement, consistent with the 2020 Credit Agreement discussed below.</w:t>
      </w:r>
    </w:p>
    <w:p>
      <w:pPr>
        <w:spacing w:after="0" w:line="104" w:lineRule="exact"/>
        <w:rPr>
          <w:sz w:val="20"/>
          <w:szCs w:val="20"/>
          <w:color w:val="auto"/>
        </w:rPr>
      </w:pPr>
    </w:p>
    <w:p>
      <w:pPr>
        <w:ind w:right="600"/>
        <w:spacing w:after="0" w:line="434" w:lineRule="auto"/>
        <w:rPr>
          <w:sz w:val="20"/>
          <w:szCs w:val="20"/>
          <w:color w:val="auto"/>
        </w:rPr>
      </w:pPr>
      <w:r>
        <w:rPr>
          <w:rFonts w:ascii="Times New Roman" w:cs="Times New Roman" w:eastAsia="Times New Roman" w:hAnsi="Times New Roman"/>
          <w:sz w:val="17"/>
          <w:szCs w:val="17"/>
          <w:color w:val="auto"/>
        </w:rPr>
        <w:t xml:space="preserve">On October 31, 2025, the Company had $956.3 million outstanding under the 2024 Revolving Credit Facility and the weighted-average interest rate was 5.24%. </w:t>
      </w:r>
      <w:r>
        <w:rPr>
          <w:rFonts w:ascii="Times New Roman" w:cs="Times New Roman" w:eastAsia="Times New Roman" w:hAnsi="Times New Roman"/>
          <w:sz w:val="17"/>
          <w:szCs w:val="17"/>
          <w:b w:val="1"/>
          <w:bCs w:val="1"/>
          <w:color w:val="auto"/>
        </w:rPr>
        <w:t>Term Loan Agreement on December 17, 2021</w:t>
      </w:r>
    </w:p>
    <w:p>
      <w:pPr>
        <w:spacing w:after="0" w:line="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$1,500.0 million,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$1,125.0 million, upon prior written notice to the administrative agent and subject to the discretionary participation of the lenders funding such term loans and certain limitations set forth in the 2021 Credit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Amounts outstanding under the 2021 Term Loan Facility will bear interest, at the Company’s option, at either (i) the alternate base rate, which is a rate per annum equal to the greatest of (a) the administrative agent’s prime rate, (b) one-half of one percent in excess of the federal funds effective rate and (c) one percent in excess of the adjusted SOFR for a one-month interest period in effect on such day, or (ii) the adjusted SOFR, plus, in each case, an applicable rate of, initially, zero basis points, in respect of base rate loans, and 75 basis points, in respect of adjusted SOFR loans. Following a specified period after the closing date, the applicable rates will be determined quarterly by reference to a grid based upon the Company’s ratio of consolidated net indebtedness to consolidated EBITDA, each as defined in the 2021 Credit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may prepay loan balances from time to time, in whole or in part, without premium or penalty (other than any related breakage costs).</w:t>
      </w:r>
    </w:p>
    <w:p>
      <w:pPr>
        <w:spacing w:after="0" w:line="1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31, 2025, the Company had $1,500.0 million outstanding under the 2021 Term Loan Facility and the interest rate was 5.11%.</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2021 Credit Agreement contains customary restrictive covenants, as well as financial covenants that require the Company to maintain a certain Total Leverage Ratio and Interest Coverage Ratio, each as defined in the 2021 Credit Agreement, consistent with the 2020 Credit Agreement discussed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and Term Loan Agreement on April 1, 2020</w:t>
      </w:r>
    </w:p>
    <w:p>
      <w:pPr>
        <w:spacing w:after="0" w:line="16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provided for (a) a multicurrency revolving credit facility (the 2020 Revolving Credit Facility) in an aggregate principal amount of $1,290.0 million and (b) a term loan facility (the 2020 Term Loan Facility) in an aggregate principal amount of $850.0 million, each of which, unless terminated earlier, mature on April 1, 2025. The Company had an uncommitted option to increase the revolving credit facility or establish a new term loan in an aggregate amount up to $1,605.0 million.</w:t>
      </w:r>
    </w:p>
    <w:p>
      <w:pPr>
        <w:spacing w:after="0" w:line="14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terminated the 2020 Credit Agreement. In connection with the termination, all borrowings outstanding under the 2020 Credit Agreement were repaid.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and Asian Pacific Credit Facilities</w:t>
      </w:r>
    </w:p>
    <w:p>
      <w:pPr>
        <w:spacing w:after="0" w:line="16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7"/>
          <w:szCs w:val="17"/>
          <w:color w:val="auto"/>
        </w:rPr>
        <w:t>The Company maintains European credit facilities. The aggregate facility limit was $36.3 million and $33.7 million at October 31, 2025, and 2024, respectively. At October 31, 2025, $10.2 million of the facilities was utilized and the weighted-average interest rate on the outstanding balances was 3.19%.</w:t>
      </w:r>
    </w:p>
    <w:p>
      <w:pPr>
        <w:spacing w:after="0" w:line="131"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Company maintains yen-denominated credit facilities in Japan. The aggregate facility limit was $73.1 million and $73.6 million at October 31, 2025, and 2024, respectively. At October 31, 2025, $36.8 million of the combined facilities was utilized and the weighted-average interest rate on the outstanding balances was 0.90%.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Each facility is supported by a continuing and unconditional guaranty.</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5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6. Income Taxes</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Components of income before income taxes:</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44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center"/>
              <w:ind w:left="337"/>
              <w:spacing w:after="0"/>
              <w:rPr>
                <w:sz w:val="20"/>
                <w:szCs w:val="20"/>
                <w:color w:val="auto"/>
              </w:rPr>
            </w:pPr>
            <w:r>
              <w:rPr>
                <w:rFonts w:ascii="Times New Roman" w:cs="Times New Roman" w:eastAsia="Times New Roman" w:hAnsi="Times New Roman"/>
                <w:sz w:val="17"/>
                <w:szCs w:val="17"/>
                <w:color w:val="auto"/>
                <w:w w:val="96"/>
              </w:rPr>
              <w:t>(143.0)</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97"/>
              </w:rPr>
              <w:t>(87.1)</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6"/>
              </w:rPr>
              <w:t>(135.7)</w:t>
            </w:r>
          </w:p>
        </w:tc>
        <w:tc>
          <w:tcPr>
            <w:tcW w:w="0" w:type="dxa"/>
            <w:vAlign w:val="bottom"/>
          </w:tcPr>
          <w:p>
            <w:pPr>
              <w:spacing w:after="0"/>
              <w:rPr>
                <w:sz w:val="1"/>
                <w:szCs w:val="1"/>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w w:val="93"/>
              </w:rPr>
              <w:t>709.5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669.4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397"/>
              <w:spacing w:after="0"/>
              <w:rPr>
                <w:sz w:val="20"/>
                <w:szCs w:val="20"/>
                <w:color w:val="auto"/>
              </w:rPr>
            </w:pPr>
            <w:r>
              <w:rPr>
                <w:rFonts w:ascii="Times New Roman" w:cs="Times New Roman" w:eastAsia="Times New Roman" w:hAnsi="Times New Roman"/>
                <w:sz w:val="17"/>
                <w:szCs w:val="17"/>
                <w:color w:val="auto"/>
                <w:w w:val="99"/>
              </w:rPr>
              <w:t>548.6</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center"/>
              <w:ind w:left="377"/>
              <w:spacing w:after="0"/>
              <w:rPr>
                <w:sz w:val="20"/>
                <w:szCs w:val="20"/>
                <w:color w:val="auto"/>
              </w:rPr>
            </w:pPr>
            <w:r>
              <w:rPr>
                <w:rFonts w:ascii="Times New Roman" w:cs="Times New Roman" w:eastAsia="Times New Roman" w:hAnsi="Times New Roman"/>
                <w:sz w:val="17"/>
                <w:szCs w:val="17"/>
                <w:color w:val="auto"/>
                <w:w w:val="93"/>
              </w:rPr>
              <w:t>566.5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582.3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center"/>
              <w:ind w:left="397"/>
              <w:spacing w:after="0"/>
              <w:rPr>
                <w:sz w:val="20"/>
                <w:szCs w:val="20"/>
                <w:color w:val="auto"/>
              </w:rPr>
            </w:pPr>
            <w:r>
              <w:rPr>
                <w:rFonts w:ascii="Times New Roman" w:cs="Times New Roman" w:eastAsia="Times New Roman" w:hAnsi="Times New Roman"/>
                <w:sz w:val="17"/>
                <w:szCs w:val="17"/>
                <w:color w:val="auto"/>
                <w:w w:val="99"/>
              </w:rPr>
              <w:t>412.9</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160" w:type="dxa"/>
            <w:vAlign w:val="bottom"/>
            <w:vMerge w:val="restart"/>
          </w:tcPr>
          <w:p>
            <w:pPr>
              <w:jc w:val="right"/>
              <w:ind w:right="1477"/>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3"/>
        </w:trPr>
        <w:tc>
          <w:tcPr>
            <w:tcW w:w="5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Components of provision for income taxes: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Federal</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Foreign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Total deferred provision for income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between the expected provision for income taxes at the U.S. federal statutory rate and the provision for income taxes: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8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 at United States statutory tax rate</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(Decrease) increase in taxes resulting from:</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earnings in jurisdictions with different tax rates</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earnings subject to United States tax</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Excess tax benefits from share-based compensation</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State tax provision</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Prior year tax returns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net</w:t>
            </w:r>
          </w:p>
        </w:tc>
        <w:tc>
          <w:tcPr>
            <w:tcW w:w="24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6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60" w:type="dxa"/>
            <w:vAlign w:val="bottom"/>
            <w:vMerge w:val="restart"/>
          </w:tcPr>
          <w:p>
            <w:pPr>
              <w:jc w:val="right"/>
              <w:ind w:right="1477"/>
              <w:spacing w:after="0"/>
              <w:rPr>
                <w:sz w:val="20"/>
                <w:szCs w:val="20"/>
                <w:color w:val="auto"/>
              </w:rPr>
            </w:pPr>
            <w:r>
              <w:rPr>
                <w:rFonts w:ascii="Times New Roman" w:cs="Times New Roman" w:eastAsia="Times New Roman" w:hAnsi="Times New Roman"/>
                <w:sz w:val="17"/>
                <w:szCs w:val="17"/>
                <w:color w:val="auto"/>
              </w:rPr>
              <w:t>76</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Components of deferred tax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Lease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goodwill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Foreign intangible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deferred tax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Less: valuation allowance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6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2,422.8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Right of use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U.S. goodwill</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intangible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Other deferred tax liabilities</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deferred tax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2,114.3</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72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80" w:type="dxa"/>
            <w:vAlign w:val="bottom"/>
          </w:tcPr>
          <w:p>
            <w:pPr>
              <w:spacing w:after="0"/>
              <w:rPr>
                <w:sz w:val="23"/>
                <w:szCs w:val="23"/>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98"/>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assessing the realizability of deferred tax assets, the Company analyzes the likelihood that the tax benefit of some or all deferred tax assets will not be realized. This analysis considers historical taxable income, projected reversal of deferred tax liabilities, projected taxable income, and tax planning strategies. Based upon this analysis, it is more likely than not that the tax benefit from all deferred tax assets, net of valuation allowance, will be realized.</w:t>
      </w:r>
    </w:p>
    <w:p>
      <w:pPr>
        <w:spacing w:after="0" w:line="14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7"/>
          <w:szCs w:val="17"/>
          <w:color w:val="auto"/>
        </w:rPr>
        <w:t>As of October 31, 2025, the Company had federal net operating loss carryforwards of $73.5 million and state net operating loss carryforwards of $87.5 million. Federal net operating loss carryforwards of $19.8 million expire on various dates from fiscal 2026 through fiscal 2038 and $53.7 million do not expire. The state net operating loss carryforwards expire on various dates from fiscal 2026 through fiscal 2044.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remaining transition tax to be remitted from the U.S. Tax Cuts and Jobs Act of 2017 is $36.9 million as of October 31, 2025.</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A tax benefit is recognized if it is more likely than not that a tax position will be sustained on its technical merits, based on the largest benefit that has a greater than 50% likelihood of being realized upon ultimate settlement with the tax authority.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880" w:type="dxa"/>
            <w:vAlign w:val="bottom"/>
            <w:gridSpan w:val="4"/>
          </w:tcPr>
          <w:p>
            <w:pPr>
              <w:jc w:val="right"/>
              <w:ind w:right="2737"/>
              <w:spacing w:after="0"/>
              <w:rPr>
                <w:sz w:val="20"/>
                <w:szCs w:val="20"/>
                <w:color w:val="auto"/>
              </w:rPr>
            </w:pPr>
            <w:r>
              <w:rPr>
                <w:rFonts w:ascii="Times New Roman" w:cs="Times New Roman" w:eastAsia="Times New Roman" w:hAnsi="Times New Roman"/>
                <w:sz w:val="17"/>
                <w:szCs w:val="17"/>
                <w:color w:val="auto"/>
                <w:w w:val="98"/>
              </w:rPr>
              <w:t>THE COOPER COMPANIES, INC. AND SUBSIDIARIES</w:t>
            </w:r>
          </w:p>
        </w:tc>
        <w:tc>
          <w:tcPr>
            <w:tcW w:w="80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880" w:type="dxa"/>
            <w:vAlign w:val="bottom"/>
            <w:gridSpan w:val="4"/>
          </w:tcPr>
          <w:p>
            <w:pPr>
              <w:jc w:val="right"/>
              <w:ind w:right="3277"/>
              <w:spacing w:after="0" w:line="179"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800" w:type="dxa"/>
            <w:vAlign w:val="bottom"/>
          </w:tcPr>
          <w:p>
            <w:pPr>
              <w:spacing w:after="0"/>
              <w:rPr>
                <w:sz w:val="15"/>
                <w:szCs w:val="15"/>
                <w:color w:val="auto"/>
              </w:rPr>
            </w:pPr>
          </w:p>
        </w:tc>
      </w:tr>
      <w:tr>
        <w:trPr>
          <w:trHeight w:val="764"/>
        </w:trPr>
        <w:tc>
          <w:tcPr>
            <w:tcW w:w="3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62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2023</w:t>
            </w:r>
          </w:p>
        </w:tc>
        <w:tc>
          <w:tcPr>
            <w:tcW w:w="6880" w:type="dxa"/>
            <w:vAlign w:val="bottom"/>
            <w:gridSpan w:val="4"/>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w:t>
            </w:r>
          </w:p>
        </w:tc>
      </w:tr>
      <w:tr>
        <w:trPr>
          <w:trHeight w:val="21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Decrease based on tax positions in prior fiscal years</w:t>
            </w:r>
          </w:p>
        </w:tc>
        <w:tc>
          <w:tcPr>
            <w:tcW w:w="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6"/>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based on tax positions in prior fiscal years</w:t>
            </w:r>
          </w:p>
        </w:tc>
        <w:tc>
          <w:tcPr>
            <w:tcW w:w="6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Increase based on tax positions in current fiscal year</w:t>
            </w:r>
          </w:p>
        </w:tc>
        <w:tc>
          <w:tcPr>
            <w:tcW w:w="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Lapses of statutes of limitations</w:t>
            </w:r>
          </w:p>
        </w:tc>
        <w:tc>
          <w:tcPr>
            <w:tcW w:w="6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3"/>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2024</w:t>
            </w:r>
          </w:p>
        </w:tc>
        <w:tc>
          <w:tcPr>
            <w:tcW w:w="6420" w:type="dxa"/>
            <w:vAlign w:val="bottom"/>
            <w:gridSpan w:val="3"/>
          </w:tcPr>
          <w:p>
            <w:pPr>
              <w:spacing w:after="0"/>
              <w:rPr>
                <w:sz w:val="18"/>
                <w:szCs w:val="18"/>
                <w:color w:val="auto"/>
              </w:rPr>
            </w:pPr>
          </w:p>
        </w:tc>
        <w:tc>
          <w:tcPr>
            <w:tcW w:w="46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326.8</w:t>
            </w:r>
          </w:p>
        </w:tc>
      </w:tr>
      <w:tr>
        <w:trPr>
          <w:trHeight w:val="226"/>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Lapses of statutes of limitations</w:t>
            </w:r>
          </w:p>
        </w:tc>
        <w:tc>
          <w:tcPr>
            <w:tcW w:w="6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3"/>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2025</w:t>
            </w:r>
          </w:p>
        </w:tc>
        <w:tc>
          <w:tcPr>
            <w:tcW w:w="6420" w:type="dxa"/>
            <w:vAlign w:val="bottom"/>
            <w:gridSpan w:val="3"/>
          </w:tcPr>
          <w:p>
            <w:pPr>
              <w:spacing w:after="0"/>
              <w:rPr>
                <w:sz w:val="18"/>
                <w:szCs w:val="18"/>
                <w:color w:val="auto"/>
              </w:rPr>
            </w:pP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315.0</w:t>
            </w: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7"/>
          <w:szCs w:val="17"/>
          <w:color w:val="auto"/>
        </w:rPr>
        <w:t>These tax benefits, if recognized, would reduce provision for income taxes for fiscal 2025, 2024 and 2023, by $314.0 million, $323.7 million, and $323.2 million, respectively. Interest and penalties related to unrecognized tax benefits are recognized in provision for income taxes. As of October 31, 2025, 2024 and 2023, accrued interest and penalties related to unrecognized tax benefits were $2.8 million, $10.7 million, and $5.8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tax returns are subject to examination by tax authorities in major tax jurisdictions for fiscal 2021 and subsequent years, including the U.S. and United Kingdom.</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Note 7. Earnings Per Share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(In millions, except for earnings per share)</w:t>
            </w:r>
          </w:p>
        </w:tc>
        <w:tc>
          <w:tcPr>
            <w:tcW w:w="320" w:type="dxa"/>
            <w:vAlign w:val="bottom"/>
          </w:tcPr>
          <w:p>
            <w:pPr>
              <w:spacing w:after="0"/>
              <w:rPr>
                <w:sz w:val="16"/>
                <w:szCs w:val="16"/>
                <w:color w:val="auto"/>
              </w:rPr>
            </w:pPr>
          </w:p>
        </w:tc>
        <w:tc>
          <w:tcPr>
            <w:tcW w:w="1060" w:type="dxa"/>
            <w:vAlign w:val="bottom"/>
          </w:tcPr>
          <w:p>
            <w:pPr>
              <w:jc w:val="right"/>
              <w:ind w:right="437"/>
              <w:spacing w:after="0" w:line="186" w:lineRule="exact"/>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7"/>
              <w:spacing w:after="0" w:line="18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37"/>
              <w:spacing w:after="0" w:line="186"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20" w:type="dxa"/>
            <w:vAlign w:val="bottom"/>
            <w:tcBorders>
              <w:top w:val="single" w:sz="8" w:color="auto"/>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860" w:type="dxa"/>
            <w:vAlign w:val="bottom"/>
            <w:gridSpan w:val="2"/>
            <w:vMerge w:val="continue"/>
          </w:tcPr>
          <w:p>
            <w:pPr>
              <w:spacing w:after="0"/>
              <w:rPr>
                <w:sz w:val="16"/>
                <w:szCs w:val="16"/>
                <w:color w:val="auto"/>
              </w:rPr>
            </w:pPr>
          </w:p>
        </w:tc>
        <w:tc>
          <w:tcPr>
            <w:tcW w:w="320" w:type="dxa"/>
            <w:vAlign w:val="bottom"/>
            <w:tcBorders>
              <w:bottom w:val="single" w:sz="8" w:color="auto"/>
            </w:tcBorders>
          </w:tcPr>
          <w:p>
            <w:pPr>
              <w:jc w:val="right"/>
              <w:ind w:right="137"/>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7"/>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7"/>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8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i w:val="1"/>
                <w:iCs w:val="1"/>
                <w:color w:val="auto"/>
              </w:rPr>
              <w:t>Diluted: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stock plans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 weighted-average common shares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484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(In thousands, except exercise prices)</w:t>
            </w:r>
          </w:p>
        </w:tc>
        <w:tc>
          <w:tcPr>
            <w:tcW w:w="2060" w:type="dxa"/>
            <w:vAlign w:val="bottom"/>
          </w:tcPr>
          <w:p>
            <w:pPr>
              <w:jc w:val="right"/>
              <w:ind w:right="777"/>
              <w:spacing w:after="0" w:line="186" w:lineRule="exact"/>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6"/>
                <w:szCs w:val="16"/>
                <w:color w:val="auto"/>
              </w:rPr>
            </w:pPr>
          </w:p>
        </w:tc>
        <w:tc>
          <w:tcPr>
            <w:tcW w:w="2060" w:type="dxa"/>
            <w:vAlign w:val="bottom"/>
          </w:tcPr>
          <w:p>
            <w:pPr>
              <w:jc w:val="right"/>
              <w:ind w:right="777"/>
              <w:spacing w:after="0" w:line="18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6"/>
                <w:szCs w:val="16"/>
                <w:color w:val="auto"/>
              </w:rPr>
            </w:pPr>
          </w:p>
        </w:tc>
        <w:tc>
          <w:tcPr>
            <w:tcW w:w="2060" w:type="dxa"/>
            <w:vAlign w:val="bottom"/>
          </w:tcPr>
          <w:p>
            <w:pPr>
              <w:jc w:val="right"/>
              <w:ind w:right="777"/>
              <w:spacing w:after="0" w:line="18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264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shares excluded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r>
      <w:tr>
        <w:trPr>
          <w:trHeight w:val="21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$75.03 - $101.54</w:t>
            </w:r>
          </w:p>
        </w:tc>
      </w:tr>
      <w:tr>
        <w:trPr>
          <w:trHeight w:val="226"/>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 excluded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bl>
    <w:p>
      <w:pPr>
        <w:spacing w:after="0" w:line="214"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7"/>
          <w:szCs w:val="17"/>
          <w:color w:val="auto"/>
        </w:rPr>
        <w:t>Above tables have been adjusted to reflect the four-for-one stock split effected on February 16, 2024. Refer to Note 1. Organization and Significant Accounting Policies for further information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Note 8. Stockholders’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Analysis of Changes in Accumulated Other Comprehensive Income (Loss):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80" w:type="dxa"/>
            <w:vAlign w:val="bottom"/>
          </w:tcPr>
          <w:p>
            <w:pPr>
              <w:spacing w:after="0"/>
              <w:rPr>
                <w:sz w:val="24"/>
                <w:szCs w:val="24"/>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Derivative</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Minimum Pension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0" w:type="dxa"/>
            <w:vAlign w:val="bottom"/>
          </w:tcPr>
          <w:p>
            <w:pPr>
              <w:spacing w:after="0"/>
              <w:rPr>
                <w:sz w:val="14"/>
                <w:szCs w:val="14"/>
                <w:color w:val="auto"/>
              </w:rPr>
            </w:pPr>
          </w:p>
        </w:tc>
        <w:tc>
          <w:tcPr>
            <w:tcW w:w="126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7"/>
                <w:szCs w:val="17"/>
                <w:b w:val="1"/>
                <w:bCs w:val="1"/>
                <w:color w:val="auto"/>
              </w:rPr>
              <w:t>Translation</w:t>
            </w: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Adjustment</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7"/>
                <w:szCs w:val="17"/>
                <w:b w:val="1"/>
                <w:bCs w:val="1"/>
                <w:color w:val="auto"/>
                <w:w w:val="96"/>
              </w:rPr>
              <w:t>Instruments</w:t>
            </w:r>
          </w:p>
        </w:tc>
        <w:tc>
          <w:tcPr>
            <w:tcW w:w="220" w:type="dxa"/>
            <w:vAlign w:val="bottom"/>
          </w:tcPr>
          <w:p>
            <w:pPr>
              <w:spacing w:after="0"/>
              <w:rPr>
                <w:sz w:val="14"/>
                <w:szCs w:val="14"/>
                <w:color w:val="auto"/>
              </w:rPr>
            </w:pPr>
          </w:p>
        </w:tc>
        <w:tc>
          <w:tcPr>
            <w:tcW w:w="1240" w:type="dxa"/>
            <w:vAlign w:val="bottom"/>
            <w:gridSpan w:val="2"/>
          </w:tcPr>
          <w:p>
            <w:pPr>
              <w:ind w:left="140"/>
              <w:spacing w:after="0" w:line="150" w:lineRule="exact"/>
              <w:rPr>
                <w:sz w:val="20"/>
                <w:szCs w:val="20"/>
                <w:color w:val="auto"/>
              </w:rPr>
            </w:pPr>
            <w:r>
              <w:rPr>
                <w:rFonts w:ascii="Times New Roman" w:cs="Times New Roman" w:eastAsia="Times New Roman" w:hAnsi="Times New Roman"/>
                <w:sz w:val="17"/>
                <w:szCs w:val="17"/>
                <w:b w:val="1"/>
                <w:bCs w:val="1"/>
                <w:color w:val="auto"/>
              </w:rPr>
              <w:t>Liability</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1"/>
              </w:rPr>
              <w:t>(6.2)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left="697"/>
              <w:spacing w:after="0"/>
              <w:rPr>
                <w:sz w:val="20"/>
                <w:szCs w:val="20"/>
                <w:color w:val="auto"/>
              </w:rPr>
            </w:pPr>
            <w:r>
              <w:rPr>
                <w:rFonts w:ascii="Times New Roman" w:cs="Times New Roman" w:eastAsia="Times New Roman" w:hAnsi="Times New Roman"/>
                <w:sz w:val="17"/>
                <w:szCs w:val="17"/>
                <w:color w:val="auto"/>
                <w:w w:val="93"/>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1"/>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2023</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center"/>
              <w:ind w:left="677"/>
              <w:spacing w:after="0"/>
              <w:rPr>
                <w:sz w:val="20"/>
                <w:szCs w:val="20"/>
                <w:color w:val="auto"/>
              </w:rPr>
            </w:pPr>
            <w:r>
              <w:rPr>
                <w:rFonts w:ascii="Times New Roman" w:cs="Times New Roman" w:eastAsia="Times New Roman" w:hAnsi="Times New Roman"/>
                <w:sz w:val="17"/>
                <w:szCs w:val="17"/>
                <w:color w:val="auto"/>
                <w:w w:val="91"/>
              </w:rPr>
              <w:t>(3.2)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1"/>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effect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left="697"/>
              <w:spacing w:after="0"/>
              <w:rPr>
                <w:sz w:val="20"/>
                <w:szCs w:val="20"/>
                <w:color w:val="auto"/>
              </w:rPr>
            </w:pPr>
            <w:r>
              <w:rPr>
                <w:rFonts w:ascii="Times New Roman" w:cs="Times New Roman" w:eastAsia="Times New Roman" w:hAnsi="Times New Roman"/>
                <w:sz w:val="17"/>
                <w:szCs w:val="17"/>
                <w:color w:val="auto"/>
                <w:w w:val="93"/>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2024</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1"/>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500" w:type="dxa"/>
            <w:vAlign w:val="bottom"/>
            <w:gridSpan w:val="2"/>
            <w:vMerge w:val="continue"/>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center"/>
              <w:ind w:left="697"/>
              <w:spacing w:after="0"/>
              <w:rPr>
                <w:sz w:val="20"/>
                <w:szCs w:val="20"/>
                <w:color w:val="auto"/>
              </w:rPr>
            </w:pPr>
            <w:r>
              <w:rPr>
                <w:rFonts w:ascii="Times New Roman" w:cs="Times New Roman" w:eastAsia="Times New Roman" w:hAnsi="Times New Roman"/>
                <w:sz w:val="17"/>
                <w:szCs w:val="17"/>
                <w:color w:val="auto"/>
                <w:w w:val="93"/>
              </w:rPr>
              <w:t>8.5</w:t>
            </w:r>
          </w:p>
        </w:tc>
        <w:tc>
          <w:tcPr>
            <w:tcW w:w="100" w:type="dxa"/>
            <w:vAlign w:val="bottom"/>
          </w:tcPr>
          <w:p>
            <w:pPr>
              <w:spacing w:after="0"/>
              <w:rPr>
                <w:sz w:val="16"/>
                <w:szCs w:val="16"/>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1"/>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2025</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center"/>
              <w:ind w:left="697"/>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In September 2025, the authorization under the 2012 Share Repurchase Program was increased to $2.0 billion by the Company's Board of Directors. As of October 31, 2025, $966.4 million remains authorized for repurchase.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fiscal 2025, the Company repurchased 4.1 million shares of its common stock for $290.1 million, at a weighted average price of $69.30 per share under the program.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fiscal 2024, there were no share repurchases under the program.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pay dividends in fiscal 2025 and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 Plans</w:t>
      </w:r>
    </w:p>
    <w:p>
      <w:pPr>
        <w:spacing w:after="0" w:line="1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auto"/>
        </w:rPr>
        <w:t>All share, restricted stock unit (RSU), option, per share, per RSU and per option information presented below have been adjusted to reflect the four-for-one stock split effected on February 16, 2024. Refer to Note 1. Organization and Significant Accounting Policies.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2007 Long-Term Incentive Plan (2007 Plan)</w:t>
      </w:r>
    </w:p>
    <w:p>
      <w:pPr>
        <w:spacing w:after="0" w:line="1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In March 2007, we received stockholder approval of the 2007 Plan. The 2007 Plan was subsequently amended and restated, and granted stockholder approval in March 2009, March 2011, and March 2016.</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The 2007 Plan authorizes either our Board of Directors, or a designated committee thereof composed of two or more non-employee directors, to grant to eligible individuals during the period ending December 31, 2026, up to 27,720,000 shares in the form of specified equity awards including stock options, restricted stock units and performance share awards. RSUs have no dividend or voting rights prior to vesting. Awards under the 2007 Plan remain outstanding but new awards are no longer being granted.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Long-Term Incentive Plan (2023 Plan)</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In March 2023, we received stockholder approval of the 2023 Plan. The 2023 Plan authorizes either our Board of Directors, or a designated committee thereof composed of two or more non-employee directors, to grant to eligible individuals up to 5,460,000 shares in the form of specified equity awards including stock options, restricted stock units (RSUs) and performance share units (PSUs), subject to adjustment for future stock splits, stock dividends, expirations, forfeitures, and similar events. In addition, the 2023 Plan includes any shares which were available for issuance under the 2007 Plan at the time of stockholder approval of this plan and shares which become available as a result of the forfeiture or expiration of awards made under the 2007 Plan.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7"/>
          <w:szCs w:val="17"/>
          <w:color w:val="auto"/>
        </w:rPr>
        <w:t>As of October 31, 2025, 4,315,716 shares remained available under the 2023 Plan for future grants. The amount of available shares includes shares which may be distributed under performance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The compensation expense and related income tax benefit recognized in our Consolidated Statements of Income for share-based awards, including the Employee Stock Purchase Plan,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67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20" w:type="dxa"/>
            <w:vAlign w:val="bottom"/>
          </w:tcPr>
          <w:p>
            <w:pPr>
              <w:spacing w:after="0"/>
              <w:rPr>
                <w:sz w:val="16"/>
                <w:szCs w:val="16"/>
                <w:color w:val="auto"/>
              </w:rPr>
            </w:pPr>
          </w:p>
        </w:tc>
        <w:tc>
          <w:tcPr>
            <w:tcW w:w="1120" w:type="dxa"/>
            <w:vAlign w:val="bottom"/>
          </w:tcPr>
          <w:p>
            <w:pPr>
              <w:jc w:val="right"/>
              <w:ind w:right="477"/>
              <w:spacing w:after="0" w:line="186" w:lineRule="exact"/>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7"/>
              <w:spacing w:after="0" w:line="18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7"/>
              <w:spacing w:after="0" w:line="18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3"/>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compensation expense</w:t>
            </w: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income tax benefit</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6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7"/>
          <w:szCs w:val="17"/>
          <w:color w:val="auto"/>
        </w:rPr>
        <w:t>The fair value of each stock option award granted is estimated on the date of grant using the Black-Scholes option valuation model and assumptions noted in the following table.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6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years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years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years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800"/>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0" w:type="dxa"/>
            <w:vAlign w:val="bottom"/>
          </w:tcPr>
          <w:p>
            <w:pPr>
              <w:spacing w:after="0"/>
              <w:rPr>
                <w:sz w:val="1"/>
                <w:szCs w:val="1"/>
                <w:color w:val="auto"/>
              </w:rPr>
            </w:pPr>
          </w:p>
        </w:tc>
      </w:tr>
      <w:tr>
        <w:trPr>
          <w:trHeight w:val="450"/>
        </w:trPr>
        <w:tc>
          <w:tcPr>
            <w:tcW w:w="5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activity and status of our stock option plans are summarized below:</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Weighted-</w:t>
            </w:r>
          </w:p>
        </w:tc>
        <w:tc>
          <w:tcPr>
            <w:tcW w:w="1440" w:type="dxa"/>
            <w:vAlign w:val="bottom"/>
            <w:gridSpan w:val="4"/>
          </w:tcPr>
          <w:p>
            <w:pPr>
              <w:jc w:val="center"/>
              <w:ind w:right="100"/>
              <w:spacing w:after="0" w:line="170"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440" w:type="dxa"/>
            <w:vAlign w:val="bottom"/>
            <w:gridSpan w:val="4"/>
          </w:tcPr>
          <w:p>
            <w:pPr>
              <w:jc w:val="center"/>
              <w:ind w:right="100"/>
              <w:spacing w:after="0" w:line="158" w:lineRule="exact"/>
              <w:rPr>
                <w:sz w:val="20"/>
                <w:szCs w:val="20"/>
                <w:color w:val="auto"/>
              </w:rPr>
            </w:pPr>
            <w:r>
              <w:rPr>
                <w:rFonts w:ascii="Times New Roman" w:cs="Times New Roman" w:eastAsia="Times New Roman" w:hAnsi="Times New Roman"/>
                <w:sz w:val="17"/>
                <w:szCs w:val="17"/>
                <w:b w:val="1"/>
                <w:bCs w:val="1"/>
                <w:color w:val="auto"/>
                <w:w w:val="98"/>
              </w:rPr>
              <w:t>Remaining</w:t>
            </w: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60" w:type="dxa"/>
            <w:vAlign w:val="bottom"/>
          </w:tcPr>
          <w:p>
            <w:pPr>
              <w:spacing w:after="0"/>
              <w:rPr>
                <w:sz w:val="14"/>
                <w:szCs w:val="14"/>
                <w:color w:val="auto"/>
              </w:rPr>
            </w:pPr>
          </w:p>
        </w:tc>
        <w:tc>
          <w:tcPr>
            <w:tcW w:w="1460" w:type="dxa"/>
            <w:vAlign w:val="bottom"/>
            <w:gridSpan w:val="4"/>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1440" w:type="dxa"/>
            <w:vAlign w:val="bottom"/>
            <w:gridSpan w:val="4"/>
          </w:tcPr>
          <w:p>
            <w:pPr>
              <w:jc w:val="center"/>
              <w:ind w:right="100"/>
              <w:spacing w:after="0" w:line="170" w:lineRule="exact"/>
              <w:rPr>
                <w:sz w:val="20"/>
                <w:szCs w:val="20"/>
                <w:color w:val="auto"/>
              </w:rPr>
            </w:pPr>
            <w:r>
              <w:rPr>
                <w:rFonts w:ascii="Times New Roman" w:cs="Times New Roman" w:eastAsia="Times New Roman" w:hAnsi="Times New Roman"/>
                <w:sz w:val="17"/>
                <w:szCs w:val="17"/>
                <w:b w:val="1"/>
                <w:bCs w:val="1"/>
                <w:color w:val="auto"/>
                <w:w w:val="97"/>
              </w:rPr>
              <w:t>Contractual</w:t>
            </w:r>
          </w:p>
        </w:tc>
        <w:tc>
          <w:tcPr>
            <w:tcW w:w="180" w:type="dxa"/>
            <w:vAlign w:val="bottom"/>
          </w:tcPr>
          <w:p>
            <w:pPr>
              <w:spacing w:after="0"/>
              <w:rPr>
                <w:sz w:val="14"/>
                <w:szCs w:val="14"/>
                <w:color w:val="auto"/>
              </w:rPr>
            </w:pPr>
          </w:p>
        </w:tc>
        <w:tc>
          <w:tcPr>
            <w:tcW w:w="140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center"/>
              <w:ind w:right="260"/>
              <w:spacing w:after="0" w:line="171" w:lineRule="exact"/>
              <w:rPr>
                <w:sz w:val="20"/>
                <w:szCs w:val="20"/>
                <w:color w:val="auto"/>
              </w:rPr>
            </w:pPr>
            <w:r>
              <w:rPr>
                <w:rFonts w:ascii="Times New Roman" w:cs="Times New Roman" w:eastAsia="Times New Roman" w:hAnsi="Times New Roman"/>
                <w:sz w:val="17"/>
                <w:szCs w:val="17"/>
                <w:b w:val="1"/>
                <w:bCs w:val="1"/>
                <w:color w:val="auto"/>
                <w:w w:val="96"/>
              </w:rPr>
              <w:t>Exercise Price</w:t>
            </w:r>
          </w:p>
        </w:tc>
        <w:tc>
          <w:tcPr>
            <w:tcW w:w="1440" w:type="dxa"/>
            <w:vAlign w:val="bottom"/>
            <w:gridSpan w:val="4"/>
          </w:tcPr>
          <w:p>
            <w:pPr>
              <w:jc w:val="center"/>
              <w:ind w:right="100"/>
              <w:spacing w:after="0" w:line="171" w:lineRule="exact"/>
              <w:rPr>
                <w:sz w:val="20"/>
                <w:szCs w:val="20"/>
                <w:color w:val="auto"/>
              </w:rPr>
            </w:pPr>
            <w:r>
              <w:rPr>
                <w:rFonts w:ascii="Times New Roman" w:cs="Times New Roman" w:eastAsia="Times New Roman" w:hAnsi="Times New Roman"/>
                <w:sz w:val="17"/>
                <w:szCs w:val="17"/>
                <w:b w:val="1"/>
                <w:bCs w:val="1"/>
                <w:color w:val="auto"/>
                <w:w w:val="93"/>
              </w:rPr>
              <w:t>Term</w:t>
            </w: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60" w:type="dxa"/>
            <w:vAlign w:val="bottom"/>
          </w:tcPr>
          <w:p>
            <w:pPr>
              <w:spacing w:after="0"/>
              <w:rPr>
                <w:sz w:val="19"/>
                <w:szCs w:val="19"/>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Per Share</w:t>
            </w: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(in years)</w:t>
            </w:r>
          </w:p>
        </w:tc>
        <w:tc>
          <w:tcPr>
            <w:tcW w:w="180" w:type="dxa"/>
            <w:vAlign w:val="bottom"/>
          </w:tcPr>
          <w:p>
            <w:pPr>
              <w:spacing w:after="0"/>
              <w:rPr>
                <w:sz w:val="19"/>
                <w:szCs w:val="19"/>
                <w:color w:val="auto"/>
              </w:rPr>
            </w:pPr>
          </w:p>
        </w:tc>
        <w:tc>
          <w:tcPr>
            <w:tcW w:w="140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October 31, 2024</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3,292,468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75.25</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99.08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85.46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October 31, 2025</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11,901,293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Vested and expected to vest at October 31, 2025</w:t>
            </w: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3,452,946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77.35</w:t>
            </w:r>
          </w:p>
        </w:tc>
        <w:tc>
          <w:tcPr>
            <w:tcW w:w="100" w:type="dxa"/>
            <w:vAlign w:val="bottom"/>
          </w:tcPr>
          <w:p>
            <w:pPr>
              <w:spacing w:after="0"/>
              <w:rPr>
                <w:sz w:val="16"/>
                <w:szCs w:val="16"/>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11,901,293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exercisable at October 31, 2025</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2,923,868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74.23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11,901,293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7"/>
          <w:szCs w:val="17"/>
          <w:color w:val="auto"/>
        </w:rPr>
        <w:t>The weighted-average fair value of options granted during fiscal 2025, 2024 and 2023, estimated as of the grant date using the Black-Scholes option pricing model, was $36.09, $26.54 and $25.79. The total intrinsic value of options exercised during the fiscal years ended October 31, 2025, 2024 and 2023 was $1.6 million, $51.3 million and $13.4 million, respectively.</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Stock options outstanding under our current plans have been granted at prices which are either equal to or above the market value of the common stock on the date of grant. Options granted under the 2007 Plan and 2023 Plan generally vest over a range of three to four years based on service conditions and expire no later than ten years after the grant date. We generally recognize compensation expense ratably over the vesting period. As of October 31, 2025, there was $9.6 million of total unrecognized compensation cost related to non-vested options, which is expected to be recognized over a remaining weighted-average vesting period of 2.5 years.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6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RSUs granted under the 2007 Plan and the 2023 Plan generally vest over three to five years. The grant-date fair value of RSUs is estimated based on the market price of our common stock. We recognize compensation expense ratably over the vesting period. As of October 31, 2025, there was $67.8 million of total unrecognized compensation cost related to non-vested RSUs, which is expected to be recognized over a remaining weighted-average vesting period of 2.5 years. The total fair value of RSU grants that vested during the fiscal years ended October 31, 2025, 2024 and 2023 was $45.4 million, $40.9 million and $37.3 million,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The status of our non-vested RSUs is summarized below:</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78"/>
        </w:trPr>
        <w:tc>
          <w:tcPr>
            <w:tcW w:w="7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7"/>
                <w:szCs w:val="17"/>
                <w:b w:val="1"/>
                <w:bCs w:val="1"/>
                <w:color w:val="auto"/>
                <w:w w:val="95"/>
              </w:rPr>
              <w:t>Weighted-</w:t>
            </w:r>
          </w:p>
        </w:tc>
      </w:tr>
      <w:tr>
        <w:trPr>
          <w:trHeight w:val="158"/>
        </w:trPr>
        <w:tc>
          <w:tcPr>
            <w:tcW w:w="7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97"/>
              <w:spacing w:after="0" w:line="158" w:lineRule="exact"/>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183"/>
        </w:trPr>
        <w:tc>
          <w:tcPr>
            <w:tcW w:w="7660" w:type="dxa"/>
            <w:vAlign w:val="bottom"/>
          </w:tcPr>
          <w:p>
            <w:pPr>
              <w:spacing w:after="0"/>
              <w:rPr>
                <w:sz w:val="15"/>
                <w:szCs w:val="15"/>
                <w:color w:val="auto"/>
              </w:rPr>
            </w:pPr>
          </w:p>
        </w:tc>
        <w:tc>
          <w:tcPr>
            <w:tcW w:w="1720" w:type="dxa"/>
            <w:vAlign w:val="bottom"/>
          </w:tcPr>
          <w:p>
            <w:pPr>
              <w:jc w:val="right"/>
              <w:ind w:right="397"/>
              <w:spacing w:after="0" w:line="183"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17"/>
              <w:spacing w:after="0" w:line="183" w:lineRule="exact"/>
              <w:rPr>
                <w:sz w:val="20"/>
                <w:szCs w:val="20"/>
                <w:color w:val="auto"/>
              </w:rPr>
            </w:pPr>
            <w:r>
              <w:rPr>
                <w:rFonts w:ascii="Times New Roman" w:cs="Times New Roman" w:eastAsia="Times New Roman" w:hAnsi="Times New Roman"/>
                <w:sz w:val="17"/>
                <w:szCs w:val="17"/>
                <w:b w:val="1"/>
                <w:bCs w:val="1"/>
                <w:color w:val="auto"/>
                <w:w w:val="98"/>
              </w:rPr>
              <w:t>Grant Date Fair</w:t>
            </w:r>
          </w:p>
        </w:tc>
      </w:tr>
      <w:tr>
        <w:trPr>
          <w:trHeight w:val="221"/>
        </w:trPr>
        <w:tc>
          <w:tcPr>
            <w:tcW w:w="76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5"/>
              </w:rPr>
              <w:t>Value Per Share</w:t>
            </w:r>
          </w:p>
        </w:tc>
      </w:tr>
      <w:tr>
        <w:trPr>
          <w:trHeight w:val="21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at October 31,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1,298,723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86.92</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557,835</w:t>
            </w:r>
          </w:p>
        </w:tc>
        <w:tc>
          <w:tcPr>
            <w:tcW w:w="34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94.91</w:t>
            </w:r>
          </w:p>
        </w:tc>
      </w:tr>
      <w:tr>
        <w:trPr>
          <w:trHeight w:val="22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issued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(503,170)</w:t>
            </w:r>
          </w:p>
        </w:tc>
        <w:tc>
          <w:tcPr>
            <w:tcW w:w="3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87.36</w:t>
            </w: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(141,809)</w:t>
            </w:r>
          </w:p>
        </w:tc>
        <w:tc>
          <w:tcPr>
            <w:tcW w:w="340" w:type="dxa"/>
            <w:vAlign w:val="bottom"/>
            <w:tcBorders>
              <w:bottom w:val="single" w:sz="8" w:color="CCEEFF"/>
            </w:tcBorders>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90.54</w:t>
            </w: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RSUs at October 31,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1,211,579</w:t>
            </w:r>
          </w:p>
        </w:tc>
        <w:tc>
          <w:tcPr>
            <w:tcW w:w="3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Units</w:t>
      </w:r>
    </w:p>
    <w:p>
      <w:pPr>
        <w:spacing w:after="0" w:line="17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Performance units may be granted to selected key employees with vesting contingent upon meeting certain performance goals over a defined performance cycle, usually three years. Performance units, if earned, may be paid in cash or shares of common stock. We granted performance unit awards on December 10, 2024 and December 12, 2023, under the 2023 Plan, with three-year performance periods ending in fiscal 2028, and fiscal 2027, respectively. We granted performance unit awards on December 13, 2022, under the 2007 Plan, with three-year performance periods ending in fiscal 2026. The performance shares actually earned will range from zero to 200% of the target number of performance shares. Subject to limited exceptions set forth in the performance share agreement, any shares earned will be distributed in the subsequent fiscal year after the performance period. The fair value of performance unit awards is estimated on the date of grant based on the current market price of our common stock. The amount of compensation expense related to these performance unit awards is reviewed each fiscal quarter and adjustments are recorded after assessing the probability of achieving the performance goals.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We recognize compensation expense ratably over the vesting period. As of October 31, 2025, there was $19.2 million of total unrecognized compensation cost related to non-vested performance units, which is expected to be recognized over a remaining weighted-average vesting period of 1.6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6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On March 18, 2019, the Company received stockholder approval for the Employee Stock Purchase Plan (ESPP). The first offering period began on November 4, 2019, and offerings were generally made on a quarterly basis. Starting with the offering period that commenced in May 2025, the offering periods changed to six months and generally begin on May 2 and November 2 each year. The purpose of the ESPP is to provide eligible employees of the Company with the opportunity to acquire shares of common stock at 85% of the market price on the last business day of each offering period by means of accumulated payroll deductions. The ESPP initially authorized the issuance of 4,000,000 shares of common stock. These shares will be made available from shares of common stock reacquired by the Company as Treasury Stock. During fiscal 2025 and 2024, we issued 81,062 and 107,031 shares to our employees under the ESPP, respectively. At October 31, 2025, the number of shares remaining available for future issuance under the ESPP was 3,499,807 shares. Total ESPP share-based compensation recognized during fiscal 2025, 2024 and 2023 was $1.5 million, $1.6 million and $1.3 million,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Employee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Benefits Related To Workforce Optimization Initiatives</w:t>
      </w:r>
    </w:p>
    <w:p>
      <w:pPr>
        <w:spacing w:after="0" w:line="163"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7"/>
          <w:szCs w:val="17"/>
          <w:color w:val="auto"/>
        </w:rPr>
        <w:t>From time to time, the Company might engage in workforce optimization activities. Employee severance and other termination benefit packages are primarily determined based on established benefit arrangements, local statutory requirements, and historical benefit practices. We recognize the contractual component of these benefits when payment is probable and estimable; additional elements of severance and termination benefits associated with non-recurring benefits are recognized ratably over each employee’s required future service period. We recognized termination benefits expense of $35.0 million associated with the workforce optimization initiatives in fiscal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Income Plan</w:t>
      </w:r>
    </w:p>
    <w:p>
      <w:pPr>
        <w:spacing w:after="0" w:line="17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The Company's Retirement Income Plan (Plan), a defined benefit plan, is only available to full-time United States employees. 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7"/>
          <w:szCs w:val="17"/>
          <w:color w:val="auto"/>
        </w:rPr>
        <w:t>The Company uses individual spot rates along the yield curve that correspond with the timing of each benefit payment to determine the service and interest costs of components of its net periodic benefit cost utilizing the correlation of projected cash outflows and corresponding spot rates on the yield curve.</w:t>
      </w:r>
    </w:p>
    <w:p>
      <w:pPr>
        <w:spacing w:after="0" w:line="117"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7"/>
          <w:szCs w:val="17"/>
          <w:color w:val="auto"/>
        </w:rPr>
        <w:t>The following table sets forth the Plan's benefit obligations, fair value of the Plan assets and funded status of the Plan at October 31, 2025 and 2024, and net periodic pension costs for each of the years in the three-year periods ended October 31, 2025. The net amounts recognized in the Consolidated Balance Sheets consist of non-current liabilities. The accumulated benefit obligation was $161.4 million and $161.7 million as of October 31,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0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benefit obligation</w:t>
            </w:r>
          </w:p>
        </w:tc>
        <w:tc>
          <w:tcPr>
            <w:tcW w:w="3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Benefit obligation, beginning of year</w:t>
            </w:r>
          </w:p>
        </w:tc>
        <w:tc>
          <w:tcPr>
            <w:tcW w:w="37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3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3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Actuarial (gain) loss</w:t>
            </w:r>
          </w:p>
        </w:tc>
        <w:tc>
          <w:tcPr>
            <w:tcW w:w="3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obligation, end of year</w:t>
            </w:r>
          </w:p>
        </w:tc>
        <w:tc>
          <w:tcPr>
            <w:tcW w:w="34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gridSpan w:val="3"/>
            <w:vMerge w:val="continue"/>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 beginning of year</w:t>
            </w:r>
          </w:p>
        </w:tc>
        <w:tc>
          <w:tcPr>
            <w:tcW w:w="37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Employer contributions</w:t>
            </w:r>
          </w:p>
        </w:tc>
        <w:tc>
          <w:tcPr>
            <w:tcW w:w="3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3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 end of year</w:t>
            </w:r>
          </w:p>
        </w:tc>
        <w:tc>
          <w:tcPr>
            <w:tcW w:w="34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Funded status at end of year</w:t>
            </w:r>
          </w:p>
        </w:tc>
        <w:tc>
          <w:tcPr>
            <w:tcW w:w="37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60" w:type="dxa"/>
            <w:vAlign w:val="bottom"/>
            <w:tcBorders>
              <w:top w:val="single" w:sz="8" w:color="CCEEFF"/>
            </w:tcBorders>
            <w:gridSpan w:val="3"/>
            <w:vMerge w:val="continue"/>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060" w:type="dxa"/>
            <w:vAlign w:val="bottom"/>
            <w:gridSpan w:val="3"/>
            <w:vMerge w:val="continue"/>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in accumulated other comprehensive income consist of:</w:t>
            </w:r>
          </w:p>
        </w:tc>
        <w:tc>
          <w:tcPr>
            <w:tcW w:w="3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loss (gain)</w:t>
            </w:r>
          </w:p>
        </w:tc>
        <w:tc>
          <w:tcPr>
            <w:tcW w:w="37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4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697"/>
              <w:spacing w:after="0"/>
              <w:rPr>
                <w:sz w:val="20"/>
                <w:szCs w:val="20"/>
                <w:color w:val="auto"/>
              </w:rPr>
            </w:pPr>
            <w:r>
              <w:rPr>
                <w:rFonts w:ascii="Times New Roman" w:cs="Times New Roman" w:eastAsia="Times New Roman" w:hAnsi="Times New Roman"/>
                <w:sz w:val="17"/>
                <w:szCs w:val="17"/>
                <w:color w:val="auto"/>
              </w:rPr>
              <w:t>82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(prepaid) accrued pension cost: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(Prepaid)/Accrued pension cost at prior fiscal year end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periodic benefit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Contributions made during the year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(Prepaid)/Accrued pension cost at fiscal year end</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0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704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Components of net periodic benefit cost and other amounts recognized in the Consolidated</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Statements of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periodic benefit cost: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periodic pension cost</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0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4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changes in plan assets and benefit obligations recognized in other comprehensive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(gain) loss</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8"/>
                <w:szCs w:val="18"/>
                <w:color w:val="auto"/>
              </w:rPr>
            </w:pPr>
          </w:p>
        </w:tc>
        <w:tc>
          <w:tcPr>
            <w:tcW w:w="3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recognized in other comprehensive (income) loss</w:t>
            </w: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recognized in net periodic benefit cost and other comprehensive (income) loss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6"/>
                <w:szCs w:val="16"/>
                <w:color w:val="auto"/>
              </w:rPr>
            </w:pPr>
          </w:p>
        </w:tc>
        <w:tc>
          <w:tcPr>
            <w:tcW w:w="14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37"/>
        </w:trPr>
        <w:tc>
          <w:tcPr>
            <w:tcW w:w="20" w:type="dxa"/>
            <w:vAlign w:val="bottom"/>
            <w:shd w:val="clear" w:color="auto" w:fill="CCEEFF"/>
          </w:tcPr>
          <w:p>
            <w:pPr>
              <w:spacing w:after="0"/>
              <w:rPr>
                <w:sz w:val="11"/>
                <w:szCs w:val="11"/>
                <w:color w:val="auto"/>
              </w:rPr>
            </w:pPr>
          </w:p>
        </w:tc>
        <w:tc>
          <w:tcPr>
            <w:tcW w:w="67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Weighted-average assumptions used in computing the net periodic pension cost and projected</w:t>
            </w: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benefit obligation at year end:</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Discount rate for determining net periodic pension cost: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5.74 %</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Service Cost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Cost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5.51 %</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Discount rate for determining benefit obligations at year end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Rate of compensation increase for determining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3.60 %</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Rate of compensation increase for determining benefit obligations at year end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rate of return on plan assets for determining net periodic pension cost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r>
      <w:tr>
        <w:trPr>
          <w:trHeight w:val="21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rate of return on plan assets at year end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Measurement date for determining assets and benefit obligations at year end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10/31/2023</w:t>
            </w:r>
          </w:p>
        </w:tc>
      </w:tr>
    </w:tbl>
    <w:p>
      <w:pPr>
        <w:spacing w:after="0" w:line="2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discount rate enables us to state expected future cash flows at a present value on the measurement date. The discount rate used for the Plan is based primarily on the yields of a universe of high-quality corporate bonds rated AA or above, with durations corresponding to the expected durations of the benefit obligations. A change in the discount rate will cause the present value of benefit obligations to change in the opposite direction.</w:t>
      </w:r>
    </w:p>
    <w:p>
      <w:pPr>
        <w:spacing w:after="0" w:line="12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projected benefit obligation experienced a net gain of approximately $4.7 million during the year. This net gain is the result of assumption changes resulting in a gain of approximately $6.7 million and a loss of approximately $2.0 million due to demographic experience. The key assumption changes were the interest rates used for lump sum determination (gain of $6.7 million) and the yield curve used to determine discount rates. Changes in demographic experience were due to the net effect of retirement rates, termination rates, salary increases and other experience that was different from assumed.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Weighted-average asset allocations at year end, by asset category are as follows: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Years Ended October 31,</w:t>
            </w: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4"/>
                <w:szCs w:val="24"/>
                <w:color w:val="auto"/>
              </w:rPr>
            </w:pP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 category</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26"/>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common stock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26.0 %</w:t>
            </w:r>
          </w:p>
        </w:tc>
      </w:tr>
      <w:tr>
        <w:trPr>
          <w:trHeight w:val="21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mutual funds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39.1 %</w:t>
            </w:r>
          </w:p>
        </w:tc>
      </w:tr>
      <w:tr>
        <w:trPr>
          <w:trHeight w:val="226"/>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Balanced funds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1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Alternative investments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r>
      <w:tr>
        <w:trPr>
          <w:trHeight w:val="226"/>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Bond mutual funds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29.4 %</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28.2 %</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28.9 %</w:t>
            </w:r>
          </w:p>
        </w:tc>
      </w:tr>
      <w:tr>
        <w:trPr>
          <w:trHeight w:val="213"/>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3"/>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hedging strategy funds and cash. Presently, this diversified portfolio is expected to return approximately 8% in the long run.</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the measurement date of October 31, 2025 and October 31, 2024, all plan assets were classified as Level 1 assets except for $15.2 million and $26.7 million fixed income investments and $3.3 million and $5.7 million cash and cash equivalents, which were classified as Level 2. The Plan has an established process for determining the fair value of plan assets. For investments in equity and bond mutual funds, and real estate funds, fair value is based on observable, Level 1 inputs.</w:t>
      </w:r>
    </w:p>
    <w:p>
      <w:pPr>
        <w:spacing w:after="0" w:line="12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The Company closely monitors the funded status of the Plan with respect to legislative and accounting rules. The Company is expected to make contributions totaling $3.6 million to the Plan during fiscal 2026.</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Years</w:t>
      </w: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10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2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2031-2035</w:t>
            </w:r>
          </w:p>
        </w:tc>
        <w:tc>
          <w:tcPr>
            <w:tcW w:w="510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401(k) Savings Plan</w:t>
      </w:r>
    </w:p>
    <w:p>
      <w:pPr>
        <w:spacing w:after="0" w:line="176"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17"/>
          <w:szCs w:val="17"/>
          <w:color w:val="auto"/>
        </w:rPr>
        <w:t>The Company's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$11.6 million, $10.1 million and $10.1 million for the years ended October 31, 2025, 2024 and 2023,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Contingencies</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Legal fees are expensed as incurred.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Business Segment Information</w:t>
      </w:r>
    </w:p>
    <w:p>
      <w:pPr>
        <w:spacing w:after="0" w:line="163" w:lineRule="exact"/>
        <w:rPr>
          <w:sz w:val="20"/>
          <w:szCs w:val="20"/>
          <w:color w:val="auto"/>
        </w:rPr>
      </w:pPr>
    </w:p>
    <w:p>
      <w:pPr>
        <w:ind w:right="640"/>
        <w:spacing w:after="0" w:line="262" w:lineRule="auto"/>
        <w:rPr>
          <w:sz w:val="20"/>
          <w:szCs w:val="20"/>
          <w:color w:val="auto"/>
        </w:rPr>
      </w:pPr>
      <w:r>
        <w:rPr>
          <w:rFonts w:ascii="Times New Roman" w:cs="Times New Roman" w:eastAsia="Times New Roman" w:hAnsi="Times New Roman"/>
          <w:sz w:val="17"/>
          <w:szCs w:val="17"/>
          <w:color w:val="auto"/>
        </w:rPr>
        <w:t>The Company discloses information about its operating segments, which were established based on the way that our Chief Operating Decision Maker (CODM) organizes segments within the Company for making operating decisions and assessing financial performance. Our CODM is our Chief Executive Officer. The Company's two operating segments are described below.</w:t>
      </w:r>
    </w:p>
    <w:p>
      <w:pPr>
        <w:spacing w:after="0" w:line="118" w:lineRule="exact"/>
        <w:rPr>
          <w:sz w:val="20"/>
          <w:szCs w:val="20"/>
          <w:color w:val="auto"/>
        </w:rPr>
      </w:pPr>
    </w:p>
    <w:p>
      <w:pPr>
        <w:ind w:left="640" w:right="20" w:hanging="320"/>
        <w:spacing w:after="0" w:line="269" w:lineRule="auto"/>
        <w:tabs>
          <w:tab w:leader="none" w:pos="632"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CooperVision. </w:t>
      </w:r>
      <w:r>
        <w:rPr>
          <w:rFonts w:ascii="Times New Roman" w:cs="Times New Roman" w:eastAsia="Times New Roman" w:hAnsi="Times New Roman"/>
          <w:sz w:val="17"/>
          <w:szCs w:val="17"/>
          <w:color w:val="auto"/>
        </w:rPr>
        <w:t>Competes in the worldwide contact lens market by developing, manufacturing and marketing a broad range of products for contact lens wearers,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featuring advanced materials and optics.</w:t>
      </w:r>
    </w:p>
    <w:p>
      <w:pPr>
        <w:spacing w:after="0" w:line="112" w:lineRule="exact"/>
        <w:rPr>
          <w:rFonts w:ascii="Times New Roman" w:cs="Times New Roman" w:eastAsia="Times New Roman" w:hAnsi="Times New Roman"/>
          <w:sz w:val="17"/>
          <w:szCs w:val="17"/>
          <w:i w:val="1"/>
          <w:iCs w:val="1"/>
          <w:color w:val="auto"/>
        </w:rPr>
      </w:pPr>
    </w:p>
    <w:p>
      <w:pPr>
        <w:ind w:left="640" w:right="40" w:hanging="320"/>
        <w:spacing w:after="0" w:line="269" w:lineRule="auto"/>
        <w:tabs>
          <w:tab w:leader="none" w:pos="63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CooperSurgical. </w:t>
      </w:r>
      <w:r>
        <w:rPr>
          <w:rFonts w:ascii="Times New Roman" w:cs="Times New Roman" w:eastAsia="Times New Roman" w:hAnsi="Times New Roman"/>
          <w:sz w:val="17"/>
          <w:szCs w:val="17"/>
          <w:color w:val="auto"/>
        </w:rPr>
        <w:t>Competes in the fertility and women's health care market through its diversified portfolio of products and services, including fertility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services, medical devices, cryostorage (such as cord blood and cord tissue storage) and contraception.</w:t>
      </w:r>
    </w:p>
    <w:p>
      <w:pPr>
        <w:spacing w:after="0" w:line="12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The CODM uses operating income, as presented in our financial reports, as the primary measure of segment profitability to assess the performance of the segments and make decisions on resource allocation across segments. The Company does not allocate costs from corporate functions to segment operating income. The Company uses the same accounting policies to generate segment results as it does for consolidated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customers accounted for 10% or more of our consolidated net revenue in fiscal 2025,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identifiable assets are those used in continuing operations except cash and cash equivalents, which the Company includes as corporate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presents a summary of our business segment net sales: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net sales by category:</w:t>
            </w: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Toric and multifocal</w:t>
            </w:r>
          </w:p>
        </w:tc>
        <w:tc>
          <w:tcPr>
            <w:tcW w:w="18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1,351.3</w:t>
            </w:r>
          </w:p>
        </w:tc>
        <w:tc>
          <w:tcPr>
            <w:tcW w:w="10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1,257.2</w:t>
            </w:r>
          </w:p>
        </w:tc>
        <w:tc>
          <w:tcPr>
            <w:tcW w:w="12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Sphere, other</w:t>
            </w:r>
          </w:p>
        </w:tc>
        <w:tc>
          <w:tcPr>
            <w:tcW w:w="1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Total CooperVision net sales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net sales by category:</w:t>
            </w:r>
          </w:p>
        </w:tc>
        <w:tc>
          <w:tcPr>
            <w:tcW w:w="1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Office and surgical</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Fertility</w:t>
            </w:r>
          </w:p>
        </w:tc>
        <w:tc>
          <w:tcPr>
            <w:tcW w:w="1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7"/>
                <w:szCs w:val="17"/>
                <w:color w:val="auto"/>
              </w:rPr>
              <w:t>Total CooperSurgical net sales</w:t>
            </w:r>
          </w:p>
        </w:tc>
        <w:tc>
          <w:tcPr>
            <w:tcW w:w="1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net sales</w:t>
            </w:r>
          </w:p>
        </w:tc>
        <w:tc>
          <w:tcPr>
            <w:tcW w:w="1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57"/>
              <w:spacing w:after="0"/>
              <w:rPr>
                <w:sz w:val="20"/>
                <w:szCs w:val="20"/>
                <w:color w:val="auto"/>
              </w:rPr>
            </w:pPr>
            <w:r>
              <w:rPr>
                <w:rFonts w:ascii="Times New Roman" w:cs="Times New Roman" w:eastAsia="Times New Roman" w:hAnsi="Times New Roman"/>
                <w:sz w:val="17"/>
                <w:szCs w:val="17"/>
                <w:color w:val="auto"/>
              </w:rPr>
              <w:t>85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by business segment for each of the years in the three-year period ended October 31, 2025,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CooperVision</w:t>
            </w:r>
          </w:p>
        </w:tc>
        <w:tc>
          <w:tcPr>
            <w:tcW w:w="160" w:type="dxa"/>
            <w:vAlign w:val="bottom"/>
          </w:tcPr>
          <w:p>
            <w:pPr>
              <w:spacing w:after="0"/>
              <w:rPr>
                <w:sz w:val="21"/>
                <w:szCs w:val="21"/>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CooperSurgical</w:t>
            </w:r>
          </w:p>
        </w:tc>
        <w:tc>
          <w:tcPr>
            <w:tcW w:w="18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Corporate </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21"/>
                <w:szCs w:val="21"/>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00" w:type="dxa"/>
            <w:vAlign w:val="bottom"/>
            <w:gridSpan w:val="2"/>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7,285.1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4,832.0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12,315.2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4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shd w:val="clear" w:color="auto" w:fill="CCEEFF"/>
          </w:tcPr>
          <w:p>
            <w:pPr>
              <w:spacing w:after="0"/>
              <w:rPr>
                <w:sz w:val="19"/>
                <w:szCs w:val="19"/>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Borders>
              <w:top w:val="single" w:sz="8" w:color="CCEEFF"/>
            </w:tcBorders>
            <w:gridSpan w:val="2"/>
            <w:vMerge w:val="continue"/>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60" w:hanging="155"/>
        <w:spacing w:after="0"/>
        <w:tabs>
          <w:tab w:leader="none" w:pos="16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Corporate SGA expenses are not allocated to the segments.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by geographical area by country of domicile for each of the years in the three-year period ended October 31, 2025,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Rest of</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United</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b w:val="1"/>
                <w:bCs w:val="1"/>
                <w:color w:val="auto"/>
                <w:w w:val="96"/>
              </w:rPr>
              <w:t>World, Other</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Europe</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7"/>
                <w:szCs w:val="17"/>
                <w:b w:val="1"/>
                <w:bCs w:val="1"/>
                <w:color w:val="auto"/>
                <w:w w:val="97"/>
              </w:rPr>
              <w:t>Eliminations</w:t>
            </w:r>
          </w:p>
        </w:tc>
        <w:tc>
          <w:tcPr>
            <w:tcW w:w="160" w:type="dxa"/>
            <w:vAlign w:val="bottom"/>
          </w:tcPr>
          <w:p>
            <w:pPr>
              <w:spacing w:after="0"/>
              <w:rPr>
                <w:sz w:val="14"/>
                <w:szCs w:val="14"/>
                <w:color w:val="auto"/>
              </w:rPr>
            </w:pPr>
          </w:p>
        </w:tc>
        <w:tc>
          <w:tcPr>
            <w:tcW w:w="1260" w:type="dxa"/>
            <w:vAlign w:val="bottom"/>
            <w:vMerge w:val="restart"/>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50" w:lineRule="exact"/>
              <w:rPr>
                <w:sz w:val="20"/>
                <w:szCs w:val="20"/>
                <w:color w:val="auto"/>
              </w:rPr>
            </w:pPr>
            <w:r>
              <w:rPr>
                <w:rFonts w:ascii="Times New Roman" w:cs="Times New Roman" w:eastAsia="Times New Roman" w:hAnsi="Times New Roman"/>
                <w:sz w:val="17"/>
                <w:szCs w:val="17"/>
                <w:b w:val="1"/>
                <w:bCs w:val="1"/>
                <w:color w:val="auto"/>
                <w:w w:val="96"/>
              </w:rPr>
              <w:t>States</w:t>
            </w: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50" w:lineRule="exact"/>
              <w:rPr>
                <w:sz w:val="20"/>
                <w:szCs w:val="20"/>
                <w:color w:val="auto"/>
              </w:rPr>
            </w:pPr>
            <w:r>
              <w:rPr>
                <w:rFonts w:ascii="Times New Roman" w:cs="Times New Roman" w:eastAsia="Times New Roman" w:hAnsi="Times New Roman"/>
                <w:sz w:val="17"/>
                <w:szCs w:val="17"/>
                <w:b w:val="1"/>
                <w:bCs w:val="1"/>
                <w:color w:val="auto"/>
                <w:w w:val="97"/>
              </w:rPr>
              <w:t>&amp; Corporate</w:t>
            </w: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 to unaffiliated customers</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2,054.0</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between geographic areas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4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 to unaffiliated customers</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1,965.9</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between geographic areas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4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 to unaffiliated customers</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1,812.2</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between geographic areas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 income</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3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Financial Derivatives and Hedging</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 From time to time, the Company enters into foreign currency forward contracts to minimize the short-term impact of foreign currency exchange rate fluctuations on certain trade and intercompany receivables and payables. These foreign currency forward contracts are not designated as hedging instruments, and therefore the net change in their fair value is reported as a gain or loss in the Consolidated Statements of Income and Comprehensive Income. As of October 31, 2025, the notional amount of outstanding foreign currency forward contracts was $54.5 million. The resulting impact on our Consolidated Financial Statements from currency hedging activities was not significant for the years ended October 31, 2025, 2024 and 2023.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October 31, 2025, the Company has eight interest rate swap contracts that have a total notional amount of $1.6 billion and remaining maturities of less than three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amounts recognized with respect to our derivative instruments within the accompanying Consolidated Statements of Income: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October 31,</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2"/>
        </w:trPr>
        <w:tc>
          <w:tcPr>
            <w:tcW w:w="2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0"/>
        </w:trPr>
        <w:tc>
          <w:tcPr>
            <w:tcW w:w="2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7"/>
                <w:szCs w:val="17"/>
                <w:b w:val="1"/>
                <w:bCs w:val="1"/>
                <w:color w:val="auto"/>
                <w:w w:val="97"/>
              </w:rPr>
              <w:t>Derivatives designated as cash flow hedges</w:t>
            </w:r>
          </w:p>
        </w:tc>
        <w:tc>
          <w:tcPr>
            <w:tcW w:w="800" w:type="dxa"/>
            <w:vAlign w:val="bottom"/>
            <w:shd w:val="clear" w:color="auto" w:fill="CCEEFF"/>
          </w:tcPr>
          <w:p>
            <w:pPr>
              <w:spacing w:after="0"/>
              <w:rPr>
                <w:sz w:val="16"/>
                <w:szCs w:val="16"/>
                <w:color w:val="auto"/>
              </w:rPr>
            </w:pPr>
          </w:p>
        </w:tc>
        <w:tc>
          <w:tcPr>
            <w:tcW w:w="37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7"/>
                <w:szCs w:val="17"/>
                <w:b w:val="1"/>
                <w:bCs w:val="1"/>
                <w:color w:val="auto"/>
              </w:rPr>
              <w:t>Location of (Gain)/Loss Recognized on Derivatives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Interest rate swap contracts</w:t>
            </w:r>
          </w:p>
        </w:tc>
        <w:tc>
          <w:tcPr>
            <w:tcW w:w="800" w:type="dxa"/>
            <w:vAlign w:val="bottom"/>
            <w:tcBorders>
              <w:top w:val="single" w:sz="8" w:color="CCEEFF"/>
            </w:tcBorders>
          </w:tcPr>
          <w:p>
            <w:pPr>
              <w:spacing w:after="0"/>
              <w:rPr>
                <w:sz w:val="18"/>
                <w:szCs w:val="18"/>
                <w:color w:val="auto"/>
              </w:rPr>
            </w:pPr>
          </w:p>
        </w:tc>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Interest expense (income)</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r>
    </w:tbl>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spacing w:after="0" w:line="87"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gain as of October 31, 2023</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 recognized in other comprehensive income on interest rate swap contracts, gross ($(0.6), net of tax)</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reclassified from other comprehensive income into earnings, gross ($(41.9), net of tax)</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gain as of October 31, 2024</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recognized in other comprehensive income on interest rate swap contracts, gross ($0.5, net of tax)</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Amount reclassified from other comprehensive income into earnings, gross ($(27.4), net of tax)</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241"/>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gain as of October 31, 2025</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8. Stockholders’ Equity for amounts presented net of the related tax impact in "Accumulated other comprehensive loss".</w:t>
      </w:r>
    </w:p>
    <w:p>
      <w:pPr>
        <w:spacing w:after="0" w:line="15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7"/>
          <w:szCs w:val="17"/>
          <w:color w:val="auto"/>
        </w:rPr>
        <w:t>The Company expects that $(20.2) million recorded as a component of "Accumulated other comprehensive loss" will be realized in the Consolidated Statements of Income over the next twelve months and the amount will vary depending on prevailing interest rates.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Commission's rules and forms and that such information is accumulated and communicated to management, including the Chief Executive Officer and Chief Financial Officer, as appropriate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spacing w:after="0" w:line="133"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7"/>
          <w:szCs w:val="17"/>
          <w:color w:val="auto"/>
        </w:rPr>
        <w:t>In conjunction with the close of each fiscal quarter, the Company conducts a review and evaluation, with participation of the Company's management, and under the oversight of the Board of Directors,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2025, the end of the fiscal period covered in this report, concluded that the Company's disclosure controls and procedures were effective at the reasonable assurance level.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as such term is defined in Rules 13a-15(f) and 15d-15(f)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Management assessed the effectiveness of the Company's internal control over financial reporting as of October 31, 2025, based on the criteria set forth by the Committee of Sponsoring Organizations of the Treadway Commission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Based on this assessment, management, with participation of the Company's Chief Executive Officer and Chief Financial Officer, and under the oversight of the Board of Directors, concluded that the Company's internal control over financial reporting was effective as of October 31, 2025.</w:t>
      </w:r>
    </w:p>
    <w:p>
      <w:pPr>
        <w:spacing w:after="0" w:line="12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As disclosed in Part II - Item 9A of the Company's Annual Report on Form 10-K for the year ended October 31, 2024, management identified material weaknesses in internal control over financial reporting related to information technology (IT) general controls for the U.S. operations within the CooperSurgical segment, associated with the implementation and maintenance of certain enterprise resource planning systems (ERP) during fiscal year 2024. The material weakness resulted from not having a sufficient complement of its personnel, inadequate training of personnel and ineffective risk assessment processes to identify and timely respond to the risks related to change management, user control monitoring and segregation of duties in the affected IT environment. Manual controls that rely on system-generated data or reports from the affected IT environment or process level automated controls in the affected IT environment were ineffective because they could have been adversely impacted.</w:t>
      </w:r>
    </w:p>
    <w:p>
      <w:pPr>
        <w:spacing w:after="0" w:line="133"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7"/>
          <w:szCs w:val="17"/>
          <w:color w:val="auto"/>
        </w:rPr>
        <w:t>During fiscal year 2025, management, with oversight of the Audit Committee of the Board of Directors, implemented steps to remediate the material weakness. Our internal control remediation efforts included the following:</w:t>
      </w:r>
    </w:p>
    <w:p>
      <w:pPr>
        <w:spacing w:after="0" w:line="1" w:lineRule="exact"/>
        <w:rPr>
          <w:sz w:val="20"/>
          <w:szCs w:val="20"/>
          <w:color w:val="auto"/>
        </w:rPr>
      </w:pPr>
    </w:p>
    <w:p>
      <w:pPr>
        <w:ind w:left="620" w:hanging="30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risk assessment and procedures over our IT general controls for the affected environments;</w:t>
      </w:r>
    </w:p>
    <w:p>
      <w:pPr>
        <w:spacing w:after="0" w:line="2" w:lineRule="exact"/>
        <w:rPr>
          <w:rFonts w:ascii="Times New Roman" w:cs="Times New Roman" w:eastAsia="Times New Roman" w:hAnsi="Times New Roman"/>
          <w:sz w:val="17"/>
          <w:szCs w:val="17"/>
          <w:color w:val="auto"/>
        </w:rPr>
      </w:pPr>
    </w:p>
    <w:p>
      <w:pPr>
        <w:ind w:left="640" w:right="260" w:hanging="320"/>
        <w:spacing w:after="0" w:line="248" w:lineRule="auto"/>
        <w:tabs>
          <w:tab w:leader="none" w:pos="63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skill sets of employees and additional training programs addressing IT general controls and policies with a focus on those related to change management, user access and segregation of duties over IT systems impacting financial reporting;</w:t>
      </w:r>
    </w:p>
    <w:p>
      <w:pPr>
        <w:spacing w:after="0" w:line="1" w:lineRule="exact"/>
        <w:rPr>
          <w:rFonts w:ascii="Times New Roman" w:cs="Times New Roman" w:eastAsia="Times New Roman" w:hAnsi="Times New Roman"/>
          <w:sz w:val="17"/>
          <w:szCs w:val="17"/>
          <w:color w:val="auto"/>
        </w:rPr>
      </w:pPr>
    </w:p>
    <w:p>
      <w:pPr>
        <w:ind w:left="640" w:right="400" w:hanging="320"/>
        <w:spacing w:after="0" w:line="244" w:lineRule="auto"/>
        <w:tabs>
          <w:tab w:leader="none" w:pos="63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controls supporting change management to ensure systems’ integrity as well as user access monitoring controls to enforce appropriate system access and segregation of duties.</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7"/>
          <w:szCs w:val="17"/>
          <w:color w:val="auto"/>
        </w:rPr>
        <w:t>During the quarter ended October 31, 2025, we completed our testing of the design and operating effectiveness of the implemented controls and found them to be effective. As a result, we have concluded the material weakness has been remediated as of October 31, 2025.</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KPMG LLP, has audited the effectiveness of the Company's internal control over financial reporting as of October 31, 2025, as stated in their report in Part II, Item 8 of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Except as set forth above, there have been no changes in our internal control over financial reporting during the quarter ended October 31, 2025, that have materially affected, or are reasonably likely to materially affect, the Company’s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1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During the three months ended October 31, 2025, no director or officer of the Company adopted or terminated a Rule 10b5-1 trading arrangement or non-Rule 10b5-1 trading arrangement, as each term is defined in Item 408(a) of Regulation S-K.</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ind w:right="-9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Company’s Proxy Statement for the 2026 Annual Meeting of Stockholders (the 2026 Proxy Statement).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2026 Proxy Statement.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See Item 5. Market for Registrant's Common Equity and Related Stockholder Matters - Equity Compensation Plan Information. Additional information required by this item is incorporated by reference to the 2026 Proxy Statement.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2026 Proxy Statement.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2026 Proxy Statement.</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354" w:right="439" w:bottom="1440" w:gutter="0" w:footer="0" w:header="0"/>
        </w:sectPr>
      </w:pPr>
    </w:p>
    <w:bookmarkStart w:id="91" w:name="page92"/>
    <w:bookmarkEnd w:id="91"/>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1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6"/>
          <w:szCs w:val="16"/>
          <w:color w:val="auto"/>
        </w:rPr>
        <w:t>Financial Statements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financial statements are filed as a part of this report: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Report of KPMG LLP, Independent Registered Public Accounting Firm</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Consolidated Financial Statements: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Income for the years ended October 31, 2025, 2024 and 2023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Comprehensive Income for the years ended October 31, 2025, 2024 and 2023</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Balance Sheets as of October 31, 2025, and 2024</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Stockholders' Equity for the years ended October 31, 2025, 2024 and 2023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Statements of Cash Flows for the years ended October 31, 2025, 2024 and 2023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41" w:lineRule="exact"/>
        <w:rPr>
          <w:sz w:val="20"/>
          <w:szCs w:val="20"/>
          <w:color w:val="auto"/>
        </w:rPr>
      </w:pPr>
    </w:p>
    <w:p>
      <w:pPr>
        <w:ind w:left="400" w:hanging="395"/>
        <w:spacing w:after="0"/>
        <w:tabs>
          <w:tab w:leader="none" w:pos="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exhibits listed on the accompanying Exhibit Index are filed as part of this report.</w:t>
      </w:r>
    </w:p>
    <w:p>
      <w:pPr>
        <w:spacing w:after="0" w:line="172" w:lineRule="exact"/>
        <w:rPr>
          <w:sz w:val="20"/>
          <w:szCs w:val="20"/>
          <w:color w:val="auto"/>
        </w:rPr>
      </w:pPr>
    </w:p>
    <w:p>
      <w:pPr>
        <w:ind w:left="640"/>
        <w:spacing w:after="0" w:line="266" w:lineRule="auto"/>
        <w:rPr>
          <w:sz w:val="20"/>
          <w:szCs w:val="20"/>
          <w:color w:val="auto"/>
        </w:rPr>
      </w:pPr>
      <w:r>
        <w:rPr>
          <w:rFonts w:ascii="Times New Roman" w:cs="Times New Roman" w:eastAsia="Times New Roman" w:hAnsi="Times New Roman"/>
          <w:sz w:val="17"/>
          <w:szCs w:val="17"/>
          <w:color w:val="auto"/>
        </w:rPr>
        <w:t>All other schedules which are included in the applicable accounting regulations of the Securities and Exchange Commission are not required here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40" w:type="dxa"/>
            <w:vAlign w:val="bottom"/>
            <w:gridSpan w:val="37"/>
          </w:tcPr>
          <w:p>
            <w:pPr>
              <w:ind w:left="100"/>
              <w:spacing w:after="0"/>
              <w:rPr>
                <w:sz w:val="20"/>
                <w:szCs w:val="20"/>
                <w:color w:val="auto"/>
              </w:rPr>
            </w:pPr>
            <w:r>
              <w:rPr>
                <w:rFonts w:ascii="Times New Roman" w:cs="Times New Roman" w:eastAsia="Times New Roman" w:hAnsi="Times New Roman"/>
                <w:sz w:val="17"/>
                <w:szCs w:val="17"/>
                <w:color w:val="auto"/>
                <w:w w:val="98"/>
              </w:rPr>
              <w:t>THE COOPER COMPANIES, INC. AND SUBSIDIARIES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28"/>
          </w:tcPr>
          <w:p>
            <w:pPr>
              <w:ind w:left="2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1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0" w:type="dxa"/>
            <w:vAlign w:val="bottom"/>
          </w:tcPr>
          <w:p>
            <w:pPr>
              <w:spacing w:after="0"/>
              <w:rPr>
                <w:sz w:val="1"/>
                <w:szCs w:val="1"/>
                <w:color w:val="auto"/>
              </w:rPr>
            </w:pPr>
          </w:p>
        </w:tc>
      </w:tr>
      <w:tr>
        <w:trPr>
          <w:trHeight w:val="20"/>
        </w:trPr>
        <w:tc>
          <w:tcPr>
            <w:tcW w:w="9380" w:type="dxa"/>
            <w:vAlign w:val="bottom"/>
            <w:tcBorders>
              <w:right w:val="single" w:sz="8" w:color="auto"/>
            </w:tcBorders>
            <w:gridSpan w:val="5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40" w:type="dxa"/>
            <w:vAlign w:val="bottom"/>
            <w:gridSpan w:val="37"/>
          </w:tcPr>
          <w:p>
            <w:pPr>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1020" w:type="dxa"/>
            <w:vAlign w:val="bottom"/>
            <w:gridSpan w:val="6"/>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Filing Date/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w w:val="82"/>
              </w:rPr>
              <w:t>Number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top w:val="single" w:sz="8" w:color="auto"/>
            </w:tcBorders>
            <w:gridSpan w:val="5"/>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w w:val="96"/>
              </w:rPr>
              <w:t>Period End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17"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240"/>
              <w:spacing w:after="0" w:line="138" w:lineRule="exact"/>
              <w:rPr>
                <w:sz w:val="20"/>
                <w:szCs w:val="20"/>
                <w:color w:val="auto"/>
              </w:rPr>
            </w:pPr>
            <w:r>
              <w:rPr>
                <w:rFonts w:ascii="Times New Roman" w:cs="Times New Roman" w:eastAsia="Times New Roman" w:hAnsi="Times New Roman"/>
                <w:sz w:val="15"/>
                <w:szCs w:val="15"/>
                <w:b w:val="1"/>
                <w:bCs w:val="1"/>
                <w:color w:val="auto"/>
              </w:rPr>
              <w:t>Date</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9000" w:type="dxa"/>
            <w:vAlign w:val="bottom"/>
            <w:tcBorders>
              <w:bottom w:val="single" w:sz="8" w:color="auto"/>
            </w:tcBorders>
            <w:gridSpan w:val="53"/>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40" w:type="dxa"/>
            <w:vAlign w:val="bottom"/>
            <w:gridSpan w:val="2"/>
          </w:tcPr>
          <w:p>
            <w:pPr>
              <w:jc w:val="center"/>
              <w:ind w:left="157"/>
              <w:spacing w:after="0" w:line="163" w:lineRule="exact"/>
              <w:rPr>
                <w:sz w:val="20"/>
                <w:szCs w:val="20"/>
                <w:color w:val="auto"/>
              </w:rPr>
            </w:pPr>
            <w:r>
              <w:rPr>
                <w:rFonts w:ascii="Times New Roman" w:cs="Times New Roman" w:eastAsia="Times New Roman" w:hAnsi="Times New Roman"/>
                <w:sz w:val="17"/>
                <w:szCs w:val="17"/>
                <w:color w:val="auto"/>
              </w:rPr>
              <w:t>3.1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0" w:type="dxa"/>
            <w:vAlign w:val="bottom"/>
            <w:gridSpan w:val="41"/>
          </w:tcPr>
          <w:p>
            <w:pPr>
              <w:spacing w:after="0" w:line="163"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Second Restated Certificate of Incorporation</w:t>
              </w:r>
            </w:hyperlink>
          </w:p>
        </w:tc>
        <w:tc>
          <w:tcPr>
            <w:tcW w:w="80" w:type="dxa"/>
            <w:vAlign w:val="bottom"/>
          </w:tcPr>
          <w:p>
            <w:pPr>
              <w:spacing w:after="0"/>
              <w:rPr>
                <w:sz w:val="14"/>
                <w:szCs w:val="14"/>
                <w:color w:val="auto"/>
              </w:rPr>
            </w:pPr>
          </w:p>
        </w:tc>
        <w:tc>
          <w:tcPr>
            <w:tcW w:w="660" w:type="dxa"/>
            <w:vAlign w:val="bottom"/>
            <w:gridSpan w:val="3"/>
          </w:tcPr>
          <w:p>
            <w:pPr>
              <w:jc w:val="center"/>
              <w:ind w:right="280"/>
              <w:spacing w:after="0" w:line="163" w:lineRule="exact"/>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3.1</w:t>
            </w:r>
          </w:p>
        </w:tc>
        <w:tc>
          <w:tcPr>
            <w:tcW w:w="280" w:type="dxa"/>
            <w:vAlign w:val="bottom"/>
          </w:tcPr>
          <w:p>
            <w:pPr>
              <w:spacing w:after="0"/>
              <w:rPr>
                <w:sz w:val="14"/>
                <w:szCs w:val="14"/>
                <w:color w:val="auto"/>
              </w:rPr>
            </w:pPr>
          </w:p>
        </w:tc>
        <w:tc>
          <w:tcPr>
            <w:tcW w:w="820" w:type="dxa"/>
            <w:vAlign w:val="bottom"/>
            <w:gridSpan w:val="4"/>
          </w:tcPr>
          <w:p>
            <w:pPr>
              <w:jc w:val="center"/>
              <w:spacing w:after="0" w:line="163" w:lineRule="exact"/>
              <w:rPr>
                <w:sz w:val="20"/>
                <w:szCs w:val="20"/>
                <w:color w:val="auto"/>
              </w:rPr>
            </w:pPr>
            <w:r>
              <w:rPr>
                <w:rFonts w:ascii="Times New Roman" w:cs="Times New Roman" w:eastAsia="Times New Roman" w:hAnsi="Times New Roman"/>
                <w:sz w:val="17"/>
                <w:szCs w:val="17"/>
                <w:color w:val="auto"/>
                <w:w w:val="98"/>
              </w:rPr>
              <w:t>1/13/2006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157"/>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gridSpan w:val="41"/>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Amendment to Second Restated Certificate of Incorporation</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9"/>
              </w:rPr>
              <w:t>3/1/2024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157"/>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gridSpan w:val="41"/>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Amended and Restated By-Laws, The Cooper Companies, Inc, dated October 22, 2024</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10/25/2024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gridSpan w:val="2"/>
          </w:tcPr>
          <w:p>
            <w:pPr>
              <w:jc w:val="center"/>
              <w:ind w:left="157"/>
              <w:spacing w:after="0"/>
              <w:rPr>
                <w:sz w:val="20"/>
                <w:szCs w:val="20"/>
                <w:color w:val="auto"/>
              </w:rPr>
            </w:pPr>
            <w:r>
              <w:rPr>
                <w:rFonts w:ascii="Times New Roman" w:cs="Times New Roman" w:eastAsia="Times New Roman" w:hAnsi="Times New Roman"/>
                <w:sz w:val="17"/>
                <w:szCs w:val="17"/>
                <w:color w:val="auto"/>
              </w:rPr>
              <w:t>3.4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80" w:type="dxa"/>
            <w:vAlign w:val="bottom"/>
            <w:tcBorders>
              <w:top w:val="single" w:sz="8" w:color="0000FF"/>
            </w:tcBorders>
            <w:gridSpan w:val="21"/>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Amendment to Second Restated Certificate of Incorporation</w:t>
              </w:r>
            </w:hyperlink>
          </w:p>
        </w:tc>
        <w:tc>
          <w:tcPr>
            <w:tcW w:w="620" w:type="dxa"/>
            <w:vAlign w:val="bottom"/>
            <w:gridSpan w:val="20"/>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5/30/2025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 w:type="dxa"/>
            <w:vAlign w:val="bottom"/>
            <w:gridSpan w:val="2"/>
          </w:tcPr>
          <w:p>
            <w:pPr>
              <w:jc w:val="center"/>
              <w:ind w:left="157"/>
              <w:spacing w:after="0"/>
              <w:rPr>
                <w:sz w:val="20"/>
                <w:szCs w:val="20"/>
                <w:color w:val="auto"/>
              </w:rPr>
            </w:pPr>
            <w:r>
              <w:rPr>
                <w:rFonts w:ascii="Times New Roman" w:cs="Times New Roman" w:eastAsia="Times New Roman" w:hAnsi="Times New Roman"/>
                <w:sz w:val="17"/>
                <w:szCs w:val="17"/>
                <w:color w:val="auto"/>
              </w:rPr>
              <w:t>4.1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gridSpan w:val="41"/>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Description of Securities of The Cooper Companies, Inc. Registered under Section 12 of the</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8"/>
              </w:rPr>
              <w:t>8-A</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9/25/2023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w w:val="95"/>
              </w:rPr>
            </w:pPr>
            <w:hyperlink r:id="rId122">
              <w:r>
                <w:rPr>
                  <w:rFonts w:ascii="Times New Roman" w:cs="Times New Roman" w:eastAsia="Times New Roman" w:hAnsi="Times New Roman"/>
                  <w:sz w:val="17"/>
                  <w:szCs w:val="17"/>
                  <w:color w:val="0000FF"/>
                  <w:w w:val="95"/>
                </w:rPr>
                <w:t>Exchange Act</w:t>
              </w:r>
            </w:hyperlink>
          </w:p>
        </w:tc>
        <w:tc>
          <w:tcPr>
            <w:tcW w:w="52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10.1#</w:t>
            </w:r>
          </w:p>
        </w:tc>
        <w:tc>
          <w:tcPr>
            <w:tcW w:w="200" w:type="dxa"/>
            <w:vAlign w:val="bottom"/>
          </w:tcPr>
          <w:p>
            <w:pPr>
              <w:spacing w:after="0"/>
              <w:rPr>
                <w:sz w:val="16"/>
                <w:szCs w:val="16"/>
                <w:color w:val="auto"/>
              </w:rPr>
            </w:pPr>
          </w:p>
        </w:tc>
        <w:tc>
          <w:tcPr>
            <w:tcW w:w="5660" w:type="dxa"/>
            <w:vAlign w:val="bottom"/>
            <w:tcBorders>
              <w:bottom w:val="single" w:sz="8" w:color="0000FF"/>
            </w:tcBorders>
            <w:gridSpan w:val="19"/>
          </w:tcPr>
          <w:p>
            <w:pPr>
              <w:spacing w:after="0" w:line="190" w:lineRule="exact"/>
              <w:rPr>
                <w:rFonts w:ascii="Times New Roman" w:cs="Times New Roman" w:eastAsia="Times New Roman" w:hAnsi="Times New Roman"/>
                <w:sz w:val="17"/>
                <w:szCs w:val="17"/>
                <w:color w:val="0000FF"/>
                <w:w w:val="97"/>
              </w:rPr>
            </w:pPr>
            <w:hyperlink r:id="rId123">
              <w:r>
                <w:rPr>
                  <w:rFonts w:ascii="Times New Roman" w:cs="Times New Roman" w:eastAsia="Times New Roman" w:hAnsi="Times New Roman"/>
                  <w:sz w:val="17"/>
                  <w:szCs w:val="17"/>
                  <w:color w:val="0000FF"/>
                  <w:w w:val="97"/>
                </w:rPr>
                <w:t>The Cooper Companies, Inc. Change in Control Severance Plan, dated May 21, 2007</w:t>
              </w:r>
            </w:hyperlink>
          </w:p>
        </w:tc>
        <w:tc>
          <w:tcPr>
            <w:tcW w:w="740" w:type="dxa"/>
            <w:vAlign w:val="bottom"/>
            <w:gridSpan w:val="22"/>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7/31/2007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10.2#</w:t>
            </w:r>
          </w:p>
        </w:tc>
        <w:tc>
          <w:tcPr>
            <w:tcW w:w="200" w:type="dxa"/>
            <w:vAlign w:val="bottom"/>
          </w:tcPr>
          <w:p>
            <w:pPr>
              <w:spacing w:after="0"/>
              <w:rPr>
                <w:sz w:val="17"/>
                <w:szCs w:val="17"/>
                <w:color w:val="auto"/>
              </w:rPr>
            </w:pPr>
          </w:p>
        </w:tc>
        <w:tc>
          <w:tcPr>
            <w:tcW w:w="6400" w:type="dxa"/>
            <w:vAlign w:val="bottom"/>
            <w:gridSpan w:val="41"/>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Executive Employment Agreement by and between The Cooper Companies, Inc. and Albert</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10.2</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4/30/2024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w w:val="97"/>
              </w:rPr>
            </w:pPr>
            <w:hyperlink r:id="rId124">
              <w:r>
                <w:rPr>
                  <w:rFonts w:ascii="Times New Roman" w:cs="Times New Roman" w:eastAsia="Times New Roman" w:hAnsi="Times New Roman"/>
                  <w:sz w:val="17"/>
                  <w:szCs w:val="17"/>
                  <w:color w:val="0000FF"/>
                  <w:w w:val="97"/>
                </w:rPr>
                <w:t>G. White III, effective as of March 19, 2024</w:t>
              </w:r>
            </w:hyperlink>
          </w:p>
        </w:tc>
        <w:tc>
          <w:tcPr>
            <w:tcW w:w="32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10.3#</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Executive Employment Agreement by and between The Cooper Companies, Inc. and Daniel</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10.3</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4/30/2024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w w:val="97"/>
              </w:rPr>
            </w:pPr>
            <w:hyperlink r:id="rId125">
              <w:r>
                <w:rPr>
                  <w:rFonts w:ascii="Times New Roman" w:cs="Times New Roman" w:eastAsia="Times New Roman" w:hAnsi="Times New Roman"/>
                  <w:sz w:val="17"/>
                  <w:szCs w:val="17"/>
                  <w:color w:val="0000FF"/>
                  <w:w w:val="97"/>
                </w:rPr>
                <w:t>G. McBride, effective as of March 19, 2024</w:t>
              </w:r>
            </w:hyperlink>
          </w:p>
        </w:tc>
        <w:tc>
          <w:tcPr>
            <w:tcW w:w="3220" w:type="dxa"/>
            <w:vAlign w:val="bottom"/>
            <w:tcBorders>
              <w:top w:val="single" w:sz="8" w:color="0000FF"/>
            </w:tcBorders>
            <w:gridSpan w:val="2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10.4#</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w w:val="99"/>
              </w:rPr>
            </w:pPr>
            <w:hyperlink r:id="rId126">
              <w:r>
                <w:rPr>
                  <w:rFonts w:ascii="Times New Roman" w:cs="Times New Roman" w:eastAsia="Times New Roman" w:hAnsi="Times New Roman"/>
                  <w:sz w:val="17"/>
                  <w:szCs w:val="17"/>
                  <w:color w:val="0000FF"/>
                  <w:w w:val="99"/>
                </w:rPr>
                <w:t>Executive Employment Agreement by and between The Cooper Companies, Inc. and Brian G.</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10.2</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4/30/2019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320" w:type="dxa"/>
            <w:vAlign w:val="bottom"/>
            <w:tcBorders>
              <w:top w:val="single" w:sz="8" w:color="0000FF"/>
            </w:tcBorders>
            <w:gridSpan w:val="39"/>
          </w:tcPr>
          <w:p>
            <w:pPr>
              <w:spacing w:after="0" w:line="150"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Andrews, effective as of November 1, 2018</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10.5#</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w w:val="99"/>
              </w:rPr>
            </w:pPr>
            <w:hyperlink r:id="rId127">
              <w:r>
                <w:rPr>
                  <w:rFonts w:ascii="Times New Roman" w:cs="Times New Roman" w:eastAsia="Times New Roman" w:hAnsi="Times New Roman"/>
                  <w:sz w:val="17"/>
                  <w:szCs w:val="17"/>
                  <w:color w:val="0000FF"/>
                  <w:w w:val="99"/>
                </w:rPr>
                <w:t>Executive Employment Agreement by and between The Cooper Companies, Inc. and Holly R.</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10.4</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4/30/2019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340" w:type="dxa"/>
            <w:vAlign w:val="bottom"/>
            <w:tcBorders>
              <w:top w:val="single" w:sz="8" w:color="0000FF"/>
            </w:tcBorders>
            <w:gridSpan w:val="40"/>
          </w:tcPr>
          <w:p>
            <w:pPr>
              <w:spacing w:after="0" w:line="150"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Sheffield, effective as of November 1, 2018</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10.6#</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w w:val="99"/>
              </w:rPr>
            </w:pPr>
            <w:hyperlink r:id="rId128">
              <w:r>
                <w:rPr>
                  <w:rFonts w:ascii="Times New Roman" w:cs="Times New Roman" w:eastAsia="Times New Roman" w:hAnsi="Times New Roman"/>
                  <w:sz w:val="17"/>
                  <w:szCs w:val="17"/>
                  <w:color w:val="0000FF"/>
                  <w:w w:val="99"/>
                </w:rPr>
                <w:t>The Third Amended and Restated 2007 Long-Term Incentive Plan of The Cooper Companies,</w:t>
              </w:r>
            </w:hyperlink>
          </w:p>
        </w:tc>
        <w:tc>
          <w:tcPr>
            <w:tcW w:w="80" w:type="dxa"/>
            <w:vAlign w:val="bottom"/>
          </w:tcPr>
          <w:p>
            <w:pPr>
              <w:spacing w:after="0"/>
              <w:rPr>
                <w:sz w:val="16"/>
                <w:szCs w:val="16"/>
                <w:color w:val="auto"/>
              </w:rPr>
            </w:pPr>
          </w:p>
        </w:tc>
        <w:tc>
          <w:tcPr>
            <w:tcW w:w="660" w:type="dxa"/>
            <w:vAlign w:val="bottom"/>
            <w:gridSpan w:val="3"/>
          </w:tcPr>
          <w:p>
            <w:pPr>
              <w:jc w:val="center"/>
              <w:ind w:right="260"/>
              <w:spacing w:after="0" w:line="190" w:lineRule="exact"/>
              <w:rPr>
                <w:sz w:val="20"/>
                <w:szCs w:val="20"/>
                <w:color w:val="auto"/>
              </w:rPr>
            </w:pPr>
            <w:r>
              <w:rPr>
                <w:rFonts w:ascii="Times New Roman" w:cs="Times New Roman" w:eastAsia="Times New Roman" w:hAnsi="Times New Roman"/>
                <w:sz w:val="17"/>
                <w:szCs w:val="17"/>
                <w:color w:val="auto"/>
                <w:w w:val="95"/>
              </w:rPr>
              <w:t>14A</w:t>
            </w:r>
          </w:p>
        </w:tc>
        <w:tc>
          <w:tcPr>
            <w:tcW w:w="800" w:type="dxa"/>
            <w:vAlign w:val="bottom"/>
            <w:gridSpan w:val="2"/>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A</w:t>
            </w: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1/29/2016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w w:val="92"/>
              </w:rPr>
            </w:pPr>
            <w:hyperlink r:id="rId128">
              <w:r>
                <w:rPr>
                  <w:rFonts w:ascii="Times New Roman" w:cs="Times New Roman" w:eastAsia="Times New Roman" w:hAnsi="Times New Roman"/>
                  <w:sz w:val="17"/>
                  <w:szCs w:val="17"/>
                  <w:color w:val="0000FF"/>
                  <w:w w:val="92"/>
                </w:rPr>
                <w:t>Inc.</w:t>
              </w:r>
            </w:hyperlink>
          </w:p>
        </w:tc>
        <w:tc>
          <w:tcPr>
            <w:tcW w:w="602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10.7#</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Form of Non-Qualified Stock Option Agreement Pursuant to the 2007 Long-Term Incentive</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10.32</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10/31/2007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7"/>
                <w:szCs w:val="17"/>
                <w:color w:val="0000FF"/>
                <w:w w:val="97"/>
              </w:rPr>
            </w:pPr>
            <w:hyperlink r:id="rId129">
              <w:r>
                <w:rPr>
                  <w:rFonts w:ascii="Times New Roman" w:cs="Times New Roman" w:eastAsia="Times New Roman" w:hAnsi="Times New Roman"/>
                  <w:sz w:val="17"/>
                  <w:szCs w:val="17"/>
                  <w:color w:val="0000FF"/>
                  <w:w w:val="97"/>
                </w:rPr>
                <w:t>Plan of The Cooper Companies, Inc.</w:t>
              </w:r>
            </w:hyperlink>
          </w:p>
        </w:tc>
        <w:tc>
          <w:tcPr>
            <w:tcW w:w="37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29496721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10.8#</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Form of Deferred Stock Agreement Pursuant to the 2007 Long-Term Incentive Plan of The</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10.34</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10/31/2007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w w:val="96"/>
              </w:rPr>
            </w:pPr>
            <w:hyperlink r:id="rId130">
              <w:r>
                <w:rPr>
                  <w:rFonts w:ascii="Times New Roman" w:cs="Times New Roman" w:eastAsia="Times New Roman" w:hAnsi="Times New Roman"/>
                  <w:sz w:val="17"/>
                  <w:szCs w:val="17"/>
                  <w:color w:val="0000FF"/>
                  <w:w w:val="96"/>
                </w:rPr>
                <w:t>Cooper Companies, Inc.</w:t>
              </w:r>
            </w:hyperlink>
          </w:p>
        </w:tc>
        <w:tc>
          <w:tcPr>
            <w:tcW w:w="444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29496721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10.9#</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Form of Long Term Performance Share Award Agreement Pursuant to the 2007 Long-Term</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2/13/2009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1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Incentive Plan of The Cooper Companies, 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29496721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gridSpan w:val="4"/>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gridSpan w:val="4"/>
          </w:tcPr>
          <w:p>
            <w:pPr>
              <w:jc w:val="center"/>
              <w:ind w:right="20"/>
              <w:spacing w:after="0" w:line="190" w:lineRule="exact"/>
              <w:rPr>
                <w:sz w:val="20"/>
                <w:szCs w:val="20"/>
                <w:color w:val="auto"/>
              </w:rPr>
            </w:pPr>
            <w:r>
              <w:rPr>
                <w:rFonts w:ascii="Times New Roman" w:cs="Times New Roman" w:eastAsia="Times New Roman" w:hAnsi="Times New Roman"/>
                <w:sz w:val="17"/>
                <w:szCs w:val="17"/>
                <w:color w:val="auto"/>
                <w:w w:val="98"/>
              </w:rPr>
              <w:t>10.10#</w:t>
            </w: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The Cooper Companies, Inc.’s 2019 Employee Stock Purchase Plan</w:t>
              </w:r>
            </w:hyperlink>
          </w:p>
        </w:tc>
        <w:tc>
          <w:tcPr>
            <w:tcW w:w="80" w:type="dxa"/>
            <w:vAlign w:val="bottom"/>
          </w:tcPr>
          <w:p>
            <w:pPr>
              <w:spacing w:after="0"/>
              <w:rPr>
                <w:sz w:val="16"/>
                <w:szCs w:val="16"/>
                <w:color w:val="auto"/>
              </w:rPr>
            </w:pPr>
          </w:p>
        </w:tc>
        <w:tc>
          <w:tcPr>
            <w:tcW w:w="660" w:type="dxa"/>
            <w:vAlign w:val="bottom"/>
            <w:gridSpan w:val="3"/>
          </w:tcPr>
          <w:p>
            <w:pPr>
              <w:jc w:val="center"/>
              <w:ind w:right="260"/>
              <w:spacing w:after="0" w:line="190" w:lineRule="exact"/>
              <w:rPr>
                <w:sz w:val="20"/>
                <w:szCs w:val="20"/>
                <w:color w:val="auto"/>
              </w:rPr>
            </w:pPr>
            <w:r>
              <w:rPr>
                <w:rFonts w:ascii="Times New Roman" w:cs="Times New Roman" w:eastAsia="Times New Roman" w:hAnsi="Times New Roman"/>
                <w:sz w:val="17"/>
                <w:szCs w:val="17"/>
                <w:color w:val="auto"/>
                <w:w w:val="95"/>
              </w:rPr>
              <w:t>14A</w:t>
            </w:r>
          </w:p>
        </w:tc>
        <w:tc>
          <w:tcPr>
            <w:tcW w:w="800" w:type="dxa"/>
            <w:vAlign w:val="bottom"/>
            <w:gridSpan w:val="2"/>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A</w:t>
            </w: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2/1/2019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gridSpan w:val="4"/>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10.11#</w:t>
            </w:r>
          </w:p>
        </w:tc>
        <w:tc>
          <w:tcPr>
            <w:tcW w:w="6400" w:type="dxa"/>
            <w:vAlign w:val="bottom"/>
            <w:gridSpan w:val="41"/>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The 2020 Long Term Incentive Plan for Non-Employee Directors of The Cooper Companies,</w:t>
              </w:r>
            </w:hyperlink>
          </w:p>
        </w:tc>
        <w:tc>
          <w:tcPr>
            <w:tcW w:w="80" w:type="dxa"/>
            <w:vAlign w:val="bottom"/>
          </w:tcPr>
          <w:p>
            <w:pPr>
              <w:spacing w:after="0"/>
              <w:rPr>
                <w:sz w:val="17"/>
                <w:szCs w:val="17"/>
                <w:color w:val="auto"/>
              </w:rPr>
            </w:pPr>
          </w:p>
        </w:tc>
        <w:tc>
          <w:tcPr>
            <w:tcW w:w="6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5"/>
              </w:rPr>
              <w:t>14A</w:t>
            </w: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9"/>
              </w:rPr>
              <w:t>2/4/2020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w w:val="92"/>
              </w:rPr>
            </w:pPr>
            <w:hyperlink r:id="rId133">
              <w:r>
                <w:rPr>
                  <w:rFonts w:ascii="Times New Roman" w:cs="Times New Roman" w:eastAsia="Times New Roman" w:hAnsi="Times New Roman"/>
                  <w:sz w:val="17"/>
                  <w:szCs w:val="17"/>
                  <w:color w:val="0000FF"/>
                  <w:w w:val="92"/>
                </w:rPr>
                <w:t>Inc.</w:t>
              </w:r>
            </w:hyperlink>
          </w:p>
        </w:tc>
        <w:tc>
          <w:tcPr>
            <w:tcW w:w="594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0" w:type="dxa"/>
            <w:vAlign w:val="bottom"/>
            <w:gridSpan w:val="4"/>
          </w:tcPr>
          <w:p>
            <w:pPr>
              <w:jc w:val="center"/>
              <w:ind w:right="20"/>
              <w:spacing w:after="0" w:line="190" w:lineRule="exact"/>
              <w:rPr>
                <w:sz w:val="20"/>
                <w:szCs w:val="20"/>
                <w:color w:val="auto"/>
              </w:rPr>
            </w:pPr>
            <w:r>
              <w:rPr>
                <w:rFonts w:ascii="Times New Roman" w:cs="Times New Roman" w:eastAsia="Times New Roman" w:hAnsi="Times New Roman"/>
                <w:sz w:val="17"/>
                <w:szCs w:val="17"/>
                <w:color w:val="auto"/>
                <w:w w:val="98"/>
              </w:rPr>
              <w:t>10.12#</w:t>
            </w: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Form of Restricted Stock Unit Agreement pursuant to the 2020 Long Term Incentive Plan for</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10.12</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10/31/2024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10.13</w:t>
            </w:r>
            <w:r>
              <w:rPr>
                <w:rFonts w:ascii="Times New Roman" w:cs="Times New Roman" w:eastAsia="Times New Roman" w:hAnsi="Times New Roman"/>
                <w:sz w:val="21"/>
                <w:szCs w:val="21"/>
                <w:color w:val="auto"/>
                <w:vertAlign w:val="superscript"/>
              </w:rPr>
              <w:t>(a)</w:t>
            </w:r>
          </w:p>
        </w:tc>
        <w:tc>
          <w:tcPr>
            <w:tcW w:w="6220" w:type="dxa"/>
            <w:vAlign w:val="bottom"/>
            <w:tcBorders>
              <w:top w:val="single" w:sz="8" w:color="0000FF"/>
            </w:tcBorders>
            <w:gridSpan w:val="34"/>
          </w:tcPr>
          <w:p>
            <w:pPr>
              <w:spacing w:after="0" w:line="150"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Non-Employee Directors of The Cooper Companies,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License Agreement dated as of November 19, 2007, by and among CIBA Vision AG, CIBA</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7"/>
              </w:rPr>
              <w:t>10-K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10.41</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10/31/2008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10.14</w:t>
            </w:r>
            <w:r>
              <w:rPr>
                <w:rFonts w:ascii="Times New Roman" w:cs="Times New Roman" w:eastAsia="Times New Roman" w:hAnsi="Times New Roman"/>
                <w:sz w:val="21"/>
                <w:szCs w:val="21"/>
                <w:color w:val="auto"/>
                <w:vertAlign w:val="superscript"/>
              </w:rPr>
              <w:t>(a)</w:t>
            </w:r>
          </w:p>
        </w:tc>
        <w:tc>
          <w:tcPr>
            <w:tcW w:w="272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w w:val="96"/>
              </w:rPr>
            </w:pPr>
            <w:hyperlink r:id="rId135">
              <w:r>
                <w:rPr>
                  <w:rFonts w:ascii="Times New Roman" w:cs="Times New Roman" w:eastAsia="Times New Roman" w:hAnsi="Times New Roman"/>
                  <w:sz w:val="17"/>
                  <w:szCs w:val="17"/>
                  <w:color w:val="0000FF"/>
                  <w:w w:val="96"/>
                </w:rPr>
                <w:t>Vision Corporate and CooperVision, Inc.</w:t>
              </w:r>
            </w:hyperlink>
          </w:p>
        </w:tc>
        <w:tc>
          <w:tcPr>
            <w:tcW w:w="344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294967217"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Amendment No. 1 to the License Agreement dated as of November 19, 2007, by and among</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99.1</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12/21/2012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6"/>
          </w:tcPr>
          <w:p>
            <w:pPr>
              <w:spacing w:after="0" w:line="150" w:lineRule="exact"/>
              <w:rPr>
                <w:rFonts w:ascii="Times New Roman" w:cs="Times New Roman" w:eastAsia="Times New Roman" w:hAnsi="Times New Roman"/>
                <w:sz w:val="17"/>
                <w:szCs w:val="17"/>
                <w:color w:val="0000FF"/>
                <w:w w:val="96"/>
              </w:rPr>
            </w:pPr>
            <w:hyperlink r:id="rId136">
              <w:r>
                <w:rPr>
                  <w:rFonts w:ascii="Times New Roman" w:cs="Times New Roman" w:eastAsia="Times New Roman" w:hAnsi="Times New Roman"/>
                  <w:sz w:val="17"/>
                  <w:szCs w:val="17"/>
                  <w:color w:val="0000FF"/>
                  <w:w w:val="96"/>
                </w:rPr>
                <w:t>CIBA Vision AG, CIBA Vision Corporate and CooperVision, Inc.</w:t>
              </w:r>
            </w:hyperlink>
          </w:p>
        </w:tc>
        <w:tc>
          <w:tcPr>
            <w:tcW w:w="1820" w:type="dxa"/>
            <w:vAlign w:val="bottom"/>
            <w:tcBorders>
              <w:top w:val="single" w:sz="8" w:color="0000FF"/>
            </w:tcBorders>
            <w:gridSpan w:val="15"/>
          </w:tcPr>
          <w:p>
            <w:pPr>
              <w:spacing w:after="0"/>
              <w:rPr>
                <w:sz w:val="13"/>
                <w:szCs w:val="13"/>
                <w:color w:val="auto"/>
              </w:rPr>
            </w:pPr>
          </w:p>
        </w:tc>
        <w:tc>
          <w:tcPr>
            <w:tcW w:w="4294967217"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10.15</w:t>
            </w:r>
          </w:p>
        </w:tc>
        <w:tc>
          <w:tcPr>
            <w:tcW w:w="200" w:type="dxa"/>
            <w:vAlign w:val="bottom"/>
          </w:tcPr>
          <w:p>
            <w:pPr>
              <w:spacing w:after="0"/>
              <w:rPr>
                <w:sz w:val="16"/>
                <w:szCs w:val="16"/>
                <w:color w:val="auto"/>
              </w:rPr>
            </w:pPr>
          </w:p>
        </w:tc>
        <w:tc>
          <w:tcPr>
            <w:tcW w:w="6400" w:type="dxa"/>
            <w:vAlign w:val="bottom"/>
            <w:gridSpan w:val="41"/>
          </w:tcPr>
          <w:p>
            <w:pPr>
              <w:spacing w:after="0" w:line="19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Lease Contract dated as of November 6, 2003, by and between The Puerto Rico Industrial</w:t>
              </w:r>
            </w:hyperlink>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1/12/2005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8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Development Company and Ocular Sciences Puerto Rico, Inc.</w:t>
              </w:r>
            </w:hyperlink>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gridSpan w:val="10"/>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 w:type="dxa"/>
            <w:vAlign w:val="bottom"/>
            <w:gridSpan w:val="3"/>
          </w:tcPr>
          <w:p>
            <w:pPr>
              <w:jc w:val="center"/>
              <w:ind w:left="97"/>
              <w:spacing w:after="0" w:line="190" w:lineRule="exact"/>
              <w:rPr>
                <w:sz w:val="20"/>
                <w:szCs w:val="20"/>
                <w:color w:val="auto"/>
              </w:rPr>
            </w:pPr>
            <w:r>
              <w:rPr>
                <w:rFonts w:ascii="Times New Roman" w:cs="Times New Roman" w:eastAsia="Times New Roman" w:hAnsi="Times New Roman"/>
                <w:sz w:val="17"/>
                <w:szCs w:val="17"/>
                <w:color w:val="auto"/>
                <w:w w:val="99"/>
              </w:rPr>
              <w:t>10.16</w:t>
            </w:r>
          </w:p>
        </w:tc>
        <w:tc>
          <w:tcPr>
            <w:tcW w:w="200" w:type="dxa"/>
            <w:vAlign w:val="bottom"/>
          </w:tcPr>
          <w:p>
            <w:pPr>
              <w:spacing w:after="0"/>
              <w:rPr>
                <w:sz w:val="16"/>
                <w:szCs w:val="16"/>
                <w:color w:val="auto"/>
              </w:rPr>
            </w:pPr>
          </w:p>
        </w:tc>
        <w:tc>
          <w:tcPr>
            <w:tcW w:w="6140" w:type="dxa"/>
            <w:vAlign w:val="bottom"/>
            <w:tcBorders>
              <w:bottom w:val="single" w:sz="8" w:color="0000FF"/>
            </w:tcBorders>
            <w:gridSpan w:val="32"/>
          </w:tcPr>
          <w:p>
            <w:pPr>
              <w:spacing w:after="0" w:line="190" w:lineRule="exact"/>
              <w:rPr>
                <w:rFonts w:ascii="Times New Roman" w:cs="Times New Roman" w:eastAsia="Times New Roman" w:hAnsi="Times New Roman"/>
                <w:sz w:val="17"/>
                <w:szCs w:val="17"/>
                <w:color w:val="0000FF"/>
                <w:w w:val="97"/>
              </w:rPr>
            </w:pPr>
            <w:hyperlink r:id="rId138">
              <w:r>
                <w:rPr>
                  <w:rFonts w:ascii="Times New Roman" w:cs="Times New Roman" w:eastAsia="Times New Roman" w:hAnsi="Times New Roman"/>
                  <w:sz w:val="17"/>
                  <w:szCs w:val="17"/>
                  <w:color w:val="0000FF"/>
                  <w:w w:val="97"/>
                </w:rPr>
                <w:t>First Supplement and Amendment to Lease Contract dated as of December 30, 2003, by and</w:t>
              </w:r>
            </w:hyperlink>
          </w:p>
        </w:tc>
        <w:tc>
          <w:tcPr>
            <w:tcW w:w="260" w:type="dxa"/>
            <w:vAlign w:val="bottom"/>
            <w:gridSpan w:val="9"/>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center"/>
              <w:ind w:right="280"/>
              <w:spacing w:after="0" w:line="190" w:lineRule="exact"/>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10.2</w:t>
            </w:r>
          </w:p>
        </w:tc>
        <w:tc>
          <w:tcPr>
            <w:tcW w:w="280" w:type="dxa"/>
            <w:vAlign w:val="bottom"/>
          </w:tcPr>
          <w:p>
            <w:pPr>
              <w:spacing w:after="0"/>
              <w:rPr>
                <w:sz w:val="16"/>
                <w:szCs w:val="16"/>
                <w:color w:val="auto"/>
              </w:rPr>
            </w:pPr>
          </w:p>
        </w:tc>
        <w:tc>
          <w:tcPr>
            <w:tcW w:w="820" w:type="dxa"/>
            <w:vAlign w:val="bottom"/>
            <w:gridSpan w:val="4"/>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1/12/2005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0" w:type="dxa"/>
            <w:vAlign w:val="bottom"/>
            <w:gridSpan w:val="41"/>
          </w:tcPr>
          <w:p>
            <w:pPr>
              <w:spacing w:after="0" w:line="150" w:lineRule="exact"/>
              <w:rPr>
                <w:rFonts w:ascii="Times New Roman" w:cs="Times New Roman" w:eastAsia="Times New Roman" w:hAnsi="Times New Roman"/>
                <w:sz w:val="17"/>
                <w:szCs w:val="17"/>
                <w:color w:val="0000FF"/>
                <w:w w:val="99"/>
              </w:rPr>
            </w:pPr>
            <w:hyperlink r:id="rId138">
              <w:r>
                <w:rPr>
                  <w:rFonts w:ascii="Times New Roman" w:cs="Times New Roman" w:eastAsia="Times New Roman" w:hAnsi="Times New Roman"/>
                  <w:sz w:val="17"/>
                  <w:szCs w:val="17"/>
                  <w:color w:val="0000FF"/>
                  <w:w w:val="99"/>
                </w:rPr>
                <w:t>between The Puerto Rico Industrial Development Company and Ocular Sciences Puerto Rico,</w:t>
              </w:r>
            </w:hyperlink>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top w:val="single" w:sz="8" w:color="0000FF"/>
              <w:bottom w:val="single" w:sz="8" w:color="0000FF"/>
            </w:tcBorders>
          </w:tcPr>
          <w:p>
            <w:pPr>
              <w:spacing w:after="0" w:line="138" w:lineRule="exact"/>
              <w:rPr>
                <w:rFonts w:ascii="Times New Roman" w:cs="Times New Roman" w:eastAsia="Times New Roman" w:hAnsi="Times New Roman"/>
                <w:sz w:val="15"/>
                <w:szCs w:val="15"/>
                <w:color w:val="0000FF"/>
              </w:rPr>
            </w:pPr>
            <w:hyperlink r:id="rId138">
              <w:r>
                <w:rPr>
                  <w:rFonts w:ascii="Times New Roman" w:cs="Times New Roman" w:eastAsia="Times New Roman" w:hAnsi="Times New Roman"/>
                  <w:sz w:val="15"/>
                  <w:szCs w:val="15"/>
                  <w:color w:val="0000FF"/>
                </w:rPr>
                <w:t>Inc.</w:t>
              </w:r>
            </w:hyperlink>
          </w:p>
        </w:tc>
        <w:tc>
          <w:tcPr>
            <w:tcW w:w="6000" w:type="dxa"/>
            <w:vAlign w:val="bottom"/>
            <w:tcBorders>
              <w:top w:val="single" w:sz="8" w:color="0000FF"/>
            </w:tcBorders>
            <w:gridSpan w:val="35"/>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10.17</w:t>
            </w:r>
          </w:p>
        </w:tc>
        <w:tc>
          <w:tcPr>
            <w:tcW w:w="200" w:type="dxa"/>
            <w:vAlign w:val="bottom"/>
          </w:tcPr>
          <w:p>
            <w:pPr>
              <w:spacing w:after="0"/>
              <w:rPr>
                <w:sz w:val="17"/>
                <w:szCs w:val="17"/>
                <w:color w:val="auto"/>
              </w:rPr>
            </w:pPr>
          </w:p>
        </w:tc>
        <w:tc>
          <w:tcPr>
            <w:tcW w:w="6400" w:type="dxa"/>
            <w:vAlign w:val="bottom"/>
            <w:gridSpan w:val="41"/>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Assignment of Lease Agreement dated as of June 29, 2004, by and among Ocular Sciences</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10.3</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1/12/2005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4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Puerto Rico, Inc., Ocular Sciences Cayman Islands Corporation and The Puerto Rico</w:t>
              </w:r>
            </w:hyperlink>
          </w:p>
        </w:tc>
        <w:tc>
          <w:tcPr>
            <w:tcW w:w="80" w:type="dxa"/>
            <w:vAlign w:val="bottom"/>
            <w:gridSpan w:val="3"/>
          </w:tcPr>
          <w:p>
            <w:pPr>
              <w:spacing w:after="0"/>
              <w:rPr>
                <w:sz w:val="13"/>
                <w:szCs w:val="13"/>
                <w:color w:val="auto"/>
              </w:rPr>
            </w:pPr>
          </w:p>
        </w:tc>
        <w:tc>
          <w:tcPr>
            <w:tcW w:w="12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Borders>
              <w:top w:val="single" w:sz="8" w:color="0000FF"/>
              <w:bottom w:val="single" w:sz="8" w:color="0000FF"/>
            </w:tcBorders>
            <w:gridSpan w:val="4"/>
          </w:tcPr>
          <w:p>
            <w:pPr>
              <w:spacing w:after="0" w:line="138" w:lineRule="exact"/>
              <w:rPr>
                <w:rFonts w:ascii="Times New Roman" w:cs="Times New Roman" w:eastAsia="Times New Roman" w:hAnsi="Times New Roman"/>
                <w:sz w:val="15"/>
                <w:szCs w:val="15"/>
                <w:color w:val="0000FF"/>
              </w:rPr>
            </w:pPr>
            <w:hyperlink r:id="rId139">
              <w:r>
                <w:rPr>
                  <w:rFonts w:ascii="Times New Roman" w:cs="Times New Roman" w:eastAsia="Times New Roman" w:hAnsi="Times New Roman"/>
                  <w:sz w:val="15"/>
                  <w:szCs w:val="15"/>
                  <w:color w:val="0000FF"/>
                </w:rPr>
                <w:t>Industrial Development Company</w:t>
              </w:r>
            </w:hyperlink>
          </w:p>
        </w:tc>
        <w:tc>
          <w:tcPr>
            <w:tcW w:w="3380" w:type="dxa"/>
            <w:vAlign w:val="bottom"/>
            <w:tcBorders>
              <w:top w:val="single" w:sz="8" w:color="0000FF"/>
            </w:tcBorders>
            <w:gridSpan w:val="14"/>
          </w:tcPr>
          <w:p>
            <w:pPr>
              <w:spacing w:after="0"/>
              <w:rPr>
                <w:sz w:val="11"/>
                <w:szCs w:val="11"/>
                <w:color w:val="auto"/>
              </w:rPr>
            </w:pPr>
          </w:p>
        </w:tc>
        <w:tc>
          <w:tcPr>
            <w:tcW w:w="40" w:type="dxa"/>
            <w:vAlign w:val="bottom"/>
            <w:gridSpan w:val="2"/>
          </w:tcPr>
          <w:p>
            <w:pPr>
              <w:spacing w:after="0"/>
              <w:rPr>
                <w:sz w:val="11"/>
                <w:szCs w:val="11"/>
                <w:color w:val="auto"/>
              </w:rPr>
            </w:pPr>
          </w:p>
        </w:tc>
        <w:tc>
          <w:tcPr>
            <w:tcW w:w="440" w:type="dxa"/>
            <w:vAlign w:val="bottom"/>
            <w:gridSpan w:val="6"/>
          </w:tcPr>
          <w:p>
            <w:pPr>
              <w:spacing w:after="0"/>
              <w:rPr>
                <w:sz w:val="11"/>
                <w:szCs w:val="11"/>
                <w:color w:val="auto"/>
              </w:rPr>
            </w:pPr>
          </w:p>
        </w:tc>
        <w:tc>
          <w:tcPr>
            <w:tcW w:w="12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10.18</w:t>
            </w:r>
          </w:p>
        </w:tc>
        <w:tc>
          <w:tcPr>
            <w:tcW w:w="200" w:type="dxa"/>
            <w:vAlign w:val="bottom"/>
          </w:tcPr>
          <w:p>
            <w:pPr>
              <w:spacing w:after="0"/>
              <w:rPr>
                <w:sz w:val="17"/>
                <w:szCs w:val="17"/>
                <w:color w:val="auto"/>
              </w:rPr>
            </w:pPr>
          </w:p>
        </w:tc>
        <w:tc>
          <w:tcPr>
            <w:tcW w:w="6400" w:type="dxa"/>
            <w:vAlign w:val="bottom"/>
            <w:gridSpan w:val="41"/>
          </w:tcPr>
          <w:p>
            <w:pPr>
              <w:spacing w:after="0"/>
              <w:rPr>
                <w:rFonts w:ascii="Times New Roman" w:cs="Times New Roman" w:eastAsia="Times New Roman" w:hAnsi="Times New Roman"/>
                <w:sz w:val="17"/>
                <w:szCs w:val="17"/>
                <w:color w:val="0000FF"/>
                <w:w w:val="99"/>
              </w:rPr>
            </w:pPr>
            <w:hyperlink r:id="rId140">
              <w:r>
                <w:rPr>
                  <w:rFonts w:ascii="Times New Roman" w:cs="Times New Roman" w:eastAsia="Times New Roman" w:hAnsi="Times New Roman"/>
                  <w:sz w:val="17"/>
                  <w:szCs w:val="17"/>
                  <w:color w:val="0000FF"/>
                  <w:w w:val="99"/>
                </w:rPr>
                <w:t>Revolving Credit and Term Loan Agreement, dated as of April 1, 2020, among the Company,</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9"/>
              </w:rPr>
              <w:t>4/2/2020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40" w:type="dxa"/>
            <w:vAlign w:val="bottom"/>
            <w:tcBorders>
              <w:top w:val="single" w:sz="8" w:color="0000FF"/>
            </w:tcBorders>
            <w:gridSpan w:val="35"/>
          </w:tcPr>
          <w:p>
            <w:pPr>
              <w:spacing w:after="0" w:line="138" w:lineRule="exact"/>
              <w:rPr>
                <w:rFonts w:ascii="Times New Roman" w:cs="Times New Roman" w:eastAsia="Times New Roman" w:hAnsi="Times New Roman"/>
                <w:sz w:val="15"/>
                <w:szCs w:val="15"/>
                <w:color w:val="0000FF"/>
              </w:rPr>
            </w:pPr>
            <w:hyperlink r:id="rId140">
              <w:r>
                <w:rPr>
                  <w:rFonts w:ascii="Times New Roman" w:cs="Times New Roman" w:eastAsia="Times New Roman" w:hAnsi="Times New Roman"/>
                  <w:sz w:val="15"/>
                  <w:szCs w:val="15"/>
                  <w:color w:val="0000FF"/>
                </w:rPr>
                <w:t>CooperVision International Holding Company, LP, CooperSurgical Netherlands B.V.,</w:t>
              </w:r>
            </w:hyperlink>
          </w:p>
        </w:tc>
        <w:tc>
          <w:tcPr>
            <w:tcW w:w="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80" w:type="dxa"/>
            <w:vAlign w:val="bottom"/>
            <w:tcBorders>
              <w:top w:val="single" w:sz="8" w:color="0000FF"/>
            </w:tcBorders>
            <w:gridSpan w:val="20"/>
          </w:tcPr>
          <w:p>
            <w:pPr>
              <w:spacing w:after="0" w:line="14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CooperVision Holding Kft., the lenders from time to time party thereto and KeyBank</w:t>
              </w:r>
            </w:hyperlink>
          </w:p>
        </w:tc>
        <w:tc>
          <w:tcPr>
            <w:tcW w:w="720" w:type="dxa"/>
            <w:vAlign w:val="bottom"/>
            <w:gridSpan w:val="21"/>
          </w:tcPr>
          <w:p>
            <w:pPr>
              <w:ind w:left="20"/>
              <w:spacing w:after="0" w:line="14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National</w:t>
              </w:r>
            </w:hyperlink>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w w:val="96"/>
              </w:rPr>
            </w:pPr>
            <w:hyperlink r:id="rId140">
              <w:r>
                <w:rPr>
                  <w:rFonts w:ascii="Times New Roman" w:cs="Times New Roman" w:eastAsia="Times New Roman" w:hAnsi="Times New Roman"/>
                  <w:sz w:val="17"/>
                  <w:szCs w:val="17"/>
                  <w:color w:val="0000FF"/>
                  <w:w w:val="96"/>
                </w:rPr>
                <w:t>Association, as administrative agent</w:t>
              </w:r>
            </w:hyperlink>
          </w:p>
        </w:tc>
        <w:tc>
          <w:tcPr>
            <w:tcW w:w="3900" w:type="dxa"/>
            <w:vAlign w:val="bottom"/>
            <w:tcBorders>
              <w:top w:val="single" w:sz="8" w:color="0000FF"/>
            </w:tcBorders>
            <w:gridSpan w:val="33"/>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10.19</w:t>
            </w:r>
          </w:p>
        </w:tc>
        <w:tc>
          <w:tcPr>
            <w:tcW w:w="200" w:type="dxa"/>
            <w:vAlign w:val="bottom"/>
          </w:tcPr>
          <w:p>
            <w:pPr>
              <w:spacing w:after="0"/>
              <w:rPr>
                <w:sz w:val="17"/>
                <w:szCs w:val="17"/>
                <w:color w:val="auto"/>
              </w:rPr>
            </w:pPr>
          </w:p>
        </w:tc>
        <w:tc>
          <w:tcPr>
            <w:tcW w:w="6400" w:type="dxa"/>
            <w:vAlign w:val="bottom"/>
            <w:gridSpan w:val="41"/>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Amendment No. 1 and Joinder, dated as of October 30, 2020, to Revolving Credit and Term</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10-K</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10.20</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10/31/2020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12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w w:val="95"/>
              </w:rPr>
            </w:pPr>
            <w:hyperlink r:id="rId141">
              <w:r>
                <w:rPr>
                  <w:rFonts w:ascii="Times New Roman" w:cs="Times New Roman" w:eastAsia="Times New Roman" w:hAnsi="Times New Roman"/>
                  <w:sz w:val="17"/>
                  <w:szCs w:val="17"/>
                  <w:color w:val="0000FF"/>
                  <w:w w:val="95"/>
                </w:rPr>
                <w:t>Loan Agreement, dated as of April 1, 2020, among the Company, CooperVision International</w:t>
              </w:r>
            </w:hyperlink>
          </w:p>
        </w:tc>
        <w:tc>
          <w:tcPr>
            <w:tcW w:w="280" w:type="dxa"/>
            <w:vAlign w:val="bottom"/>
            <w:gridSpan w:val="15"/>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20" w:type="dxa"/>
            <w:vAlign w:val="bottom"/>
            <w:tcBorders>
              <w:top w:val="single" w:sz="8" w:color="0000FF"/>
            </w:tcBorders>
            <w:gridSpan w:val="34"/>
          </w:tcPr>
          <w:p>
            <w:pPr>
              <w:spacing w:after="0" w:line="147" w:lineRule="exact"/>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Holding Company, LP, CooperSurgical Netherlands B.V., CooperVision Holding Kft., the</w:t>
              </w:r>
            </w:hyperlink>
          </w:p>
        </w:tc>
        <w:tc>
          <w:tcPr>
            <w:tcW w:w="180" w:type="dxa"/>
            <w:vAlign w:val="bottom"/>
            <w:gridSpan w:val="7"/>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0" w:right="2780"/>
        <w:spacing w:after="0" w:line="218" w:lineRule="auto"/>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lenders from time to time party thereto and KeyBank National Association, as administrative</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agent</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76835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760"/>
          </w:cols>
          <w:pgMar w:left="800" w:top="354" w:right="1339" w:bottom="1440" w:gutter="0" w:footer="0" w:header="0"/>
        </w:sectPr>
      </w:pPr>
    </w:p>
    <w:bookmarkStart w:id="93" w:name="page94"/>
    <w:bookmarkEnd w:id="93"/>
    <w:tbl>
      <w:tblPr>
        <w:tblLayout w:type="fixed"/>
        <w:tblInd w:w="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auto"/>
                <w:w w:val="98"/>
              </w:rPr>
              <w:t>THE COOPER COMPANIES, INC. AND SUBSIDIARIES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60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260" w:type="dxa"/>
            <w:vAlign w:val="bottom"/>
          </w:tcPr>
          <w:p>
            <w:pPr>
              <w:spacing w:after="0"/>
              <w:rPr>
                <w:sz w:val="17"/>
                <w:szCs w:val="17"/>
                <w:color w:val="auto"/>
              </w:rPr>
            </w:pPr>
          </w:p>
        </w:tc>
        <w:tc>
          <w:tcPr>
            <w:tcW w:w="4140" w:type="dxa"/>
            <w:vAlign w:val="bottom"/>
            <w:gridSpan w:val="31"/>
          </w:tcPr>
          <w:p>
            <w:pPr>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1020" w:type="dxa"/>
            <w:vAlign w:val="bottom"/>
            <w:gridSpan w:val="6"/>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Filing Date/</w:t>
            </w:r>
          </w:p>
        </w:tc>
      </w:tr>
      <w:tr>
        <w:trPr>
          <w:trHeight w:val="137"/>
        </w:trPr>
        <w:tc>
          <w:tcPr>
            <w:tcW w:w="20" w:type="dxa"/>
            <w:vAlign w:val="bottom"/>
          </w:tcPr>
          <w:p>
            <w:pPr>
              <w:spacing w:after="0"/>
              <w:rPr>
                <w:sz w:val="11"/>
                <w:szCs w:val="11"/>
                <w:color w:val="auto"/>
              </w:rPr>
            </w:pPr>
          </w:p>
        </w:tc>
        <w:tc>
          <w:tcPr>
            <w:tcW w:w="52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5"/>
                <w:szCs w:val="15"/>
                <w:b w:val="1"/>
                <w:bCs w:val="1"/>
                <w:color w:val="auto"/>
                <w:w w:val="93"/>
              </w:rPr>
              <w:t>Number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gridSpan w:val="5"/>
          </w:tcPr>
          <w:p>
            <w:pPr>
              <w:jc w:val="center"/>
              <w:spacing w:after="0" w:line="138" w:lineRule="exact"/>
              <w:rPr>
                <w:sz w:val="20"/>
                <w:szCs w:val="20"/>
                <w:color w:val="auto"/>
              </w:rPr>
            </w:pPr>
            <w:r>
              <w:rPr>
                <w:rFonts w:ascii="Times New Roman" w:cs="Times New Roman" w:eastAsia="Times New Roman" w:hAnsi="Times New Roman"/>
                <w:sz w:val="15"/>
                <w:szCs w:val="15"/>
                <w:b w:val="1"/>
                <w:bCs w:val="1"/>
                <w:color w:val="auto"/>
              </w:rPr>
              <w:t>Period End</w:t>
            </w:r>
          </w:p>
        </w:tc>
        <w:tc>
          <w:tcPr>
            <w:tcW w:w="1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center"/>
              <w:ind w:right="240"/>
              <w:spacing w:after="0" w:line="150" w:lineRule="exact"/>
              <w:rPr>
                <w:sz w:val="20"/>
                <w:szCs w:val="20"/>
                <w:color w:val="auto"/>
              </w:rPr>
            </w:pPr>
            <w:r>
              <w:rPr>
                <w:rFonts w:ascii="Times New Roman" w:cs="Times New Roman" w:eastAsia="Times New Roman" w:hAnsi="Times New Roman"/>
                <w:sz w:val="17"/>
                <w:szCs w:val="17"/>
                <w:b w:val="1"/>
                <w:bCs w:val="1"/>
                <w:color w:val="auto"/>
                <w:w w:val="94"/>
              </w:rPr>
              <w:t>Date</w:t>
            </w:r>
          </w:p>
        </w:tc>
        <w:tc>
          <w:tcPr>
            <w:tcW w:w="200" w:type="dxa"/>
            <w:vAlign w:val="bottom"/>
            <w:gridSpan w:val="2"/>
          </w:tcPr>
          <w:p>
            <w:pPr>
              <w:spacing w:after="0"/>
              <w:rPr>
                <w:sz w:val="13"/>
                <w:szCs w:val="13"/>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64"/>
        </w:trPr>
        <w:tc>
          <w:tcPr>
            <w:tcW w:w="600" w:type="dxa"/>
            <w:vAlign w:val="bottom"/>
            <w:gridSpan w:val="3"/>
          </w:tcPr>
          <w:p>
            <w:pPr>
              <w:jc w:val="center"/>
              <w:ind w:left="97"/>
              <w:spacing w:after="0" w:line="163" w:lineRule="exact"/>
              <w:rPr>
                <w:sz w:val="20"/>
                <w:szCs w:val="20"/>
                <w:color w:val="auto"/>
              </w:rPr>
            </w:pPr>
            <w:r>
              <w:rPr>
                <w:rFonts w:ascii="Times New Roman" w:cs="Times New Roman" w:eastAsia="Times New Roman" w:hAnsi="Times New Roman"/>
                <w:sz w:val="17"/>
                <w:szCs w:val="17"/>
                <w:color w:val="auto"/>
                <w:w w:val="99"/>
              </w:rPr>
              <w:t>10.20</w:t>
            </w:r>
          </w:p>
        </w:tc>
        <w:tc>
          <w:tcPr>
            <w:tcW w:w="200" w:type="dxa"/>
            <w:vAlign w:val="bottom"/>
          </w:tcPr>
          <w:p>
            <w:pPr>
              <w:spacing w:after="0"/>
              <w:rPr>
                <w:sz w:val="14"/>
                <w:szCs w:val="14"/>
                <w:color w:val="auto"/>
              </w:rPr>
            </w:pPr>
          </w:p>
        </w:tc>
        <w:tc>
          <w:tcPr>
            <w:tcW w:w="5520" w:type="dxa"/>
            <w:vAlign w:val="bottom"/>
            <w:tcBorders>
              <w:bottom w:val="single" w:sz="8" w:color="0000FF"/>
            </w:tcBorders>
            <w:gridSpan w:val="17"/>
          </w:tcPr>
          <w:p>
            <w:pPr>
              <w:spacing w:after="0" w:line="163" w:lineRule="exact"/>
              <w:rPr>
                <w:rFonts w:ascii="Times New Roman" w:cs="Times New Roman" w:eastAsia="Times New Roman" w:hAnsi="Times New Roman"/>
                <w:sz w:val="17"/>
                <w:szCs w:val="17"/>
                <w:color w:val="0000FF"/>
                <w:w w:val="97"/>
              </w:rPr>
            </w:pPr>
            <w:hyperlink r:id="rId143">
              <w:r>
                <w:rPr>
                  <w:rFonts w:ascii="Times New Roman" w:cs="Times New Roman" w:eastAsia="Times New Roman" w:hAnsi="Times New Roman"/>
                  <w:sz w:val="17"/>
                  <w:szCs w:val="17"/>
                  <w:color w:val="0000FF"/>
                  <w:w w:val="97"/>
                </w:rPr>
                <w:t>Term Loan Agreement, dated as of December 17, 2021, by and among The Cooper</w:t>
              </w:r>
            </w:hyperlink>
          </w:p>
        </w:tc>
        <w:tc>
          <w:tcPr>
            <w:tcW w:w="880" w:type="dxa"/>
            <w:vAlign w:val="bottom"/>
            <w:gridSpan w:val="15"/>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center"/>
              <w:ind w:right="280"/>
              <w:spacing w:after="0" w:line="163" w:lineRule="exact"/>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4"/>
                <w:szCs w:val="14"/>
                <w:color w:val="auto"/>
              </w:rPr>
            </w:pPr>
          </w:p>
        </w:tc>
        <w:tc>
          <w:tcPr>
            <w:tcW w:w="820" w:type="dxa"/>
            <w:vAlign w:val="bottom"/>
            <w:gridSpan w:val="4"/>
          </w:tcPr>
          <w:p>
            <w:pPr>
              <w:jc w:val="center"/>
              <w:spacing w:after="0" w:line="163" w:lineRule="exact"/>
              <w:rPr>
                <w:sz w:val="20"/>
                <w:szCs w:val="20"/>
                <w:color w:val="auto"/>
              </w:rPr>
            </w:pPr>
            <w:r>
              <w:rPr>
                <w:rFonts w:ascii="Times New Roman" w:cs="Times New Roman" w:eastAsia="Times New Roman" w:hAnsi="Times New Roman"/>
                <w:sz w:val="17"/>
                <w:szCs w:val="17"/>
                <w:color w:val="auto"/>
                <w:w w:val="98"/>
              </w:rPr>
              <w:t>12/17/2021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0" w:type="dxa"/>
            <w:vAlign w:val="bottom"/>
            <w:gridSpan w:val="32"/>
          </w:tcPr>
          <w:p>
            <w:pPr>
              <w:spacing w:after="0" w:line="138"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Companies, Inc., the lenders from time to time party thereto, and PNC Bank, National</w:t>
              </w:r>
            </w:hyperlink>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w w:val="96"/>
              </w:rPr>
            </w:pPr>
            <w:hyperlink r:id="rId143">
              <w:r>
                <w:rPr>
                  <w:rFonts w:ascii="Times New Roman" w:cs="Times New Roman" w:eastAsia="Times New Roman" w:hAnsi="Times New Roman"/>
                  <w:sz w:val="17"/>
                  <w:szCs w:val="17"/>
                  <w:color w:val="0000FF"/>
                  <w:w w:val="96"/>
                </w:rPr>
                <w:t>Association, as administrative agent.</w:t>
              </w:r>
            </w:hyperlink>
          </w:p>
        </w:tc>
        <w:tc>
          <w:tcPr>
            <w:tcW w:w="32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10.21</w:t>
            </w:r>
          </w:p>
        </w:tc>
        <w:tc>
          <w:tcPr>
            <w:tcW w:w="200" w:type="dxa"/>
            <w:vAlign w:val="bottom"/>
          </w:tcPr>
          <w:p>
            <w:pPr>
              <w:spacing w:after="0"/>
              <w:rPr>
                <w:sz w:val="17"/>
                <w:szCs w:val="17"/>
                <w:color w:val="auto"/>
              </w:rPr>
            </w:pPr>
          </w:p>
        </w:tc>
        <w:tc>
          <w:tcPr>
            <w:tcW w:w="6400" w:type="dxa"/>
            <w:vAlign w:val="bottom"/>
            <w:gridSpan w:val="32"/>
          </w:tcPr>
          <w:p>
            <w:pPr>
              <w:spacing w:after="0"/>
              <w:rPr>
                <w:rFonts w:ascii="Times New Roman" w:cs="Times New Roman" w:eastAsia="Times New Roman" w:hAnsi="Times New Roman"/>
                <w:sz w:val="17"/>
                <w:szCs w:val="17"/>
                <w:color w:val="0000FF"/>
                <w:w w:val="99"/>
              </w:rPr>
            </w:pPr>
            <w:hyperlink r:id="rId144">
              <w:r>
                <w:rPr>
                  <w:rFonts w:ascii="Times New Roman" w:cs="Times New Roman" w:eastAsia="Times New Roman" w:hAnsi="Times New Roman"/>
                  <w:sz w:val="17"/>
                  <w:szCs w:val="17"/>
                  <w:color w:val="0000FF"/>
                  <w:w w:val="99"/>
                </w:rPr>
                <w:t>Amendment No.2 and Joinder, dated as of December 17, 2021, to Revolving Credit and Term</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10.3</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1/31/2022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20" w:type="dxa"/>
            <w:vAlign w:val="bottom"/>
            <w:tcBorders>
              <w:top w:val="single" w:sz="8" w:color="0000FF"/>
            </w:tcBorders>
            <w:gridSpan w:val="29"/>
          </w:tcPr>
          <w:p>
            <w:pPr>
              <w:spacing w:after="0" w:line="138" w:lineRule="exact"/>
              <w:rPr>
                <w:rFonts w:ascii="Times New Roman" w:cs="Times New Roman" w:eastAsia="Times New Roman" w:hAnsi="Times New Roman"/>
                <w:sz w:val="15"/>
                <w:szCs w:val="15"/>
                <w:color w:val="0000FF"/>
              </w:rPr>
            </w:pPr>
            <w:hyperlink r:id="rId144">
              <w:r>
                <w:rPr>
                  <w:rFonts w:ascii="Times New Roman" w:cs="Times New Roman" w:eastAsia="Times New Roman" w:hAnsi="Times New Roman"/>
                  <w:sz w:val="15"/>
                  <w:szCs w:val="15"/>
                  <w:color w:val="0000FF"/>
                </w:rPr>
                <w:t>Loan Agreement, dated as of April 1, 2020, among the Company, CooperVision International</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Limited, CooperVision Holding Kft., CooperSurgical Holdings Limited, the lenders party</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4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thereto, and KeyBank, National Association,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10.22</w:t>
            </w:r>
          </w:p>
        </w:tc>
        <w:tc>
          <w:tcPr>
            <w:tcW w:w="200" w:type="dxa"/>
            <w:vAlign w:val="bottom"/>
          </w:tcPr>
          <w:p>
            <w:pPr>
              <w:spacing w:after="0"/>
              <w:rPr>
                <w:sz w:val="17"/>
                <w:szCs w:val="17"/>
                <w:color w:val="auto"/>
              </w:rPr>
            </w:pPr>
          </w:p>
        </w:tc>
        <w:tc>
          <w:tcPr>
            <w:tcW w:w="6400" w:type="dxa"/>
            <w:vAlign w:val="bottom"/>
            <w:gridSpan w:val="32"/>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Amendment No.1, dated as of February 1, 2023, to the Term Loan Agreement, dated as of</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1/31/2023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0" w:type="dxa"/>
            <w:vAlign w:val="bottom"/>
            <w:tcBorders>
              <w:top w:val="single" w:sz="8" w:color="0000FF"/>
            </w:tcBorders>
            <w:gridSpan w:val="25"/>
          </w:tcPr>
          <w:p>
            <w:pPr>
              <w:spacing w:after="0" w:line="138" w:lineRule="exact"/>
              <w:rPr>
                <w:rFonts w:ascii="Times New Roman" w:cs="Times New Roman" w:eastAsia="Times New Roman" w:hAnsi="Times New Roman"/>
                <w:sz w:val="15"/>
                <w:szCs w:val="15"/>
                <w:color w:val="0000FF"/>
              </w:rPr>
            </w:pPr>
            <w:hyperlink r:id="rId145">
              <w:r>
                <w:rPr>
                  <w:rFonts w:ascii="Times New Roman" w:cs="Times New Roman" w:eastAsia="Times New Roman" w:hAnsi="Times New Roman"/>
                  <w:sz w:val="15"/>
                  <w:szCs w:val="15"/>
                  <w:color w:val="0000FF"/>
                </w:rPr>
                <w:t>December 17, 2021, by and among The Cooper Companies, Inc. and PNC Bank, National</w:t>
              </w:r>
            </w:hyperlink>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98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Association, as the administrative agent.</w:t>
              </w:r>
            </w:hyperlink>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10.23</w:t>
            </w:r>
          </w:p>
        </w:tc>
        <w:tc>
          <w:tcPr>
            <w:tcW w:w="200" w:type="dxa"/>
            <w:vAlign w:val="bottom"/>
          </w:tcPr>
          <w:p>
            <w:pPr>
              <w:spacing w:after="0"/>
              <w:rPr>
                <w:sz w:val="17"/>
                <w:szCs w:val="17"/>
                <w:color w:val="auto"/>
              </w:rPr>
            </w:pPr>
          </w:p>
        </w:tc>
        <w:tc>
          <w:tcPr>
            <w:tcW w:w="6400" w:type="dxa"/>
            <w:vAlign w:val="bottom"/>
            <w:gridSpan w:val="32"/>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Amendment No. 3, dated as of February 1, 2023, to the Revolving Credit and Term Loan</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10.2</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1/31/2023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920" w:type="dxa"/>
            <w:vAlign w:val="bottom"/>
            <w:tcBorders>
              <w:top w:val="single" w:sz="8" w:color="0000FF"/>
            </w:tcBorders>
            <w:gridSpan w:val="21"/>
          </w:tcPr>
          <w:p>
            <w:pPr>
              <w:spacing w:after="0" w:line="138" w:lineRule="exact"/>
              <w:rPr>
                <w:rFonts w:ascii="Times New Roman" w:cs="Times New Roman" w:eastAsia="Times New Roman" w:hAnsi="Times New Roman"/>
                <w:sz w:val="15"/>
                <w:szCs w:val="15"/>
                <w:color w:val="0000FF"/>
              </w:rPr>
            </w:pPr>
            <w:hyperlink r:id="rId146">
              <w:r>
                <w:rPr>
                  <w:rFonts w:ascii="Times New Roman" w:cs="Times New Roman" w:eastAsia="Times New Roman" w:hAnsi="Times New Roman"/>
                  <w:sz w:val="15"/>
                  <w:szCs w:val="15"/>
                  <w:color w:val="0000FF"/>
                </w:rPr>
                <w:t>Agreement, dated as of April 1, 2020, by and among the Company, CooperVision</w:t>
              </w:r>
            </w:hyperlink>
          </w:p>
        </w:tc>
        <w:tc>
          <w:tcPr>
            <w:tcW w:w="4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tcBorders>
              <w:top w:val="single" w:sz="8" w:color="0000FF"/>
            </w:tcBorders>
            <w:gridSpan w:val="15"/>
          </w:tcPr>
          <w:p>
            <w:pPr>
              <w:spacing w:after="0" w:line="150" w:lineRule="exact"/>
              <w:rPr>
                <w:rFonts w:ascii="Times New Roman" w:cs="Times New Roman" w:eastAsia="Times New Roman" w:hAnsi="Times New Roman"/>
                <w:sz w:val="17"/>
                <w:szCs w:val="17"/>
                <w:color w:val="0000FF"/>
                <w:w w:val="97"/>
              </w:rPr>
            </w:pPr>
            <w:hyperlink r:id="rId146">
              <w:r>
                <w:rPr>
                  <w:rFonts w:ascii="Times New Roman" w:cs="Times New Roman" w:eastAsia="Times New Roman" w:hAnsi="Times New Roman"/>
                  <w:sz w:val="17"/>
                  <w:szCs w:val="17"/>
                  <w:color w:val="0000FF"/>
                  <w:w w:val="97"/>
                </w:rPr>
                <w:t>International Limited, and CooperSurgical Holdings Limited, the borrowers party</w:t>
              </w:r>
            </w:hyperlink>
          </w:p>
        </w:tc>
        <w:tc>
          <w:tcPr>
            <w:tcW w:w="20" w:type="dxa"/>
            <w:vAlign w:val="bottom"/>
          </w:tcPr>
          <w:p>
            <w:pPr>
              <w:spacing w:after="0"/>
              <w:rPr>
                <w:sz w:val="13"/>
                <w:szCs w:val="13"/>
                <w:color w:val="auto"/>
              </w:rPr>
            </w:pPr>
          </w:p>
        </w:tc>
        <w:tc>
          <w:tcPr>
            <w:tcW w:w="960" w:type="dxa"/>
            <w:vAlign w:val="bottom"/>
            <w:gridSpan w:val="16"/>
          </w:tcPr>
          <w:p>
            <w:pPr>
              <w:ind w:left="20"/>
              <w:spacing w:after="0" w:line="15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thereto, and</w:t>
              </w:r>
            </w:hyperlink>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4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KeyBank National Association, as administrative agent.</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800" w:type="dxa"/>
            <w:vAlign w:val="bottom"/>
            <w:gridSpan w:val="4"/>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10.24#</w:t>
            </w:r>
          </w:p>
        </w:tc>
        <w:tc>
          <w:tcPr>
            <w:tcW w:w="410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w w:val="97"/>
              </w:rPr>
            </w:pPr>
            <w:hyperlink r:id="rId147">
              <w:r>
                <w:rPr>
                  <w:rFonts w:ascii="Times New Roman" w:cs="Times New Roman" w:eastAsia="Times New Roman" w:hAnsi="Times New Roman"/>
                  <w:sz w:val="17"/>
                  <w:szCs w:val="17"/>
                  <w:color w:val="0000FF"/>
                  <w:w w:val="97"/>
                </w:rPr>
                <w:t>The Cooper Companies, Inc. 2023 Long-Term Incentive Plan</w:t>
              </w:r>
            </w:hyperlink>
          </w:p>
        </w:tc>
        <w:tc>
          <w:tcPr>
            <w:tcW w:w="2300" w:type="dxa"/>
            <w:vAlign w:val="bottom"/>
            <w:gridSpan w:val="20"/>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5"/>
              </w:rPr>
              <w:t>14A</w:t>
            </w: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1/30/2023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10.25#</w:t>
            </w:r>
          </w:p>
        </w:tc>
        <w:tc>
          <w:tcPr>
            <w:tcW w:w="6400" w:type="dxa"/>
            <w:vAlign w:val="bottom"/>
            <w:gridSpan w:val="32"/>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Stock Option Agreement for the 2023 Long-Term Incentive Plan</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10.2</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4/30/2023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800" w:type="dxa"/>
            <w:vAlign w:val="bottom"/>
            <w:gridSpan w:val="4"/>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10.26#</w:t>
            </w:r>
          </w:p>
        </w:tc>
        <w:tc>
          <w:tcPr>
            <w:tcW w:w="544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w w:val="97"/>
              </w:rPr>
            </w:pPr>
            <w:hyperlink r:id="rId149">
              <w:r>
                <w:rPr>
                  <w:rFonts w:ascii="Times New Roman" w:cs="Times New Roman" w:eastAsia="Times New Roman" w:hAnsi="Times New Roman"/>
                  <w:sz w:val="17"/>
                  <w:szCs w:val="17"/>
                  <w:color w:val="0000FF"/>
                  <w:w w:val="97"/>
                </w:rPr>
                <w:t>Form of Restricted Stock Unit Agreement for the 2023 Long-Term Incentive Plan</w:t>
              </w:r>
            </w:hyperlink>
          </w:p>
        </w:tc>
        <w:tc>
          <w:tcPr>
            <w:tcW w:w="96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10.3</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4/30/2023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10.27#</w:t>
            </w:r>
          </w:p>
        </w:tc>
        <w:tc>
          <w:tcPr>
            <w:tcW w:w="6400" w:type="dxa"/>
            <w:vAlign w:val="bottom"/>
            <w:gridSpan w:val="32"/>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Form of Performance Stock Unit Agreement for the 2023 Long-Term Incentive Plan</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10.4</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4/30/2023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10.28#</w:t>
            </w:r>
          </w:p>
        </w:tc>
        <w:tc>
          <w:tcPr>
            <w:tcW w:w="5600" w:type="dxa"/>
            <w:vAlign w:val="bottom"/>
            <w:tcBorders>
              <w:top w:val="single" w:sz="8" w:color="0000FF"/>
            </w:tcBorders>
            <w:gridSpan w:val="18"/>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The Cooper Companies, Inc. 2017 Executive Incentive Plan</w:t>
              </w:r>
            </w:hyperlink>
          </w:p>
        </w:tc>
        <w:tc>
          <w:tcPr>
            <w:tcW w:w="80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5"/>
              </w:rPr>
              <w:t>14A</w:t>
            </w: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w:t>
            </w: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1/27/2017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800" w:type="dxa"/>
            <w:vAlign w:val="bottom"/>
            <w:gridSpan w:val="4"/>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10.29#</w:t>
            </w:r>
          </w:p>
        </w:tc>
        <w:tc>
          <w:tcPr>
            <w:tcW w:w="408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w w:val="97"/>
              </w:rPr>
            </w:pPr>
            <w:hyperlink r:id="rId152">
              <w:r>
                <w:rPr>
                  <w:rFonts w:ascii="Times New Roman" w:cs="Times New Roman" w:eastAsia="Times New Roman" w:hAnsi="Times New Roman"/>
                  <w:sz w:val="17"/>
                  <w:szCs w:val="17"/>
                  <w:color w:val="0000FF"/>
                  <w:w w:val="97"/>
                </w:rPr>
                <w:t>The Cooper Companies, Inc. Compensation Recovery Policy</w:t>
              </w:r>
            </w:hyperlink>
          </w:p>
        </w:tc>
        <w:tc>
          <w:tcPr>
            <w:tcW w:w="232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10-K</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10.32</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10/31/2023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10.30#</w:t>
            </w:r>
          </w:p>
        </w:tc>
        <w:tc>
          <w:tcPr>
            <w:tcW w:w="6400" w:type="dxa"/>
            <w:vAlign w:val="bottom"/>
            <w:gridSpan w:val="32"/>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Executive Employment Agreement by and between The Cooper Companies, Inc. and Gerard</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7"/>
              </w:rPr>
              <w:t>10-Q</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4/30/2024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Borders>
              <w:top w:val="single" w:sz="8" w:color="0000FF"/>
              <w:bottom w:val="single" w:sz="8" w:color="0000FF"/>
            </w:tcBorders>
            <w:gridSpan w:val="5"/>
          </w:tcPr>
          <w:p>
            <w:pPr>
              <w:spacing w:after="0" w:line="138" w:lineRule="exact"/>
              <w:rPr>
                <w:rFonts w:ascii="Times New Roman" w:cs="Times New Roman" w:eastAsia="Times New Roman" w:hAnsi="Times New Roman"/>
                <w:sz w:val="15"/>
                <w:szCs w:val="15"/>
                <w:color w:val="0000FF"/>
              </w:rPr>
            </w:pPr>
            <w:hyperlink r:id="rId153">
              <w:r>
                <w:rPr>
                  <w:rFonts w:ascii="Times New Roman" w:cs="Times New Roman" w:eastAsia="Times New Roman" w:hAnsi="Times New Roman"/>
                  <w:sz w:val="15"/>
                  <w:szCs w:val="15"/>
                  <w:color w:val="0000FF"/>
                </w:rPr>
                <w:t>Warner, effective as of March 19, 2024</w:t>
              </w:r>
            </w:hyperlink>
          </w:p>
        </w:tc>
        <w:tc>
          <w:tcPr>
            <w:tcW w:w="3560" w:type="dxa"/>
            <w:vAlign w:val="bottom"/>
            <w:tcBorders>
              <w:top w:val="single" w:sz="8" w:color="0000FF"/>
            </w:tcBorders>
            <w:gridSpan w:val="22"/>
          </w:tcPr>
          <w:p>
            <w:pPr>
              <w:spacing w:after="0"/>
              <w:rPr>
                <w:sz w:val="11"/>
                <w:szCs w:val="11"/>
                <w:color w:val="auto"/>
              </w:rPr>
            </w:pPr>
          </w:p>
        </w:tc>
        <w:tc>
          <w:tcPr>
            <w:tcW w:w="140" w:type="dxa"/>
            <w:vAlign w:val="bottom"/>
            <w:gridSpan w:val="4"/>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10.31</w:t>
            </w:r>
          </w:p>
        </w:tc>
        <w:tc>
          <w:tcPr>
            <w:tcW w:w="200" w:type="dxa"/>
            <w:vAlign w:val="bottom"/>
          </w:tcPr>
          <w:p>
            <w:pPr>
              <w:spacing w:after="0"/>
              <w:rPr>
                <w:sz w:val="17"/>
                <w:szCs w:val="17"/>
                <w:color w:val="auto"/>
              </w:rPr>
            </w:pPr>
          </w:p>
        </w:tc>
        <w:tc>
          <w:tcPr>
            <w:tcW w:w="6400" w:type="dxa"/>
            <w:vAlign w:val="bottom"/>
            <w:gridSpan w:val="32"/>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Revolving Credit Agreement, dated as of May 1, 2024, among the Company, CooperVision</w:t>
              </w:r>
            </w:hyperlink>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10.1</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9"/>
              </w:rPr>
              <w:t>5/1/2024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80" w:type="dxa"/>
            <w:vAlign w:val="bottom"/>
            <w:tcBorders>
              <w:top w:val="single" w:sz="8" w:color="0000FF"/>
            </w:tcBorders>
            <w:gridSpan w:val="26"/>
          </w:tcPr>
          <w:p>
            <w:pPr>
              <w:spacing w:after="0" w:line="138" w:lineRule="exact"/>
              <w:rPr>
                <w:rFonts w:ascii="Times New Roman" w:cs="Times New Roman" w:eastAsia="Times New Roman" w:hAnsi="Times New Roman"/>
                <w:sz w:val="15"/>
                <w:szCs w:val="15"/>
                <w:color w:val="0000FF"/>
              </w:rPr>
            </w:pPr>
            <w:hyperlink r:id="rId154">
              <w:r>
                <w:rPr>
                  <w:rFonts w:ascii="Times New Roman" w:cs="Times New Roman" w:eastAsia="Times New Roman" w:hAnsi="Times New Roman"/>
                  <w:sz w:val="15"/>
                  <w:szCs w:val="15"/>
                  <w:color w:val="0000FF"/>
                </w:rPr>
                <w:t>International Limited, the lenders from time to time party thereto and PNC Bank National</w:t>
              </w:r>
            </w:hyperlink>
          </w:p>
        </w:tc>
        <w:tc>
          <w:tcPr>
            <w:tcW w:w="22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w w:val="96"/>
              </w:rPr>
            </w:pPr>
            <w:hyperlink r:id="rId154">
              <w:r>
                <w:rPr>
                  <w:rFonts w:ascii="Times New Roman" w:cs="Times New Roman" w:eastAsia="Times New Roman" w:hAnsi="Times New Roman"/>
                  <w:sz w:val="17"/>
                  <w:szCs w:val="17"/>
                  <w:color w:val="0000FF"/>
                  <w:w w:val="96"/>
                </w:rPr>
                <w:t>Association, as administrative agent</w:t>
              </w:r>
            </w:hyperlink>
          </w:p>
        </w:tc>
        <w:tc>
          <w:tcPr>
            <w:tcW w:w="3560" w:type="dxa"/>
            <w:vAlign w:val="bottom"/>
            <w:tcBorders>
              <w:top w:val="single" w:sz="8" w:color="0000FF"/>
            </w:tcBorders>
            <w:gridSpan w:val="20"/>
          </w:tcPr>
          <w:p>
            <w:pPr>
              <w:spacing w:after="0"/>
              <w:rPr>
                <w:sz w:val="13"/>
                <w:szCs w:val="13"/>
                <w:color w:val="auto"/>
              </w:rPr>
            </w:pPr>
          </w:p>
        </w:tc>
        <w:tc>
          <w:tcPr>
            <w:tcW w:w="34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600" w:type="dxa"/>
            <w:vAlign w:val="bottom"/>
            <w:gridSpan w:val="3"/>
          </w:tcPr>
          <w:p>
            <w:pPr>
              <w:jc w:val="center"/>
              <w:ind w:left="97"/>
              <w:spacing w:after="0"/>
              <w:rPr>
                <w:sz w:val="20"/>
                <w:szCs w:val="20"/>
                <w:color w:val="auto"/>
              </w:rPr>
            </w:pPr>
            <w:r>
              <w:rPr>
                <w:rFonts w:ascii="Times New Roman" w:cs="Times New Roman" w:eastAsia="Times New Roman" w:hAnsi="Times New Roman"/>
                <w:sz w:val="17"/>
                <w:szCs w:val="17"/>
                <w:color w:val="auto"/>
                <w:w w:val="99"/>
              </w:rPr>
              <w:t>10.32</w:t>
            </w:r>
          </w:p>
        </w:tc>
        <w:tc>
          <w:tcPr>
            <w:tcW w:w="200" w:type="dxa"/>
            <w:vAlign w:val="bottom"/>
          </w:tcPr>
          <w:p>
            <w:pPr>
              <w:spacing w:after="0"/>
              <w:rPr>
                <w:sz w:val="17"/>
                <w:szCs w:val="17"/>
                <w:color w:val="auto"/>
              </w:rPr>
            </w:pPr>
          </w:p>
        </w:tc>
        <w:tc>
          <w:tcPr>
            <w:tcW w:w="574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w w:val="97"/>
              </w:rPr>
            </w:pPr>
            <w:hyperlink r:id="rId155">
              <w:r>
                <w:rPr>
                  <w:rFonts w:ascii="Times New Roman" w:cs="Times New Roman" w:eastAsia="Times New Roman" w:hAnsi="Times New Roman"/>
                  <w:sz w:val="17"/>
                  <w:szCs w:val="17"/>
                  <w:color w:val="0000FF"/>
                  <w:w w:val="97"/>
                </w:rPr>
                <w:t>Amendment No. 2, dated as of May 1, 2024, to the Term Loan Agreement, dated as of</w:t>
              </w:r>
            </w:hyperlink>
          </w:p>
        </w:tc>
        <w:tc>
          <w:tcPr>
            <w:tcW w:w="66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8"/>
              </w:rPr>
              <w:t>8-K</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10.2</w:t>
            </w:r>
          </w:p>
        </w:tc>
        <w:tc>
          <w:tcPr>
            <w:tcW w:w="280" w:type="dxa"/>
            <w:vAlign w:val="bottom"/>
          </w:tcPr>
          <w:p>
            <w:pPr>
              <w:spacing w:after="0"/>
              <w:rPr>
                <w:sz w:val="17"/>
                <w:szCs w:val="17"/>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9"/>
              </w:rPr>
              <w:t>5/1/2024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0" w:type="dxa"/>
            <w:vAlign w:val="bottom"/>
            <w:gridSpan w:val="32"/>
          </w:tcPr>
          <w:p>
            <w:pPr>
              <w:spacing w:after="0" w:line="138" w:lineRule="exact"/>
              <w:rPr>
                <w:rFonts w:ascii="Times New Roman" w:cs="Times New Roman" w:eastAsia="Times New Roman" w:hAnsi="Times New Roman"/>
                <w:sz w:val="15"/>
                <w:szCs w:val="15"/>
                <w:color w:val="0000FF"/>
              </w:rPr>
            </w:pPr>
            <w:hyperlink r:id="rId155">
              <w:r>
                <w:rPr>
                  <w:rFonts w:ascii="Times New Roman" w:cs="Times New Roman" w:eastAsia="Times New Roman" w:hAnsi="Times New Roman"/>
                  <w:sz w:val="15"/>
                  <w:szCs w:val="15"/>
                  <w:color w:val="0000FF"/>
                </w:rPr>
                <w:t>December 17, 2021, by and among The Cooper Companies, Inc., the lenders party thereto, and</w:t>
              </w:r>
            </w:hyperlink>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300" w:type="dxa"/>
            <w:vAlign w:val="bottom"/>
            <w:tcBorders>
              <w:top w:val="single" w:sz="8" w:color="0000FF"/>
            </w:tcBorders>
            <w:gridSpan w:val="31"/>
          </w:tcPr>
          <w:p>
            <w:pPr>
              <w:spacing w:after="0" w:line="150"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PNC Bank, National Association, as the administrative agent</w:t>
              </w:r>
              <w:r>
                <w:rPr>
                  <w:rFonts w:ascii="Times New Roman" w:cs="Times New Roman" w:eastAsia="Times New Roman" w:hAnsi="Times New Roman"/>
                  <w:sz w:val="17"/>
                  <w:szCs w:val="17"/>
                  <w:color w:val="000000"/>
                </w:rPr>
                <w:t>.</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540" w:type="dxa"/>
            <w:vAlign w:val="bottom"/>
            <w:gridSpan w:val="2"/>
          </w:tcPr>
          <w:p>
            <w:pPr>
              <w:jc w:val="center"/>
              <w:ind w:left="157"/>
              <w:spacing w:after="0"/>
              <w:rPr>
                <w:sz w:val="20"/>
                <w:szCs w:val="20"/>
                <w:color w:val="auto"/>
              </w:rPr>
            </w:pPr>
            <w:r>
              <w:rPr>
                <w:rFonts w:ascii="Times New Roman" w:cs="Times New Roman" w:eastAsia="Times New Roman" w:hAnsi="Times New Roman"/>
                <w:sz w:val="17"/>
                <w:szCs w:val="17"/>
                <w:color w:val="auto"/>
              </w:rPr>
              <w:t>19.1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6"/>
              </w:rPr>
              <w:t>Insider Trading Compliance Policy</w:t>
            </w:r>
          </w:p>
        </w:tc>
        <w:tc>
          <w:tcPr>
            <w:tcW w:w="1720" w:type="dxa"/>
            <w:vAlign w:val="bottom"/>
            <w:tcBorders>
              <w:top w:val="single" w:sz="8" w:color="0000FF"/>
            </w:tcBorders>
            <w:gridSpan w:val="8"/>
          </w:tcPr>
          <w:p>
            <w:pPr>
              <w:spacing w:after="0"/>
              <w:rPr>
                <w:sz w:val="17"/>
                <w:szCs w:val="17"/>
                <w:color w:val="auto"/>
              </w:rPr>
            </w:pPr>
          </w:p>
        </w:tc>
        <w:tc>
          <w:tcPr>
            <w:tcW w:w="2340" w:type="dxa"/>
            <w:vAlign w:val="bottom"/>
            <w:gridSpan w:val="22"/>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31" w:lineRule="exact"/>
        <w:rPr>
          <w:sz w:val="20"/>
          <w:szCs w:val="20"/>
          <w:color w:val="auto"/>
        </w:rPr>
      </w:pPr>
    </w:p>
    <w:p>
      <w:pPr>
        <w:ind w:left="1280" w:hanging="493"/>
        <w:spacing w:after="0"/>
        <w:tabs>
          <w:tab w:leader="none" w:pos="12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Subsidiaries</w:t>
      </w:r>
    </w:p>
    <w:p>
      <w:pPr>
        <w:spacing w:after="0" w:line="27" w:lineRule="exact"/>
        <w:rPr>
          <w:sz w:val="20"/>
          <w:szCs w:val="20"/>
          <w:color w:val="auto"/>
        </w:rPr>
      </w:pPr>
    </w:p>
    <w:p>
      <w:pPr>
        <w:ind w:left="1280" w:hanging="493"/>
        <w:spacing w:after="0"/>
        <w:tabs>
          <w:tab w:leader="none" w:pos="12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Consent of Independent Registered Public Accounting Firm</w:t>
      </w:r>
    </w:p>
    <w:p>
      <w:pPr>
        <w:spacing w:after="0" w:line="27" w:lineRule="exact"/>
        <w:rPr>
          <w:sz w:val="20"/>
          <w:szCs w:val="20"/>
          <w:color w:val="auto"/>
        </w:rPr>
      </w:pPr>
    </w:p>
    <w:p>
      <w:pPr>
        <w:ind w:left="1280" w:right="3140" w:hanging="555"/>
        <w:spacing w:after="0" w:line="229" w:lineRule="auto"/>
        <w:tabs>
          <w:tab w:leader="none" w:pos="126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Rule 13a-14(a) of the Securities Exchange Act of 1934</w:t>
      </w:r>
    </w:p>
    <w:p>
      <w:pPr>
        <w:spacing w:after="0" w:line="7" w:lineRule="exact"/>
        <w:rPr>
          <w:sz w:val="20"/>
          <w:szCs w:val="20"/>
          <w:color w:val="auto"/>
        </w:rPr>
      </w:pPr>
    </w:p>
    <w:p>
      <w:pPr>
        <w:ind w:left="1280" w:right="3180" w:hanging="555"/>
        <w:spacing w:after="0" w:line="229" w:lineRule="auto"/>
        <w:tabs>
          <w:tab w:leader="none" w:pos="126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Rule 13a-14(a) of the Securities Exchange Act of 1934</w:t>
      </w:r>
    </w:p>
    <w:p>
      <w:pPr>
        <w:spacing w:after="0" w:line="7" w:lineRule="exact"/>
        <w:rPr>
          <w:sz w:val="20"/>
          <w:szCs w:val="20"/>
          <w:color w:val="auto"/>
        </w:rPr>
      </w:pPr>
    </w:p>
    <w:p>
      <w:pPr>
        <w:ind w:left="680"/>
        <w:spacing w:after="0"/>
        <w:tabs>
          <w:tab w:leader="none" w:pos="126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6"/>
          <w:szCs w:val="16"/>
          <w:u w:val="single" w:color="auto"/>
          <w:color w:val="0000FF"/>
        </w:rPr>
        <w:t>Certification of the Chief Executive Officer, pursuant to 18 U.S.C. Section 1350</w:t>
      </w:r>
    </w:p>
    <w:p>
      <w:pPr>
        <w:spacing w:after="0" w:line="27" w:lineRule="exact"/>
        <w:rPr>
          <w:sz w:val="20"/>
          <w:szCs w:val="20"/>
          <w:color w:val="auto"/>
        </w:rPr>
      </w:pPr>
    </w:p>
    <w:p>
      <w:pPr>
        <w:ind w:left="680"/>
        <w:spacing w:after="0"/>
        <w:tabs>
          <w:tab w:leader="none" w:pos="126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6"/>
          <w:szCs w:val="16"/>
          <w:u w:val="single" w:color="auto"/>
          <w:color w:val="0000FF"/>
        </w:rPr>
        <w:t>Certification of the Chief Financial Officer, pursuant to 18 U.S.C. Section 1350</w:t>
      </w:r>
    </w:p>
    <w:p>
      <w:pPr>
        <w:spacing w:after="0" w:line="27" w:lineRule="exact"/>
        <w:rPr>
          <w:sz w:val="20"/>
          <w:szCs w:val="20"/>
          <w:color w:val="auto"/>
        </w:rPr>
      </w:pPr>
    </w:p>
    <w:p>
      <w:pPr>
        <w:ind w:left="1280" w:right="2780" w:hanging="534"/>
        <w:spacing w:after="0" w:line="223" w:lineRule="auto"/>
        <w:tabs>
          <w:tab w:leader="none" w:pos="12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the Company's Annual Report on Form 10-K for the year ended October 31, 2024, formatted in Inline XBRL (Extensible Business Reporting Language):(i) Consolidated Statements of Income for the years ended October 31, 2024, 2023 and 2022 (ii) Consolidated Statements of Comprehensive Income for the years ended October 31, 2024, 2023 and 2022 (iii) Consolidated Balance Sheets at October 31, 2024 and 2023, (iv) Consolidated Statements of Stockholders' Equity for the years ended October 31, 2024, 2023 and 2022 (v) Consolidated Statements of Cash Flows for the years ended October 31, 2024, 2023 and 2022, (vi) related notes to consolidated financial statements</w:t>
      </w:r>
    </w:p>
    <w:p>
      <w:pPr>
        <w:spacing w:after="0" w:line="9" w:lineRule="exact"/>
        <w:rPr>
          <w:sz w:val="20"/>
          <w:szCs w:val="20"/>
          <w:color w:val="auto"/>
        </w:rPr>
      </w:pPr>
    </w:p>
    <w:p>
      <w:pPr>
        <w:ind w:left="1280" w:hanging="534"/>
        <w:spacing w:after="0"/>
        <w:tabs>
          <w:tab w:leader="none" w:pos="128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50" w:lineRule="exact"/>
        <w:rPr>
          <w:rFonts w:ascii="Times New Roman" w:cs="Times New Roman" w:eastAsia="Times New Roman" w:hAnsi="Times New Roman"/>
          <w:sz w:val="17"/>
          <w:szCs w:val="17"/>
          <w:color w:val="auto"/>
        </w:rPr>
      </w:pPr>
    </w:p>
    <w:p>
      <w:pPr>
        <w:ind w:firstLine="5"/>
        <w:spacing w:after="0" w:line="282" w:lineRule="auto"/>
        <w:tabs>
          <w:tab w:leader="none" w:pos="34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received confidential treatment from the Securities and Exchange Commission with respect to certain portions of this exhibit. Omitted portions have been filed separately with the Commission.</w:t>
      </w:r>
    </w:p>
    <w:p>
      <w:pPr>
        <w:spacing w:after="0" w:line="10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Indicates management contract or compensatory plan.</w:t>
      </w: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00"/>
          </w:cols>
          <w:pgMar w:left="320" w:top="354" w:right="1279" w:bottom="1440" w:gutter="0" w:footer="0" w:header="0"/>
        </w:sectPr>
      </w:pPr>
    </w:p>
    <w:bookmarkStart w:id="94" w:name="page95"/>
    <w:bookmarkEnd w:id="94"/>
    <w:p>
      <w:pPr>
        <w:ind w:left="3596"/>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73" w:lineRule="exact"/>
        <w:rPr>
          <w:sz w:val="20"/>
          <w:szCs w:val="20"/>
          <w:color w:val="auto"/>
        </w:rPr>
      </w:pPr>
    </w:p>
    <w:p>
      <w:pPr>
        <w:ind w:left="356" w:hanging="356"/>
        <w:spacing w:after="0" w:line="277" w:lineRule="auto"/>
        <w:tabs>
          <w:tab w:leader="none" w:pos="12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304" w:lineRule="exact"/>
        <w:rPr>
          <w:sz w:val="20"/>
          <w:szCs w:val="20"/>
          <w:color w:val="auto"/>
        </w:rPr>
      </w:pPr>
    </w:p>
    <w:p>
      <w:pPr>
        <w:ind w:left="5496"/>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76835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56"/>
          </w:cols>
          <w:pgMar w:left="364" w:top="354" w:right="979" w:bottom="1440" w:gutter="0" w:footer="0" w:header="0"/>
        </w:sectPr>
      </w:pPr>
    </w:p>
    <w:bookmarkStart w:id="95" w:name="page96"/>
    <w:bookmarkEnd w:id="95"/>
    <w:p>
      <w:pPr>
        <w:jc w:val="right"/>
        <w:ind w:right="25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r>
        <w:rPr>
          <w:rFonts w:ascii="Times New Roman" w:cs="Times New Roman" w:eastAsia="Times New Roman" w:hAnsi="Times New Roman"/>
          <w:sz w:val="17"/>
          <w:szCs w:val="17"/>
          <w:b w:val="1"/>
          <w:bCs w:val="1"/>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54"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December 5, 2025.</w:t>
      </w:r>
    </w:p>
    <w:p>
      <w:pPr>
        <w:spacing w:after="0" w:line="1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1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u w:val="single" w:color="auto"/>
          <w:color w:val="auto"/>
        </w:rPr>
        <w:t>By: /s/ Albert G. White, III</w:t>
      </w:r>
    </w:p>
    <w:p>
      <w:pPr>
        <w:spacing w:after="0" w:line="1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Albert G. White, III</w:t>
      </w:r>
    </w:p>
    <w:p>
      <w:pPr>
        <w:spacing w:after="0" w:line="1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President &amp; Chief Executive Officer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Albert G. White, III, Brian G. Andrews, and Daniel G. McBride,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by the following persons on behalf of the registrant and in the capacities indicated on the dates set forth opposite their respective names.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16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5"/>
              </w:rPr>
              <w:t>Capacity</w:t>
            </w:r>
          </w:p>
        </w:tc>
        <w:tc>
          <w:tcPr>
            <w:tcW w:w="2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/s/ ALBERT G. WHITE, III</w:t>
            </w:r>
          </w:p>
        </w:tc>
        <w:tc>
          <w:tcPr>
            <w:tcW w:w="520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7"/>
                <w:szCs w:val="17"/>
                <w:color w:val="auto"/>
              </w:rPr>
              <w:t>President, Chief Executive Officer and Director (Principal Executive</w:t>
            </w:r>
          </w:p>
        </w:tc>
        <w:tc>
          <w:tcPr>
            <w:tcW w:w="2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gridSpan w:val="3"/>
            <w:vMerge w:val="continue"/>
          </w:tcPr>
          <w:p>
            <w:pPr>
              <w:spacing w:after="0"/>
              <w:rPr>
                <w:sz w:val="18"/>
                <w:szCs w:val="18"/>
                <w:color w:val="auto"/>
              </w:rPr>
            </w:pP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Officer)</w:t>
            </w:r>
          </w:p>
        </w:tc>
        <w:tc>
          <w:tcPr>
            <w:tcW w:w="2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(Albert G. White, III)</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ROBERT S. WEISS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Chairman of the Board</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(Robert S. Weiss)</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BRIAN G. ANDREWS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(Brian G. Andrews)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5"/>
              </w:rPr>
              <w:t>/s/ AGOSTINO RICUPATI</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Senior Vice President and Chief Accounting Officer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(Agostino Ricupati)</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6"/>
              </w:rPr>
              <w:t>/s/ BARBARA CARBONE</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(Barbara Carbone)</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5"/>
              </w:rPr>
              <w:t>/s/ COLLEEN E. JAY</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(Colleen E. Jay)</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CYNTHIA L. LUCCHESE</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(Cynthia L. Lucchese)</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6"/>
              </w:rPr>
              <w:t>/s/ LAWRENCE KURZIUS</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(Lawrence Kurzius)</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6"/>
              </w:rPr>
              <w:t>/s/ MARIA RIVAS M.D.</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1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(Maria Rivas M.D.)</w:t>
            </w: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TERESA S. MADDEN</w:t>
            </w:r>
          </w:p>
        </w:tc>
        <w:tc>
          <w:tcPr>
            <w:tcW w:w="5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7"/>
              </w:rPr>
              <w:t>December 5, 2025</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(Teresa S. Madden)</w:t>
            </w:r>
          </w:p>
        </w:tc>
        <w:tc>
          <w:tcPr>
            <w:tcW w:w="2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0"/>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97</w:t>
            </w: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97" w:name="page98"/>
    <w:bookmarkEnd w:id="97"/>
    <w:p>
      <w:pPr>
        <w:jc w:val="center"/>
        <w:ind w:right="-79"/>
        <w:spacing w:after="0"/>
        <w:rPr>
          <w:sz w:val="20"/>
          <w:szCs w:val="20"/>
          <w:color w:val="auto"/>
        </w:rPr>
      </w:pPr>
      <w:r>
        <w:rPr>
          <w:rFonts w:ascii="Times New Roman" w:cs="Times New Roman" w:eastAsia="Times New Roman" w:hAnsi="Times New Roman"/>
          <w:sz w:val="16"/>
          <w:szCs w:val="16"/>
          <w:color w:val="auto"/>
        </w:rPr>
        <w:t>THE COOPER COMPANIES, INC. AND SUBSIDIARIES</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ectPr>
          <w:pgSz w:w="11900" w:h="16838" w:orient="portrait"/>
          <w:cols w:equalWidth="0" w:num="1">
            <w:col w:w="11100"/>
          </w:cols>
          <w:pgMar w:left="360" w:top="354" w:right="439" w:bottom="1440" w:gutter="0" w:footer="0" w:header="0"/>
        </w:sect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BOARD OF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Weiss, Robert S.</w:t>
      </w:r>
    </w:p>
    <w:p>
      <w:pPr>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Carbone, Barbara</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Jay, Colleen E.</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Kurzius, Lawrence</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Lucchese, Cynthia L.</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Madden, Teresa S.</w:t>
      </w: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Rivas, Maria, M.D.</w:t>
      </w:r>
    </w:p>
    <w:p>
      <w:pPr>
        <w:spacing w:after="0" w:line="209" w:lineRule="auto"/>
        <w:rPr>
          <w:sz w:val="20"/>
          <w:szCs w:val="20"/>
          <w:color w:val="auto"/>
        </w:rPr>
      </w:pPr>
      <w:r>
        <w:rPr>
          <w:rFonts w:ascii="Times New Roman" w:cs="Times New Roman" w:eastAsia="Times New Roman" w:hAnsi="Times New Roman"/>
          <w:sz w:val="17"/>
          <w:szCs w:val="17"/>
          <w:color w:val="auto"/>
        </w:rPr>
        <w:t>Global Chief Medical Officer for Specialty and</w:t>
      </w:r>
    </w:p>
    <w:p>
      <w:pPr>
        <w:spacing w:after="0" w:line="218" w:lineRule="auto"/>
        <w:rPr>
          <w:sz w:val="20"/>
          <w:szCs w:val="20"/>
          <w:color w:val="auto"/>
        </w:rPr>
      </w:pPr>
      <w:r>
        <w:rPr>
          <w:rFonts w:ascii="Times New Roman" w:cs="Times New Roman" w:eastAsia="Times New Roman" w:hAnsi="Times New Roman"/>
          <w:sz w:val="17"/>
          <w:szCs w:val="17"/>
          <w:color w:val="auto"/>
        </w:rPr>
        <w:t>Primary Care and Head, Evidence Generation, Pfizer,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White, Albert G., III</w:t>
      </w:r>
    </w:p>
    <w:p>
      <w:pPr>
        <w:spacing w:after="0"/>
        <w:rPr>
          <w:sz w:val="20"/>
          <w:szCs w:val="20"/>
          <w:color w:val="auto"/>
        </w:rPr>
      </w:pPr>
      <w:r>
        <w:rPr>
          <w:rFonts w:ascii="Times New Roman" w:cs="Times New Roman" w:eastAsia="Times New Roman" w:hAnsi="Times New Roman"/>
          <w:sz w:val="17"/>
          <w:szCs w:val="17"/>
          <w:color w:val="auto"/>
        </w:rPr>
        <w:t>President &amp; Chief Executive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COMMITTEES OF THE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93" w:lineRule="auto"/>
        <w:rPr>
          <w:sz w:val="20"/>
          <w:szCs w:val="20"/>
          <w:color w:val="auto"/>
        </w:rPr>
      </w:pPr>
      <w:r>
        <w:rPr>
          <w:rFonts w:ascii="Times New Roman" w:cs="Times New Roman" w:eastAsia="Times New Roman" w:hAnsi="Times New Roman"/>
          <w:sz w:val="17"/>
          <w:szCs w:val="17"/>
          <w:color w:val="auto"/>
        </w:rPr>
        <w:t>Madden, Teresa S. (Chairman)</w:t>
      </w:r>
    </w:p>
    <w:p>
      <w:pPr>
        <w:spacing w:after="0" w:line="209" w:lineRule="auto"/>
        <w:rPr>
          <w:sz w:val="20"/>
          <w:szCs w:val="20"/>
          <w:color w:val="auto"/>
        </w:rPr>
      </w:pPr>
      <w:r>
        <w:rPr>
          <w:rFonts w:ascii="Times New Roman" w:cs="Times New Roman" w:eastAsia="Times New Roman" w:hAnsi="Times New Roman"/>
          <w:sz w:val="17"/>
          <w:szCs w:val="17"/>
          <w:color w:val="auto"/>
        </w:rPr>
        <w:t>Carbone, Barbara</w:t>
      </w:r>
    </w:p>
    <w:p>
      <w:pPr>
        <w:spacing w:after="0"/>
        <w:rPr>
          <w:sz w:val="20"/>
          <w:szCs w:val="20"/>
          <w:color w:val="auto"/>
        </w:rPr>
      </w:pPr>
      <w:r>
        <w:rPr>
          <w:rFonts w:ascii="Times New Roman" w:cs="Times New Roman" w:eastAsia="Times New Roman" w:hAnsi="Times New Roman"/>
          <w:sz w:val="17"/>
          <w:szCs w:val="17"/>
          <w:color w:val="auto"/>
        </w:rPr>
        <w:t>Rivas, Maria, M.D.</w:t>
      </w:r>
    </w:p>
    <w:p>
      <w:pPr>
        <w:spacing w:after="0" w:line="200" w:lineRule="exact"/>
        <w:rPr>
          <w:sz w:val="20"/>
          <w:szCs w:val="20"/>
          <w:color w:val="auto"/>
        </w:rPr>
      </w:pPr>
    </w:p>
    <w:p>
      <w:pPr>
        <w:spacing w:after="0" w:line="225"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Corporate Governance and Nominating Committee </w:t>
      </w:r>
      <w:r>
        <w:rPr>
          <w:rFonts w:ascii="Times New Roman" w:cs="Times New Roman" w:eastAsia="Times New Roman" w:hAnsi="Times New Roman"/>
          <w:sz w:val="17"/>
          <w:szCs w:val="17"/>
          <w:color w:val="auto"/>
        </w:rPr>
        <w:t>Lucchese, Cynthia L. (Chairman)</w:t>
      </w:r>
    </w:p>
    <w:p>
      <w:pPr>
        <w:spacing w:after="0" w:line="210" w:lineRule="auto"/>
        <w:rPr>
          <w:sz w:val="20"/>
          <w:szCs w:val="20"/>
          <w:color w:val="auto"/>
        </w:rPr>
      </w:pPr>
      <w:r>
        <w:rPr>
          <w:rFonts w:ascii="Times New Roman" w:cs="Times New Roman" w:eastAsia="Times New Roman" w:hAnsi="Times New Roman"/>
          <w:sz w:val="17"/>
          <w:szCs w:val="17"/>
          <w:color w:val="auto"/>
        </w:rPr>
        <w:t>Kurzius, Lawrence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Rivas, Maria, M.D.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 and Compensation Committee</w:t>
      </w:r>
    </w:p>
    <w:p>
      <w:pPr>
        <w:spacing w:after="0" w:line="193" w:lineRule="auto"/>
        <w:rPr>
          <w:sz w:val="20"/>
          <w:szCs w:val="20"/>
          <w:color w:val="auto"/>
        </w:rPr>
      </w:pPr>
      <w:r>
        <w:rPr>
          <w:rFonts w:ascii="Times New Roman" w:cs="Times New Roman" w:eastAsia="Times New Roman" w:hAnsi="Times New Roman"/>
          <w:sz w:val="17"/>
          <w:szCs w:val="17"/>
          <w:color w:val="auto"/>
        </w:rPr>
        <w:t>Jay, Colleen E. (Chairman)</w:t>
      </w:r>
    </w:p>
    <w:p>
      <w:pPr>
        <w:spacing w:after="0" w:line="209" w:lineRule="auto"/>
        <w:rPr>
          <w:sz w:val="20"/>
          <w:szCs w:val="20"/>
          <w:color w:val="auto"/>
        </w:rPr>
      </w:pPr>
      <w:r>
        <w:rPr>
          <w:rFonts w:ascii="Times New Roman" w:cs="Times New Roman" w:eastAsia="Times New Roman" w:hAnsi="Times New Roman"/>
          <w:sz w:val="17"/>
          <w:szCs w:val="17"/>
          <w:color w:val="auto"/>
        </w:rPr>
        <w:t>Kurzius, Lawrence</w:t>
      </w:r>
    </w:p>
    <w:p>
      <w:pPr>
        <w:spacing w:after="0"/>
        <w:rPr>
          <w:sz w:val="20"/>
          <w:szCs w:val="20"/>
          <w:color w:val="auto"/>
        </w:rPr>
      </w:pPr>
      <w:r>
        <w:rPr>
          <w:rFonts w:ascii="Times New Roman" w:cs="Times New Roman" w:eastAsia="Times New Roman" w:hAnsi="Times New Roman"/>
          <w:sz w:val="17"/>
          <w:szCs w:val="17"/>
          <w:color w:val="auto"/>
        </w:rPr>
        <w:t>Lucchese, Cynthia L</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EXECUTIVE OFFICERS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White, Albert G., III</w:t>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McBride, Daniel G.</w:t>
      </w:r>
    </w:p>
    <w:p>
      <w:pPr>
        <w:ind w:right="200"/>
        <w:spacing w:after="0"/>
        <w:rPr>
          <w:sz w:val="20"/>
          <w:szCs w:val="20"/>
          <w:color w:val="auto"/>
        </w:rPr>
      </w:pPr>
      <w:r>
        <w:rPr>
          <w:rFonts w:ascii="Times New Roman" w:cs="Times New Roman" w:eastAsia="Times New Roman" w:hAnsi="Times New Roman"/>
          <w:sz w:val="16"/>
          <w:szCs w:val="16"/>
          <w:color w:val="auto"/>
        </w:rPr>
        <w:t>Executive Vice President, Chief Operating Officer, General Counsel and Corporate Secretary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Andrews, Brian G.</w:t>
      </w:r>
    </w:p>
    <w:p>
      <w:pPr>
        <w:spacing w:after="0" w:line="226" w:lineRule="auto"/>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Ricupati, Agostino</w:t>
      </w:r>
    </w:p>
    <w:p>
      <w:pPr>
        <w:spacing w:after="0"/>
        <w:rPr>
          <w:sz w:val="20"/>
          <w:szCs w:val="20"/>
          <w:color w:val="auto"/>
        </w:rPr>
      </w:pPr>
      <w:r>
        <w:rPr>
          <w:rFonts w:ascii="Times New Roman" w:cs="Times New Roman" w:eastAsia="Times New Roman" w:hAnsi="Times New Roman"/>
          <w:sz w:val="16"/>
          <w:szCs w:val="16"/>
          <w:color w:val="auto"/>
        </w:rPr>
        <w:t>Senior Vice President and Chief Accounting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Sheffield, Holly R.</w:t>
      </w:r>
    </w:p>
    <w:p>
      <w:pPr>
        <w:spacing w:after="0"/>
        <w:rPr>
          <w:sz w:val="20"/>
          <w:szCs w:val="20"/>
          <w:color w:val="auto"/>
        </w:rPr>
      </w:pPr>
      <w:r>
        <w:rPr>
          <w:rFonts w:ascii="Times New Roman" w:cs="Times New Roman" w:eastAsia="Times New Roman" w:hAnsi="Times New Roman"/>
          <w:sz w:val="17"/>
          <w:szCs w:val="17"/>
          <w:color w:val="auto"/>
        </w:rPr>
        <w:t>President of CooperSurgical, Inc.</w:t>
      </w:r>
    </w:p>
    <w:p>
      <w:pPr>
        <w:spacing w:after="0" w:line="176" w:lineRule="exact"/>
        <w:rPr>
          <w:sz w:val="20"/>
          <w:szCs w:val="20"/>
          <w:color w:val="auto"/>
        </w:rPr>
      </w:pPr>
    </w:p>
    <w:p>
      <w:pPr>
        <w:ind w:right="148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Warner, Gerard H., III </w:t>
      </w:r>
      <w:r>
        <w:rPr>
          <w:rFonts w:ascii="Times New Roman" w:cs="Times New Roman" w:eastAsia="Times New Roman" w:hAnsi="Times New Roman"/>
          <w:sz w:val="16"/>
          <w:szCs w:val="16"/>
          <w:color w:val="auto"/>
        </w:rPr>
        <w:t>President of CooperVision,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PRINCIPAL SUBSIDIARIES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CooperVision, Inc.</w:t>
      </w:r>
    </w:p>
    <w:p>
      <w:pPr>
        <w:spacing w:after="0" w:line="209" w:lineRule="auto"/>
        <w:rPr>
          <w:sz w:val="20"/>
          <w:szCs w:val="20"/>
          <w:color w:val="auto"/>
        </w:rPr>
      </w:pPr>
      <w:r>
        <w:rPr>
          <w:rFonts w:ascii="Times New Roman" w:cs="Times New Roman" w:eastAsia="Times New Roman" w:hAnsi="Times New Roman"/>
          <w:sz w:val="17"/>
          <w:szCs w:val="17"/>
          <w:color w:val="auto"/>
        </w:rPr>
        <w:t>6101 Bollinger Canyon Road</w:t>
      </w:r>
    </w:p>
    <w:p>
      <w:pPr>
        <w:spacing w:after="0" w:line="193" w:lineRule="auto"/>
        <w:rPr>
          <w:sz w:val="20"/>
          <w:szCs w:val="20"/>
          <w:color w:val="auto"/>
        </w:rPr>
      </w:pPr>
      <w:r>
        <w:rPr>
          <w:rFonts w:ascii="Times New Roman" w:cs="Times New Roman" w:eastAsia="Times New Roman" w:hAnsi="Times New Roman"/>
          <w:sz w:val="17"/>
          <w:szCs w:val="17"/>
          <w:color w:val="auto"/>
        </w:rPr>
        <w:t>Suite 500</w:t>
      </w:r>
    </w:p>
    <w:p>
      <w:pPr>
        <w:spacing w:after="0" w:line="209" w:lineRule="auto"/>
        <w:rPr>
          <w:sz w:val="20"/>
          <w:szCs w:val="20"/>
          <w:color w:val="auto"/>
        </w:rPr>
      </w:pPr>
      <w:r>
        <w:rPr>
          <w:rFonts w:ascii="Times New Roman" w:cs="Times New Roman" w:eastAsia="Times New Roman" w:hAnsi="Times New Roman"/>
          <w:sz w:val="17"/>
          <w:szCs w:val="17"/>
          <w:color w:val="auto"/>
        </w:rPr>
        <w:t>San Ramon, CA 94583</w:t>
      </w:r>
    </w:p>
    <w:p>
      <w:pPr>
        <w:spacing w:after="0" w:line="210" w:lineRule="auto"/>
        <w:rPr>
          <w:sz w:val="20"/>
          <w:szCs w:val="20"/>
          <w:color w:val="auto"/>
        </w:rPr>
      </w:pPr>
      <w:r>
        <w:rPr>
          <w:rFonts w:ascii="Times New Roman" w:cs="Times New Roman" w:eastAsia="Times New Roman" w:hAnsi="Times New Roman"/>
          <w:sz w:val="17"/>
          <w:szCs w:val="17"/>
          <w:color w:val="auto"/>
        </w:rPr>
        <w:t>925-460-3600</w:t>
      </w:r>
    </w:p>
    <w:p>
      <w:pPr>
        <w:spacing w:after="0"/>
        <w:rPr>
          <w:sz w:val="20"/>
          <w:szCs w:val="20"/>
          <w:color w:val="auto"/>
        </w:rPr>
      </w:pPr>
      <w:r>
        <w:rPr>
          <w:rFonts w:ascii="Times New Roman" w:cs="Times New Roman" w:eastAsia="Times New Roman" w:hAnsi="Times New Roman"/>
          <w:sz w:val="17"/>
          <w:szCs w:val="17"/>
          <w:color w:val="auto"/>
        </w:rPr>
        <w:t>www.coopervision.com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CooperSurgical, Inc.</w:t>
      </w:r>
    </w:p>
    <w:p>
      <w:pPr>
        <w:spacing w:after="0" w:line="209" w:lineRule="auto"/>
        <w:rPr>
          <w:sz w:val="20"/>
          <w:szCs w:val="20"/>
          <w:color w:val="auto"/>
        </w:rPr>
      </w:pPr>
      <w:r>
        <w:rPr>
          <w:rFonts w:ascii="Times New Roman" w:cs="Times New Roman" w:eastAsia="Times New Roman" w:hAnsi="Times New Roman"/>
          <w:sz w:val="17"/>
          <w:szCs w:val="17"/>
          <w:color w:val="auto"/>
        </w:rPr>
        <w:t>75 Corporate Drive</w:t>
      </w:r>
    </w:p>
    <w:p>
      <w:pPr>
        <w:spacing w:after="0" w:line="193" w:lineRule="auto"/>
        <w:rPr>
          <w:sz w:val="20"/>
          <w:szCs w:val="20"/>
          <w:color w:val="auto"/>
        </w:rPr>
      </w:pPr>
      <w:r>
        <w:rPr>
          <w:rFonts w:ascii="Times New Roman" w:cs="Times New Roman" w:eastAsia="Times New Roman" w:hAnsi="Times New Roman"/>
          <w:sz w:val="17"/>
          <w:szCs w:val="17"/>
          <w:color w:val="auto"/>
        </w:rPr>
        <w:t>Trumbull, CT 06611</w:t>
      </w:r>
    </w:p>
    <w:p>
      <w:pPr>
        <w:spacing w:after="0" w:line="209" w:lineRule="auto"/>
        <w:rPr>
          <w:sz w:val="20"/>
          <w:szCs w:val="20"/>
          <w:color w:val="auto"/>
        </w:rPr>
      </w:pPr>
      <w:r>
        <w:rPr>
          <w:rFonts w:ascii="Times New Roman" w:cs="Times New Roman" w:eastAsia="Times New Roman" w:hAnsi="Times New Roman"/>
          <w:sz w:val="17"/>
          <w:szCs w:val="17"/>
          <w:color w:val="auto"/>
        </w:rPr>
        <w:t>203-601-5200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www.coopersurgical.com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CORPORATE OFFICES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Cooper Companies, Inc.</w:t>
      </w:r>
    </w:p>
    <w:p>
      <w:pPr>
        <w:spacing w:after="0" w:line="209" w:lineRule="auto"/>
        <w:rPr>
          <w:sz w:val="20"/>
          <w:szCs w:val="20"/>
          <w:color w:val="auto"/>
        </w:rPr>
      </w:pPr>
      <w:r>
        <w:rPr>
          <w:rFonts w:ascii="Times New Roman" w:cs="Times New Roman" w:eastAsia="Times New Roman" w:hAnsi="Times New Roman"/>
          <w:sz w:val="17"/>
          <w:szCs w:val="17"/>
          <w:color w:val="auto"/>
        </w:rPr>
        <w:t>6101 Bollinger Canyon Road</w:t>
      </w:r>
    </w:p>
    <w:p>
      <w:pPr>
        <w:spacing w:after="0" w:line="193" w:lineRule="auto"/>
        <w:rPr>
          <w:sz w:val="20"/>
          <w:szCs w:val="20"/>
          <w:color w:val="auto"/>
        </w:rPr>
      </w:pPr>
      <w:r>
        <w:rPr>
          <w:rFonts w:ascii="Times New Roman" w:cs="Times New Roman" w:eastAsia="Times New Roman" w:hAnsi="Times New Roman"/>
          <w:sz w:val="17"/>
          <w:szCs w:val="17"/>
          <w:color w:val="auto"/>
        </w:rPr>
        <w:t>Suite 500</w:t>
      </w:r>
    </w:p>
    <w:p>
      <w:pPr>
        <w:spacing w:after="0" w:line="209" w:lineRule="auto"/>
        <w:rPr>
          <w:sz w:val="20"/>
          <w:szCs w:val="20"/>
          <w:color w:val="auto"/>
        </w:rPr>
      </w:pPr>
      <w:r>
        <w:rPr>
          <w:rFonts w:ascii="Times New Roman" w:cs="Times New Roman" w:eastAsia="Times New Roman" w:hAnsi="Times New Roman"/>
          <w:sz w:val="17"/>
          <w:szCs w:val="17"/>
          <w:color w:val="auto"/>
        </w:rPr>
        <w:t>San Ramon, CA 94583</w:t>
      </w:r>
    </w:p>
    <w:p>
      <w:pPr>
        <w:spacing w:after="0" w:line="210" w:lineRule="auto"/>
        <w:rPr>
          <w:sz w:val="20"/>
          <w:szCs w:val="20"/>
          <w:color w:val="auto"/>
        </w:rPr>
      </w:pPr>
      <w:r>
        <w:rPr>
          <w:rFonts w:ascii="Times New Roman" w:cs="Times New Roman" w:eastAsia="Times New Roman" w:hAnsi="Times New Roman"/>
          <w:sz w:val="17"/>
          <w:szCs w:val="17"/>
          <w:color w:val="auto"/>
        </w:rPr>
        <w:t>925-460-3600</w:t>
      </w:r>
    </w:p>
    <w:p>
      <w:pPr>
        <w:spacing w:after="0"/>
        <w:rPr>
          <w:sz w:val="20"/>
          <w:szCs w:val="20"/>
          <w:color w:val="auto"/>
        </w:rPr>
      </w:pPr>
      <w:r>
        <w:rPr>
          <w:rFonts w:ascii="Times New Roman" w:cs="Times New Roman" w:eastAsia="Times New Roman" w:hAnsi="Times New Roman"/>
          <w:sz w:val="17"/>
          <w:szCs w:val="17"/>
          <w:color w:val="auto"/>
        </w:rPr>
        <w:t>www.coopercos.com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INVESTOR INFORMATION</w:t>
      </w:r>
    </w:p>
    <w:p>
      <w:pPr>
        <w:spacing w:after="0" w:line="21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6"/>
          <w:szCs w:val="16"/>
          <w:color w:val="auto"/>
        </w:rPr>
        <w:t>Recent news releases, the annual report on Securities and Exchange Commission Form 10-K, information</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6"/>
          <w:szCs w:val="16"/>
          <w:color w:val="auto"/>
        </w:rPr>
        <w:t>about the Company's corporate governance program, recent investor presentations, replays of quarterly</w:t>
      </w:r>
    </w:p>
    <w:p>
      <w:pPr>
        <w:spacing w:after="0" w:line="1"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6"/>
          <w:szCs w:val="16"/>
          <w:color w:val="auto"/>
        </w:rPr>
        <w:t>conference calls and historical stock quotes are available on our website at www.coopercos.com.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INVESTOR RELATIONS CONTACT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Kim Duncan</w:t>
      </w:r>
    </w:p>
    <w:p>
      <w:pPr>
        <w:ind w:right="660"/>
        <w:spacing w:after="0" w:line="201" w:lineRule="auto"/>
        <w:rPr>
          <w:sz w:val="20"/>
          <w:szCs w:val="20"/>
          <w:color w:val="auto"/>
        </w:rPr>
      </w:pPr>
      <w:r>
        <w:rPr>
          <w:rFonts w:ascii="Times New Roman" w:cs="Times New Roman" w:eastAsia="Times New Roman" w:hAnsi="Times New Roman"/>
          <w:sz w:val="17"/>
          <w:szCs w:val="17"/>
          <w:color w:val="auto"/>
        </w:rPr>
        <w:t>Vice President, Investor Relations and Risk Management</w:t>
      </w:r>
    </w:p>
    <w:p>
      <w:pPr>
        <w:spacing w:after="0" w:line="209" w:lineRule="auto"/>
        <w:rPr>
          <w:sz w:val="20"/>
          <w:szCs w:val="20"/>
          <w:color w:val="auto"/>
        </w:rPr>
      </w:pPr>
      <w:r>
        <w:rPr>
          <w:rFonts w:ascii="Times New Roman" w:cs="Times New Roman" w:eastAsia="Times New Roman" w:hAnsi="Times New Roman"/>
          <w:sz w:val="17"/>
          <w:szCs w:val="17"/>
          <w:color w:val="auto"/>
        </w:rPr>
        <w:t>6101 Bollinger Canyon Road</w:t>
      </w:r>
    </w:p>
    <w:p>
      <w:pPr>
        <w:spacing w:after="0" w:line="193" w:lineRule="auto"/>
        <w:rPr>
          <w:sz w:val="20"/>
          <w:szCs w:val="20"/>
          <w:color w:val="auto"/>
        </w:rPr>
      </w:pPr>
      <w:r>
        <w:rPr>
          <w:rFonts w:ascii="Times New Roman" w:cs="Times New Roman" w:eastAsia="Times New Roman" w:hAnsi="Times New Roman"/>
          <w:sz w:val="17"/>
          <w:szCs w:val="17"/>
          <w:color w:val="auto"/>
        </w:rPr>
        <w:t>Suite 500</w:t>
      </w:r>
    </w:p>
    <w:p>
      <w:pPr>
        <w:spacing w:after="0" w:line="210" w:lineRule="auto"/>
        <w:rPr>
          <w:sz w:val="20"/>
          <w:szCs w:val="20"/>
          <w:color w:val="auto"/>
        </w:rPr>
      </w:pPr>
      <w:r>
        <w:rPr>
          <w:rFonts w:ascii="Times New Roman" w:cs="Times New Roman" w:eastAsia="Times New Roman" w:hAnsi="Times New Roman"/>
          <w:sz w:val="17"/>
          <w:szCs w:val="17"/>
          <w:color w:val="auto"/>
        </w:rPr>
        <w:t>San Ramon, CA 94583</w:t>
      </w:r>
    </w:p>
    <w:p>
      <w:pPr>
        <w:spacing w:after="0" w:line="209" w:lineRule="auto"/>
        <w:rPr>
          <w:sz w:val="20"/>
          <w:szCs w:val="20"/>
          <w:color w:val="auto"/>
        </w:rPr>
      </w:pPr>
      <w:r>
        <w:rPr>
          <w:rFonts w:ascii="Times New Roman" w:cs="Times New Roman" w:eastAsia="Times New Roman" w:hAnsi="Times New Roman"/>
          <w:sz w:val="17"/>
          <w:szCs w:val="17"/>
          <w:color w:val="auto"/>
        </w:rPr>
        <w:t>Voice: 925-460-3663</w:t>
      </w:r>
    </w:p>
    <w:p>
      <w:pPr>
        <w:spacing w:after="0"/>
        <w:rPr>
          <w:sz w:val="20"/>
          <w:szCs w:val="20"/>
          <w:color w:val="auto"/>
        </w:rPr>
      </w:pPr>
      <w:r>
        <w:rPr>
          <w:rFonts w:ascii="Times New Roman" w:cs="Times New Roman" w:eastAsia="Times New Roman" w:hAnsi="Times New Roman"/>
          <w:sz w:val="17"/>
          <w:szCs w:val="17"/>
          <w:color w:val="auto"/>
        </w:rPr>
        <w:t>E-mail: ir@cooperco.com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ANNUAL MEETING</w:t>
      </w:r>
    </w:p>
    <w:p>
      <w:pPr>
        <w:spacing w:after="0" w:line="215"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16"/>
          <w:szCs w:val="16"/>
          <w:color w:val="auto"/>
        </w:rPr>
        <w:t>The Cooper Companies will hold its Annual Stockholders' Meeting in April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TRANSFER AGENT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Equiniti Trust LLC</w:t>
      </w:r>
    </w:p>
    <w:p>
      <w:pPr>
        <w:spacing w:after="0" w:line="193" w:lineRule="auto"/>
        <w:rPr>
          <w:sz w:val="20"/>
          <w:szCs w:val="20"/>
          <w:color w:val="auto"/>
        </w:rPr>
      </w:pPr>
      <w:r>
        <w:rPr>
          <w:rFonts w:ascii="Times New Roman" w:cs="Times New Roman" w:eastAsia="Times New Roman" w:hAnsi="Times New Roman"/>
          <w:sz w:val="17"/>
          <w:szCs w:val="17"/>
          <w:color w:val="auto"/>
        </w:rPr>
        <w:t>48 Wall Street, Floor 23</w:t>
      </w:r>
    </w:p>
    <w:p>
      <w:pPr>
        <w:spacing w:after="0" w:line="209" w:lineRule="auto"/>
        <w:rPr>
          <w:sz w:val="20"/>
          <w:szCs w:val="20"/>
          <w:color w:val="auto"/>
        </w:rPr>
      </w:pPr>
      <w:r>
        <w:rPr>
          <w:rFonts w:ascii="Times New Roman" w:cs="Times New Roman" w:eastAsia="Times New Roman" w:hAnsi="Times New Roman"/>
          <w:sz w:val="17"/>
          <w:szCs w:val="17"/>
          <w:color w:val="auto"/>
        </w:rPr>
        <w:t>New York, NY 10005</w:t>
      </w:r>
    </w:p>
    <w:p>
      <w:pPr>
        <w:spacing w:after="0"/>
        <w:rPr>
          <w:sz w:val="20"/>
          <w:szCs w:val="20"/>
          <w:color w:val="auto"/>
        </w:rPr>
      </w:pPr>
      <w:r>
        <w:rPr>
          <w:rFonts w:ascii="Times New Roman" w:cs="Times New Roman" w:eastAsia="Times New Roman" w:hAnsi="Times New Roman"/>
          <w:sz w:val="17"/>
          <w:szCs w:val="17"/>
          <w:color w:val="auto"/>
        </w:rPr>
        <w:t>800-937-5449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TRADEMARKS</w:t>
      </w:r>
    </w:p>
    <w:p>
      <w:pPr>
        <w:spacing w:after="0" w:line="202" w:lineRule="exact"/>
        <w:rPr>
          <w:sz w:val="20"/>
          <w:szCs w:val="20"/>
          <w:color w:val="auto"/>
        </w:rPr>
      </w:pPr>
    </w:p>
    <w:p>
      <w:pPr>
        <w:ind w:right="420"/>
        <w:spacing w:after="0" w:line="220" w:lineRule="auto"/>
        <w:rPr>
          <w:sz w:val="20"/>
          <w:szCs w:val="20"/>
          <w:color w:val="auto"/>
        </w:rPr>
      </w:pPr>
      <w:r>
        <w:rPr>
          <w:rFonts w:ascii="Times New Roman" w:cs="Times New Roman" w:eastAsia="Times New Roman" w:hAnsi="Times New Roman"/>
          <w:sz w:val="17"/>
          <w:szCs w:val="17"/>
          <w:color w:val="auto"/>
        </w:rPr>
        <w:t>CooperVision, CooperSurgical, and other trade names, trademarks or service marks of</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6"/>
          <w:szCs w:val="16"/>
          <w:color w:val="auto"/>
        </w:rPr>
        <w:t>CooperCompanies and its subsidiaries appearing in this report are the property of CooperCompanies and</w:t>
      </w:r>
    </w:p>
    <w:p>
      <w:pPr>
        <w:spacing w:after="0" w:line="224" w:lineRule="auto"/>
        <w:rPr>
          <w:sz w:val="20"/>
          <w:szCs w:val="20"/>
          <w:color w:val="auto"/>
        </w:rPr>
      </w:pPr>
      <w:r>
        <w:rPr>
          <w:rFonts w:ascii="Times New Roman" w:cs="Times New Roman" w:eastAsia="Times New Roman" w:hAnsi="Times New Roman"/>
          <w:sz w:val="16"/>
          <w:szCs w:val="16"/>
          <w:color w:val="auto"/>
        </w:rPr>
        <w:t>its subsidiaries. Trade names, trademarks and service</w:t>
      </w:r>
    </w:p>
    <w:p>
      <w:pPr>
        <w:spacing w:after="0" w:line="218" w:lineRule="auto"/>
        <w:rPr>
          <w:sz w:val="20"/>
          <w:szCs w:val="20"/>
          <w:color w:val="auto"/>
        </w:rPr>
      </w:pPr>
      <w:r>
        <w:rPr>
          <w:rFonts w:ascii="Times New Roman" w:cs="Times New Roman" w:eastAsia="Times New Roman" w:hAnsi="Times New Roman"/>
          <w:sz w:val="17"/>
          <w:szCs w:val="17"/>
          <w:color w:val="auto"/>
        </w:rPr>
        <w:t>marks of the other companies appearing in this report are the property of their respective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INDEPENDENT AUDITORS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KPMG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STOCK EXCHANGE LISTING</w:t>
      </w:r>
    </w:p>
    <w:p>
      <w:pPr>
        <w:spacing w:after="0" w:line="215" w:lineRule="exact"/>
        <w:rPr>
          <w:sz w:val="20"/>
          <w:szCs w:val="20"/>
          <w:color w:val="auto"/>
        </w:rPr>
      </w:pPr>
    </w:p>
    <w:p>
      <w:pPr>
        <w:ind w:right="1600"/>
        <w:spacing w:after="0" w:line="246" w:lineRule="auto"/>
        <w:rPr>
          <w:sz w:val="20"/>
          <w:szCs w:val="20"/>
          <w:color w:val="auto"/>
        </w:rPr>
      </w:pPr>
      <w:r>
        <w:rPr>
          <w:rFonts w:ascii="Times New Roman" w:cs="Times New Roman" w:eastAsia="Times New Roman" w:hAnsi="Times New Roman"/>
          <w:sz w:val="16"/>
          <w:szCs w:val="16"/>
          <w:color w:val="auto"/>
        </w:rPr>
        <w:t>Nasdaq Global Select Market Ticker Symbol “COO”</w:t>
      </w:r>
    </w:p>
    <w:p>
      <w:pPr>
        <w:sectPr>
          <w:pgSz w:w="11900" w:h="16838" w:orient="portrait"/>
          <w:cols w:equalWidth="0" w:num="3">
            <w:col w:w="3560" w:space="220"/>
            <w:col w:w="3560" w:space="200"/>
            <w:col w:w="3560"/>
          </w:cols>
          <w:pgMar w:left="360" w:top="354" w:right="439" w:bottom="1440" w:gutter="0" w:footer="0" w:header="0"/>
          <w:type w:val="continuous"/>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Insider Trading Compliance Policy</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Introduction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At The CooperCompanies, Inc. (together with our subsidiaries, the “</w:t>
      </w:r>
      <w:r>
        <w:rPr>
          <w:rFonts w:ascii="Arial" w:cs="Arial" w:eastAsia="Arial" w:hAnsi="Arial"/>
          <w:sz w:val="19"/>
          <w:szCs w:val="19"/>
          <w:u w:val="single" w:color="auto"/>
          <w:color w:val="auto"/>
        </w:rPr>
        <w:t>Company</w:t>
      </w:r>
      <w:r>
        <w:rPr>
          <w:rFonts w:ascii="Arial" w:cs="Arial" w:eastAsia="Arial" w:hAnsi="Arial"/>
          <w:sz w:val="19"/>
          <w:szCs w:val="19"/>
          <w:color w:val="auto"/>
        </w:rPr>
        <w:t>”), we are committed to maintaining the highest standards of integrity and excellence. This Insider Trading Compliance Policy (this “</w:t>
      </w:r>
      <w:r>
        <w:rPr>
          <w:rFonts w:ascii="Arial" w:cs="Arial" w:eastAsia="Arial" w:hAnsi="Arial"/>
          <w:sz w:val="19"/>
          <w:szCs w:val="19"/>
          <w:u w:val="single" w:color="auto"/>
          <w:color w:val="auto"/>
        </w:rPr>
        <w:t>Policy</w:t>
      </w:r>
      <w:r>
        <w:rPr>
          <w:rFonts w:ascii="Arial" w:cs="Arial" w:eastAsia="Arial" w:hAnsi="Arial"/>
          <w:sz w:val="19"/>
          <w:szCs w:val="19"/>
          <w:color w:val="auto"/>
        </w:rPr>
        <w:t>”) outlines our expectations regarding insider trading to ensure compliance with federal laws and regulations.</w:t>
      </w:r>
    </w:p>
    <w:p>
      <w:pPr>
        <w:spacing w:after="0" w:line="191" w:lineRule="exact"/>
        <w:rPr>
          <w:sz w:val="20"/>
          <w:szCs w:val="20"/>
          <w:color w:val="auto"/>
        </w:rPr>
      </w:pPr>
    </w:p>
    <w:p>
      <w:pPr>
        <w:ind w:right="220"/>
        <w:spacing w:after="0" w:line="261" w:lineRule="auto"/>
        <w:rPr>
          <w:sz w:val="20"/>
          <w:szCs w:val="20"/>
          <w:color w:val="auto"/>
        </w:rPr>
      </w:pPr>
      <w:r>
        <w:rPr>
          <w:rFonts w:ascii="Arial" w:cs="Arial" w:eastAsia="Arial" w:hAnsi="Arial"/>
          <w:sz w:val="19"/>
          <w:szCs w:val="19"/>
          <w:color w:val="auto"/>
        </w:rPr>
        <w:t>U.S. federal laws and regulations prohibit trading in the securities of a company while in possession of material nonpublic information and in breach of a duty of trust or confidence. These laws also prohibit sharing this information with others who may trade. We require our employees, directors and other personnel to comply at all times with federal laws and regulations governing insider trading to maintain trust, protect our reputation, and avoid criminal or civil charges. We reserve the right to take disciplinary or other actions that we determine in our sole discretion to be appropriate for any violations of this Policy, including dismissal or disclosure of wrongdoing to governmental authorities.</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Who is Covered?</w:t>
      </w:r>
    </w:p>
    <w:p>
      <w:pPr>
        <w:spacing w:after="0" w:line="263" w:lineRule="exact"/>
        <w:rPr>
          <w:sz w:val="20"/>
          <w:szCs w:val="20"/>
          <w:color w:val="auto"/>
        </w:rPr>
      </w:pPr>
    </w:p>
    <w:p>
      <w:pPr>
        <w:ind w:right="320"/>
        <w:spacing w:after="0" w:line="261" w:lineRule="auto"/>
        <w:rPr>
          <w:sz w:val="20"/>
          <w:szCs w:val="20"/>
          <w:color w:val="auto"/>
        </w:rPr>
      </w:pPr>
      <w:r>
        <w:rPr>
          <w:rFonts w:ascii="Arial" w:cs="Arial" w:eastAsia="Arial" w:hAnsi="Arial"/>
          <w:sz w:val="19"/>
          <w:szCs w:val="19"/>
          <w:color w:val="auto"/>
        </w:rPr>
        <w:t>This Policy applies to all officers, directors, employees, contractors and consultants of the Company, regardless of your division, employer or location. It also includes household members and entities controlled by these individuals. Individuals subject to this Policy are responsible for ensuring that members of their household and entities controlled by them comply with this Policy and transactions by these individuals or entities should be treated for the purposes of this Policy as if they were for the account of the individual subject to this Policy.</w:t>
      </w:r>
    </w:p>
    <w:p>
      <w:pPr>
        <w:spacing w:after="0" w:line="189" w:lineRule="exact"/>
        <w:rPr>
          <w:sz w:val="20"/>
          <w:szCs w:val="20"/>
          <w:color w:val="auto"/>
        </w:rPr>
      </w:pPr>
    </w:p>
    <w:p>
      <w:pPr>
        <w:ind w:right="120"/>
        <w:spacing w:after="0" w:line="278" w:lineRule="auto"/>
        <w:rPr>
          <w:sz w:val="20"/>
          <w:szCs w:val="20"/>
          <w:color w:val="auto"/>
        </w:rPr>
      </w:pPr>
      <w:r>
        <w:rPr>
          <w:rFonts w:ascii="Arial" w:cs="Arial" w:eastAsia="Arial" w:hAnsi="Arial"/>
          <w:sz w:val="19"/>
          <w:szCs w:val="19"/>
          <w:color w:val="auto"/>
        </w:rPr>
        <w:t>The directors of CooperCompanies and certain of our executive officers who have been designated as an “officer” pursuant to Rule 16a-1(f) of the Securities Exchange Act of 1934 (the “Exchange Act”) (collectively, “</w:t>
      </w:r>
      <w:r>
        <w:rPr>
          <w:rFonts w:ascii="Arial" w:cs="Arial" w:eastAsia="Arial" w:hAnsi="Arial"/>
          <w:sz w:val="19"/>
          <w:szCs w:val="19"/>
          <w:u w:val="single" w:color="auto"/>
          <w:color w:val="auto"/>
        </w:rPr>
        <w:t>Section 16 Insiders</w:t>
      </w:r>
      <w:r>
        <w:rPr>
          <w:rFonts w:ascii="Arial" w:cs="Arial" w:eastAsia="Arial" w:hAnsi="Arial"/>
          <w:sz w:val="19"/>
          <w:szCs w:val="19"/>
          <w:color w:val="auto"/>
        </w:rPr>
        <w:t>”) are subject to additional restrictions as set forth below.</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Key Restrictions</w:t>
      </w:r>
    </w:p>
    <w:p>
      <w:pPr>
        <w:spacing w:after="0" w:line="45" w:lineRule="exact"/>
        <w:rPr>
          <w:sz w:val="20"/>
          <w:szCs w:val="20"/>
          <w:color w:val="auto"/>
        </w:rPr>
      </w:pPr>
    </w:p>
    <w:p>
      <w:pPr>
        <w:ind w:left="640" w:right="820" w:hanging="320"/>
        <w:spacing w:after="0" w:line="252" w:lineRule="auto"/>
        <w:tabs>
          <w:tab w:leader="none" w:pos="602"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No Trading on Material Nonpublic Information</w:t>
      </w:r>
      <w:r>
        <w:rPr>
          <w:rFonts w:ascii="Arial" w:cs="Arial" w:eastAsia="Arial" w:hAnsi="Arial"/>
          <w:sz w:val="19"/>
          <w:szCs w:val="19"/>
          <w:color w:val="auto"/>
        </w:rPr>
        <w:t>: Do not buy, sell, gift, or otherwise transfer any CooperCompanies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if you have material nonpublic information about the Company.</w:t>
      </w:r>
    </w:p>
    <w:p>
      <w:pPr>
        <w:ind w:left="640" w:right="300" w:hanging="320"/>
        <w:spacing w:after="0" w:line="254" w:lineRule="auto"/>
        <w:tabs>
          <w:tab w:leader="none" w:pos="602"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No Trading on Material Nonpublic Information of Others: </w:t>
      </w:r>
      <w:r>
        <w:rPr>
          <w:rFonts w:ascii="Arial" w:cs="Arial" w:eastAsia="Arial" w:hAnsi="Arial"/>
          <w:sz w:val="19"/>
          <w:szCs w:val="19"/>
          <w:color w:val="auto"/>
        </w:rPr>
        <w:t>Do not buy, sell, gift, or otherwise transfer any securities of</w:t>
      </w:r>
      <w:r>
        <w:rPr>
          <w:rFonts w:ascii="Arial" w:cs="Arial" w:eastAsia="Arial" w:hAnsi="Arial"/>
          <w:sz w:val="19"/>
          <w:szCs w:val="19"/>
          <w:b w:val="1"/>
          <w:bCs w:val="1"/>
          <w:color w:val="auto"/>
        </w:rPr>
        <w:t xml:space="preserve"> </w:t>
      </w:r>
      <w:r>
        <w:rPr>
          <w:rFonts w:ascii="Arial" w:cs="Arial" w:eastAsia="Arial" w:hAnsi="Arial"/>
          <w:sz w:val="19"/>
          <w:szCs w:val="19"/>
          <w:color w:val="auto"/>
        </w:rPr>
        <w:t>another company (such as a customer, supplier or business partner) if you have material nonpublic information about that company that you obtain in connection with your employment or affiliation with the Company.</w:t>
      </w:r>
    </w:p>
    <w:p>
      <w:pPr>
        <w:spacing w:after="0" w:line="1" w:lineRule="exact"/>
        <w:rPr>
          <w:rFonts w:ascii="Arial" w:cs="Arial" w:eastAsia="Arial" w:hAnsi="Arial"/>
          <w:sz w:val="19"/>
          <w:szCs w:val="19"/>
          <w:color w:val="auto"/>
        </w:rPr>
      </w:pPr>
    </w:p>
    <w:p>
      <w:pPr>
        <w:ind w:left="640" w:right="840" w:hanging="320"/>
        <w:spacing w:after="0" w:line="264" w:lineRule="auto"/>
        <w:tabs>
          <w:tab w:leader="none" w:pos="602"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No Sharing Material Nonpublic Information</w:t>
      </w:r>
      <w:r>
        <w:rPr>
          <w:rFonts w:ascii="Arial" w:cs="Arial" w:eastAsia="Arial" w:hAnsi="Arial"/>
          <w:sz w:val="19"/>
          <w:szCs w:val="19"/>
          <w:color w:val="auto"/>
        </w:rPr>
        <w:t>: Do not share material nonpublic information with anyone outside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within the Company outside of the ordinary course of their job.</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Policy:</w:t>
      </w:r>
    </w:p>
    <w:p>
      <w:pPr>
        <w:spacing w:after="0" w:line="240" w:lineRule="exact"/>
        <w:rPr>
          <w:sz w:val="20"/>
          <w:szCs w:val="20"/>
          <w:color w:val="auto"/>
        </w:rPr>
      </w:pPr>
    </w:p>
    <w:p>
      <w:pPr>
        <w:ind w:right="780"/>
        <w:spacing w:after="0" w:line="298"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u w:val="single" w:color="auto"/>
          <w:color w:val="auto"/>
        </w:rPr>
        <w:t>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includes stocks, bonds, notes, debentures, options, warrants, equity and other convertible securities, as well as</w:t>
      </w:r>
      <w:r>
        <w:rPr>
          <w:rFonts w:ascii="Arial" w:cs="Arial" w:eastAsia="Arial" w:hAnsi="Arial"/>
          <w:sz w:val="19"/>
          <w:szCs w:val="19"/>
          <w:i w:val="1"/>
          <w:iCs w:val="1"/>
          <w:color w:val="auto"/>
        </w:rPr>
        <w:t xml:space="preserve"> </w:t>
      </w:r>
      <w:r>
        <w:rPr>
          <w:rFonts w:ascii="Arial" w:cs="Arial" w:eastAsia="Arial" w:hAnsi="Arial"/>
          <w:sz w:val="19"/>
          <w:szCs w:val="19"/>
          <w:color w:val="auto"/>
        </w:rPr>
        <w:t>derivative instruments.</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u w:val="single" w:color="auto"/>
          <w:color w:val="auto"/>
        </w:rPr>
        <w:t>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sale</w:t>
      </w:r>
      <w:r>
        <w:rPr>
          <w:rFonts w:ascii="Arial" w:cs="Arial" w:eastAsia="Arial" w:hAnsi="Arial"/>
          <w:sz w:val="19"/>
          <w:szCs w:val="19"/>
          <w:i w:val="1"/>
          <w:iCs w:val="1"/>
          <w:color w:val="auto"/>
        </w:rPr>
        <w:t xml:space="preserve">” </w:t>
      </w:r>
      <w:r>
        <w:rPr>
          <w:rFonts w:ascii="Arial" w:cs="Arial" w:eastAsia="Arial" w:hAnsi="Arial"/>
          <w:sz w:val="19"/>
          <w:szCs w:val="19"/>
          <w:color w:val="auto"/>
        </w:rPr>
        <w:t>are defined broadly under the federal securities law.</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includes not only the actual purchase of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security, but also any contract to purchase or otherwise acquire a security. </w:t>
      </w:r>
      <w:r>
        <w:rPr>
          <w:rFonts w:ascii="Arial" w:cs="Arial" w:eastAsia="Arial" w:hAnsi="Arial"/>
          <w:sz w:val="19"/>
          <w:szCs w:val="19"/>
          <w:i w:val="1"/>
          <w:iCs w:val="1"/>
          <w:color w:val="auto"/>
        </w:rPr>
        <w:t>“</w:t>
      </w:r>
      <w:r>
        <w:rPr>
          <w:rFonts w:ascii="Arial" w:cs="Arial" w:eastAsia="Arial" w:hAnsi="Arial"/>
          <w:sz w:val="19"/>
          <w:szCs w:val="19"/>
          <w:color w:val="auto"/>
        </w:rPr>
        <w:t>Sale</w:t>
      </w:r>
      <w:r>
        <w:rPr>
          <w:rFonts w:ascii="Arial" w:cs="Arial" w:eastAsia="Arial" w:hAnsi="Arial"/>
          <w:sz w:val="19"/>
          <w:szCs w:val="19"/>
          <w:i w:val="1"/>
          <w:iCs w:val="1"/>
          <w:color w:val="auto"/>
        </w:rPr>
        <w:t>”</w:t>
      </w:r>
      <w:r>
        <w:rPr>
          <w:rFonts w:ascii="Arial" w:cs="Arial" w:eastAsia="Arial" w:hAnsi="Arial"/>
          <w:sz w:val="19"/>
          <w:szCs w:val="19"/>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What’s Material Nonpublic Information?</w:t>
      </w:r>
    </w:p>
    <w:p>
      <w:pPr>
        <w:sectPr>
          <w:pgSz w:w="11900" w:h="16838" w:orient="portrait"/>
          <w:cols w:equalWidth="0" w:num="1">
            <w:col w:w="11240"/>
          </w:cols>
          <w:pgMar w:left="320" w:top="14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325"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Information is “</w:t>
      </w:r>
      <w:r>
        <w:rPr>
          <w:rFonts w:ascii="Arial" w:cs="Arial" w:eastAsia="Arial" w:hAnsi="Arial"/>
          <w:sz w:val="19"/>
          <w:szCs w:val="19"/>
          <w:u w:val="single" w:color="auto"/>
          <w:color w:val="auto"/>
        </w:rPr>
        <w:t>material</w:t>
      </w:r>
      <w:r>
        <w:rPr>
          <w:rFonts w:ascii="Arial" w:cs="Arial" w:eastAsia="Arial" w:hAnsi="Arial"/>
          <w:sz w:val="19"/>
          <w:szCs w:val="19"/>
          <w:color w:val="auto"/>
        </w:rPr>
        <w:t>” if it could influence an investor's decision to buy, sell, or hold securities. Material information can be positive or negative and can relate to virtually any aspect of a company’s business or to any type of security. Also, information that something is likely to happen in the future—or even just that it may happen—could be deemed material.</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Examples of material information may include (but are not limited to) information about:</w:t>
      </w:r>
    </w:p>
    <w:p>
      <w:pPr>
        <w:spacing w:after="0" w:line="240" w:lineRule="exact"/>
        <w:rPr>
          <w:sz w:val="20"/>
          <w:szCs w:val="20"/>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Corporate earnings or earnings forecasts</w:t>
      </w:r>
    </w:p>
    <w:p>
      <w:pPr>
        <w:spacing w:after="0" w:line="35"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Possible mergers, acquisitions, tender offers, or dispositions</w:t>
      </w:r>
    </w:p>
    <w:p>
      <w:pPr>
        <w:spacing w:after="0" w:line="17"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Major new products or product developments</w:t>
      </w:r>
    </w:p>
    <w:p>
      <w:pPr>
        <w:spacing w:after="0" w:line="4"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Important business developments, such as strategic collaborations</w:t>
      </w:r>
    </w:p>
    <w:p>
      <w:pPr>
        <w:spacing w:after="0" w:line="17"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Management or control changes</w:t>
      </w:r>
    </w:p>
    <w:p>
      <w:pPr>
        <w:spacing w:after="0" w:line="4"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Significant financing developments, including public sales or offerings of debt or equity securities</w:t>
      </w:r>
    </w:p>
    <w:p>
      <w:pPr>
        <w:spacing w:after="0" w:line="17"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Defaults on borrowings</w:t>
      </w:r>
    </w:p>
    <w:p>
      <w:pPr>
        <w:spacing w:after="0" w:line="17"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Bankruptcies</w:t>
      </w:r>
    </w:p>
    <w:p>
      <w:pPr>
        <w:spacing w:after="0" w:line="4"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Cybersecurity or data security incidents</w:t>
      </w:r>
    </w:p>
    <w:p>
      <w:pPr>
        <w:spacing w:after="0" w:line="17" w:lineRule="exact"/>
        <w:rPr>
          <w:rFonts w:ascii="Arial" w:cs="Arial" w:eastAsia="Arial" w:hAnsi="Arial"/>
          <w:sz w:val="19"/>
          <w:szCs w:val="19"/>
          <w:color w:val="auto"/>
        </w:rPr>
      </w:pPr>
    </w:p>
    <w:p>
      <w:pPr>
        <w:ind w:left="600" w:hanging="280"/>
        <w:spacing w:after="0"/>
        <w:tabs>
          <w:tab w:leader="none" w:pos="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Significant litigation or regulatory actions</w:t>
      </w:r>
    </w:p>
    <w:p>
      <w:pPr>
        <w:spacing w:after="0" w:line="223"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Information is “</w:t>
      </w:r>
      <w:r>
        <w:rPr>
          <w:rFonts w:ascii="Arial" w:cs="Arial" w:eastAsia="Arial" w:hAnsi="Arial"/>
          <w:sz w:val="19"/>
          <w:szCs w:val="19"/>
          <w:u w:val="single" w:color="auto"/>
          <w:color w:val="auto"/>
        </w:rPr>
        <w:t>nonpublic</w:t>
      </w:r>
      <w:r>
        <w:rPr>
          <w:rFonts w:ascii="Arial" w:cs="Arial" w:eastAsia="Arial" w:hAnsi="Arial"/>
          <w:sz w:val="19"/>
          <w:szCs w:val="19"/>
          <w:color w:val="auto"/>
        </w:rPr>
        <w:t>” if it is not available to the general public. Information will be considered “</w:t>
      </w:r>
      <w:r>
        <w:rPr>
          <w:rFonts w:ascii="Arial" w:cs="Arial" w:eastAsia="Arial" w:hAnsi="Arial"/>
          <w:sz w:val="19"/>
          <w:szCs w:val="19"/>
          <w:u w:val="single" w:color="auto"/>
          <w:color w:val="auto"/>
        </w:rPr>
        <w:t>public</w:t>
      </w:r>
      <w:r>
        <w:rPr>
          <w:rFonts w:ascii="Arial" w:cs="Arial" w:eastAsia="Arial" w:hAnsi="Arial"/>
          <w:sz w:val="19"/>
          <w:szCs w:val="19"/>
          <w:color w:val="auto"/>
        </w:rPr>
        <w:t>” if it has been widely disseminated in a manner that makes it generally available to investors, such as through a press release, a filing with the U.S.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a conference call that meets the requirements under Regulation FD under the Exchange Act. The Compliance Officer (as defined below) will have sole discretion to decide whether information is public for purposes of this Policy.</w:t>
      </w:r>
    </w:p>
    <w:p>
      <w:pPr>
        <w:spacing w:after="0" w:line="184" w:lineRule="exact"/>
        <w:rPr>
          <w:sz w:val="20"/>
          <w:szCs w:val="20"/>
          <w:color w:val="auto"/>
        </w:rPr>
      </w:pPr>
    </w:p>
    <w:p>
      <w:pPr>
        <w:ind w:right="400"/>
        <w:spacing w:after="0" w:line="267" w:lineRule="auto"/>
        <w:rPr>
          <w:sz w:val="20"/>
          <w:szCs w:val="20"/>
          <w:color w:val="auto"/>
        </w:rPr>
      </w:pPr>
      <w:r>
        <w:rPr>
          <w:rFonts w:ascii="Arial" w:cs="Arial" w:eastAsia="Arial" w:hAnsi="Arial"/>
          <w:sz w:val="19"/>
          <w:szCs w:val="19"/>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195" w:lineRule="exact"/>
        <w:rPr>
          <w:sz w:val="20"/>
          <w:szCs w:val="20"/>
          <w:color w:val="auto"/>
        </w:rPr>
      </w:pPr>
    </w:p>
    <w:p>
      <w:pPr>
        <w:ind w:right="700"/>
        <w:spacing w:after="0" w:line="283" w:lineRule="auto"/>
        <w:rPr>
          <w:sz w:val="20"/>
          <w:szCs w:val="20"/>
          <w:color w:val="auto"/>
        </w:rPr>
      </w:pPr>
      <w:r>
        <w:rPr>
          <w:rFonts w:ascii="Arial" w:cs="Arial" w:eastAsia="Arial" w:hAnsi="Arial"/>
          <w:sz w:val="19"/>
          <w:szCs w:val="19"/>
          <w:color w:val="auto"/>
        </w:rPr>
        <w:t>The laws and regulations concerning insider trading are complex, and individuals are encouraged to seek guidance from the Compliance Officer prior to considering a transaction in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Exempt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transactions are exempt from this Policy:</w:t>
      </w:r>
    </w:p>
    <w:p>
      <w:pPr>
        <w:spacing w:after="0" w:line="254" w:lineRule="exact"/>
        <w:rPr>
          <w:sz w:val="20"/>
          <w:szCs w:val="20"/>
          <w:color w:val="auto"/>
        </w:rPr>
      </w:pPr>
    </w:p>
    <w:p>
      <w:pPr>
        <w:ind w:left="920" w:hanging="286"/>
        <w:spacing w:after="0"/>
        <w:tabs>
          <w:tab w:leader="none" w:pos="9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transactions directly with the Company;</w:t>
      </w:r>
    </w:p>
    <w:p>
      <w:pPr>
        <w:spacing w:after="0" w:line="22" w:lineRule="exact"/>
        <w:rPr>
          <w:rFonts w:ascii="Arial" w:cs="Arial" w:eastAsia="Arial" w:hAnsi="Arial"/>
          <w:sz w:val="19"/>
          <w:szCs w:val="19"/>
          <w:color w:val="auto"/>
        </w:rPr>
      </w:pPr>
    </w:p>
    <w:p>
      <w:pPr>
        <w:ind w:left="920" w:hanging="286"/>
        <w:spacing w:after="0"/>
        <w:tabs>
          <w:tab w:leader="none" w:pos="9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transactions relating to equity incentive awards without any open-market sale of securities (e.g., cash exercises of stock</w:t>
      </w:r>
    </w:p>
    <w:p>
      <w:pPr>
        <w:spacing w:after="0" w:line="17" w:lineRule="exact"/>
        <w:rPr>
          <w:sz w:val="20"/>
          <w:szCs w:val="20"/>
          <w:color w:val="auto"/>
        </w:rPr>
      </w:pPr>
    </w:p>
    <w:p>
      <w:pPr>
        <w:ind w:left="940" w:right="180"/>
        <w:spacing w:after="0" w:line="252" w:lineRule="auto"/>
        <w:rPr>
          <w:sz w:val="20"/>
          <w:szCs w:val="20"/>
          <w:color w:val="auto"/>
        </w:rPr>
      </w:pPr>
      <w:r>
        <w:rPr>
          <w:rFonts w:ascii="Arial" w:cs="Arial" w:eastAsia="Arial" w:hAnsi="Arial"/>
          <w:sz w:val="19"/>
          <w:szCs w:val="19"/>
          <w:color w:val="auto"/>
        </w:rPr>
        <w:t xml:space="preserve">options or the “net settlement” of restricted stock units but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broker-assisted cashless exercises or open-market sales to cover taxes upon the vesting of restricted stock units);</w:t>
      </w:r>
    </w:p>
    <w:p>
      <w:pPr>
        <w:ind w:left="940" w:right="280" w:hanging="306"/>
        <w:spacing w:after="0" w:line="252" w:lineRule="auto"/>
        <w:tabs>
          <w:tab w:leader="none" w:pos="9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“sell-to-cover” transactions pursuant to a non-discretionary policy adopted by the Company that is intended to facilitate the payment of withholding taxes associated with vesting of equity awards (other than stock options); or</w:t>
      </w:r>
    </w:p>
    <w:p>
      <w:pPr>
        <w:ind w:left="920" w:hanging="286"/>
        <w:spacing w:after="0"/>
        <w:tabs>
          <w:tab w:leader="none" w:pos="9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transactions under a pre-cleared Rule 10b5-1 plan; or</w:t>
      </w:r>
    </w:p>
    <w:p>
      <w:pPr>
        <w:spacing w:after="0" w:line="17" w:lineRule="exact"/>
        <w:rPr>
          <w:rFonts w:ascii="Arial" w:cs="Arial" w:eastAsia="Arial" w:hAnsi="Arial"/>
          <w:sz w:val="19"/>
          <w:szCs w:val="19"/>
          <w:color w:val="auto"/>
        </w:rPr>
      </w:pPr>
    </w:p>
    <w:p>
      <w:pPr>
        <w:ind w:left="920" w:hanging="286"/>
        <w:spacing w:after="0"/>
        <w:tabs>
          <w:tab w:leader="none" w:pos="9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transactions under a pre-cleared non-Rule 10b5-1 trading arrangement as defined in Item 408(c) of Regulation S-K).</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Prohibited Transactions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have determined that there is a heightened legal risk and the appearance of improper or inappropriate conduct if our employees, directors and other personnel engage in certain types of transactions. Therefore, the following transactions in the CooperCompanies securities are prohibited.</w:t>
      </w:r>
    </w:p>
    <w:p>
      <w:pPr>
        <w:sectPr>
          <w:pgSz w:w="11900" w:h="16838" w:orient="portrait"/>
          <w:cols w:equalWidth="0" w:num="1">
            <w:col w:w="11240"/>
          </w:cols>
          <w:pgMar w:left="320" w:top="14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323" w:lineRule="exact"/>
        <w:rPr>
          <w:sz w:val="20"/>
          <w:szCs w:val="20"/>
          <w:color w:val="auto"/>
        </w:rPr>
      </w:pPr>
    </w:p>
    <w:p>
      <w:pPr>
        <w:ind w:left="640" w:right="260" w:hanging="320"/>
        <w:spacing w:after="0" w:line="263" w:lineRule="auto"/>
        <w:tabs>
          <w:tab w:leader="none" w:pos="602"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Short Sales: </w:t>
      </w:r>
      <w:r>
        <w:rPr>
          <w:rFonts w:ascii="Arial" w:cs="Arial" w:eastAsia="Arial" w:hAnsi="Arial"/>
          <w:sz w:val="19"/>
          <w:szCs w:val="19"/>
          <w:color w:val="auto"/>
        </w:rPr>
        <w:t>Short sales are sales of shares that an individual does not own at the time of sale, or sales of shares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individual does not deliver the shares within 20 days after the sale.</w:t>
      </w:r>
    </w:p>
    <w:p>
      <w:pPr>
        <w:ind w:left="640" w:right="280" w:hanging="320"/>
        <w:spacing w:after="0" w:line="252" w:lineRule="auto"/>
        <w:tabs>
          <w:tab w:leader="none" w:pos="602"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Options: </w:t>
      </w:r>
      <w:r>
        <w:rPr>
          <w:rFonts w:ascii="Arial" w:cs="Arial" w:eastAsia="Arial" w:hAnsi="Arial"/>
          <w:sz w:val="19"/>
          <w:szCs w:val="19"/>
          <w:color w:val="auto"/>
        </w:rPr>
        <w:t>Transactions in puts, calls, or other derivative securities involving the CooperCompanies equity securities, on an</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on an over-the-counter market, or in any other organized market.</w:t>
      </w:r>
    </w:p>
    <w:p>
      <w:pPr>
        <w:jc w:val="both"/>
        <w:ind w:left="640" w:right="120" w:hanging="320"/>
        <w:spacing w:after="0" w:line="254" w:lineRule="auto"/>
        <w:tabs>
          <w:tab w:leader="none" w:pos="602"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Hedging Transactions: </w:t>
      </w:r>
      <w:r>
        <w:rPr>
          <w:rFonts w:ascii="Arial" w:cs="Arial" w:eastAsia="Arial" w:hAnsi="Arial"/>
          <w:sz w:val="19"/>
          <w:szCs w:val="19"/>
          <w:color w:val="auto"/>
        </w:rPr>
        <w:t>Hedging transactions involving the CooperCompanies securities, such as prepaid variable forward</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contracts, equity swaps, collars and exchange funds, or other transactions that hedge or offset, or are designed to hedge or offset, any decrease in the market value of the CooperCompanies equity securities.</w:t>
      </w:r>
    </w:p>
    <w:p>
      <w:pPr>
        <w:spacing w:after="0" w:line="1" w:lineRule="exact"/>
        <w:rPr>
          <w:rFonts w:ascii="Arial" w:cs="Arial" w:eastAsia="Arial" w:hAnsi="Arial"/>
          <w:sz w:val="19"/>
          <w:szCs w:val="19"/>
          <w:b w:val="1"/>
          <w:bCs w:val="1"/>
          <w:color w:val="auto"/>
        </w:rPr>
      </w:pPr>
    </w:p>
    <w:p>
      <w:pPr>
        <w:ind w:left="640" w:right="240" w:hanging="320"/>
        <w:spacing w:after="0" w:line="260" w:lineRule="auto"/>
        <w:tabs>
          <w:tab w:leader="none" w:pos="602"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Partnership Distributions: </w:t>
      </w:r>
      <w:r>
        <w:rPr>
          <w:rFonts w:ascii="Arial" w:cs="Arial" w:eastAsia="Arial" w:hAnsi="Arial"/>
          <w:sz w:val="19"/>
          <w:szCs w:val="19"/>
          <w:color w:val="auto"/>
        </w:rPr>
        <w:t>Nothing in this Policy is intended to limit the ability of an investment fund, venture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or other similar entity with which an individual is affiliated to distribute Company securities to its partners, members, or other similar persons. It is the responsibility of each affected individual and the affiliated entity, in consultation with their own counsel (as appropriate), to determine the timing of any distributions, based on all relevant facts and circumstances, and applicable securities laws.</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Rule 10b5-1 Trading Plans</w:t>
      </w:r>
    </w:p>
    <w:p>
      <w:pPr>
        <w:spacing w:after="0" w:line="263" w:lineRule="exact"/>
        <w:rPr>
          <w:sz w:val="20"/>
          <w:szCs w:val="20"/>
          <w:color w:val="auto"/>
        </w:rPr>
      </w:pPr>
    </w:p>
    <w:p>
      <w:pPr>
        <w:ind w:right="480"/>
        <w:spacing w:after="0" w:line="261" w:lineRule="auto"/>
        <w:rPr>
          <w:sz w:val="20"/>
          <w:szCs w:val="20"/>
          <w:color w:val="auto"/>
        </w:rPr>
      </w:pPr>
      <w:r>
        <w:rPr>
          <w:rFonts w:ascii="Arial" w:cs="Arial" w:eastAsia="Arial" w:hAnsi="Arial"/>
          <w:sz w:val="19"/>
          <w:szCs w:val="19"/>
          <w:color w:val="auto"/>
        </w:rPr>
        <w:t>The restrictions in this Policy, except for provisions set forth in the Prohibited Transactions section, do not apply to transactions under a trading plan (a “Trading Plan”) that satisfies either:</w:t>
      </w:r>
    </w:p>
    <w:p>
      <w:pPr>
        <w:spacing w:after="0" w:line="2" w:lineRule="exact"/>
        <w:rPr>
          <w:sz w:val="20"/>
          <w:szCs w:val="20"/>
          <w:color w:val="auto"/>
        </w:rPr>
      </w:pPr>
    </w:p>
    <w:p>
      <w:pPr>
        <w:ind w:left="920" w:hanging="286"/>
        <w:spacing w:after="0"/>
        <w:tabs>
          <w:tab w:leader="none" w:pos="9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conditions of Rule 10b5-1; or</w:t>
      </w:r>
    </w:p>
    <w:p>
      <w:pPr>
        <w:spacing w:after="0" w:line="4" w:lineRule="exact"/>
        <w:rPr>
          <w:rFonts w:ascii="Arial" w:cs="Arial" w:eastAsia="Arial" w:hAnsi="Arial"/>
          <w:sz w:val="19"/>
          <w:szCs w:val="19"/>
          <w:color w:val="auto"/>
        </w:rPr>
      </w:pPr>
    </w:p>
    <w:p>
      <w:pPr>
        <w:ind w:left="920" w:hanging="286"/>
        <w:spacing w:after="0"/>
        <w:tabs>
          <w:tab w:leader="none" w:pos="9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elements of a non-Rule 10b5-1 trading arrangement as defined in Item 408(c) of Regulation S-K; and</w:t>
      </w:r>
    </w:p>
    <w:p>
      <w:pPr>
        <w:spacing w:after="0" w:line="17" w:lineRule="exact"/>
        <w:rPr>
          <w:rFonts w:ascii="Arial" w:cs="Arial" w:eastAsia="Arial" w:hAnsi="Arial"/>
          <w:sz w:val="19"/>
          <w:szCs w:val="19"/>
          <w:color w:val="auto"/>
        </w:rPr>
      </w:pPr>
    </w:p>
    <w:p>
      <w:pPr>
        <w:ind w:left="920" w:hanging="286"/>
        <w:spacing w:after="0"/>
        <w:tabs>
          <w:tab w:leader="none" w:pos="9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Compliance Officer has pre-approved.</w:t>
      </w:r>
    </w:p>
    <w:p>
      <w:pPr>
        <w:spacing w:after="0" w:line="223" w:lineRule="exact"/>
        <w:rPr>
          <w:sz w:val="20"/>
          <w:szCs w:val="20"/>
          <w:color w:val="auto"/>
        </w:rPr>
      </w:pPr>
    </w:p>
    <w:p>
      <w:pPr>
        <w:ind w:right="180"/>
        <w:spacing w:after="0" w:line="267" w:lineRule="auto"/>
        <w:rPr>
          <w:sz w:val="20"/>
          <w:szCs w:val="20"/>
          <w:color w:val="auto"/>
        </w:rPr>
      </w:pPr>
      <w:r>
        <w:rPr>
          <w:rFonts w:ascii="Arial" w:cs="Arial" w:eastAsia="Arial" w:hAnsi="Arial"/>
          <w:sz w:val="19"/>
          <w:szCs w:val="19"/>
          <w:color w:val="auto"/>
        </w:rPr>
        <w:t>The Compliance Officer may impose such other conditions on the implementation and operation of a Trading Plan as the Compliance Officer deems necessary or advisable. An individual may only modify a Trading Plan outside of a blackout period and, in any event, when the individual does not possess material nonpublic information. Modifications to and early terminations of a Trading Plan are subject to pre-approval by the Compliance Officer.</w:t>
      </w:r>
    </w:p>
    <w:p>
      <w:pPr>
        <w:spacing w:after="0" w:line="195" w:lineRule="exact"/>
        <w:rPr>
          <w:sz w:val="20"/>
          <w:szCs w:val="20"/>
          <w:color w:val="auto"/>
        </w:rPr>
      </w:pPr>
    </w:p>
    <w:p>
      <w:pPr>
        <w:jc w:val="both"/>
        <w:ind w:right="100"/>
        <w:spacing w:after="0" w:line="271" w:lineRule="auto"/>
        <w:rPr>
          <w:sz w:val="20"/>
          <w:szCs w:val="20"/>
          <w:color w:val="auto"/>
        </w:rPr>
      </w:pPr>
      <w:r>
        <w:rPr>
          <w:rFonts w:ascii="Arial" w:cs="Arial" w:eastAsia="Arial" w:hAnsi="Arial"/>
          <w:sz w:val="19"/>
          <w:szCs w:val="19"/>
          <w:color w:val="auto"/>
        </w:rPr>
        <w:t>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91"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Blackout Periods</w:t>
      </w:r>
    </w:p>
    <w:p>
      <w:pPr>
        <w:spacing w:after="0" w:line="250" w:lineRule="exact"/>
        <w:rPr>
          <w:sz w:val="20"/>
          <w:szCs w:val="20"/>
          <w:color w:val="auto"/>
        </w:rPr>
      </w:pPr>
    </w:p>
    <w:p>
      <w:pPr>
        <w:ind w:right="540"/>
        <w:spacing w:after="0" w:line="267" w:lineRule="auto"/>
        <w:rPr>
          <w:sz w:val="20"/>
          <w:szCs w:val="20"/>
          <w:color w:val="auto"/>
        </w:rPr>
      </w:pPr>
      <w:r>
        <w:rPr>
          <w:rFonts w:ascii="Arial" w:cs="Arial" w:eastAsia="Arial" w:hAnsi="Arial"/>
          <w:sz w:val="19"/>
          <w:szCs w:val="19"/>
          <w:color w:val="auto"/>
        </w:rPr>
        <w:t>Section 16 Insiders (with their controlled entities and household members) are prohibited from purchasing, selling, gifting or otherwise transferring any security of the CooperCompanies during any blackout period, except as otherwise permitted by this Policy. In addition, from time to time, the Compliance Officer may determine that additional individuals should be subject to a blackout period and will notify these individuals in advance.</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Quarterly Blackout Periods</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The quarterly blackout period:</w:t>
      </w:r>
    </w:p>
    <w:p>
      <w:pPr>
        <w:spacing w:after="0" w:line="35" w:lineRule="exact"/>
        <w:rPr>
          <w:sz w:val="20"/>
          <w:szCs w:val="20"/>
          <w:color w:val="auto"/>
        </w:rPr>
      </w:pPr>
    </w:p>
    <w:p>
      <w:pPr>
        <w:ind w:left="920" w:hanging="286"/>
        <w:spacing w:after="0"/>
        <w:tabs>
          <w:tab w:leader="none" w:pos="9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begins on the 15th day of the last month of each fiscal quarter; and</w:t>
      </w:r>
    </w:p>
    <w:p>
      <w:pPr>
        <w:spacing w:after="0" w:line="4" w:lineRule="exact"/>
        <w:rPr>
          <w:rFonts w:ascii="Arial" w:cs="Arial" w:eastAsia="Arial" w:hAnsi="Arial"/>
          <w:sz w:val="19"/>
          <w:szCs w:val="19"/>
          <w:color w:val="auto"/>
        </w:rPr>
      </w:pPr>
    </w:p>
    <w:p>
      <w:pPr>
        <w:ind w:left="920" w:hanging="286"/>
        <w:spacing w:after="0"/>
        <w:tabs>
          <w:tab w:leader="none" w:pos="9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ends after completion of the second trading day after the earnings release for that quarter.</w:t>
      </w:r>
    </w:p>
    <w:p>
      <w:pPr>
        <w:sectPr>
          <w:pgSz w:w="11900" w:h="16838" w:orient="portrait"/>
          <w:cols w:equalWidth="0" w:num="1">
            <w:col w:w="11240"/>
          </w:cols>
          <w:pgMar w:left="320" w:top="14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 xml:space="preserve">A “trading day” is a day on which U.S. national stock exchanges are open for trading. If, for example, the Company were to release earnings on Monday </w:t>
      </w:r>
      <w:r>
        <w:rPr>
          <w:rFonts w:ascii="Arial" w:cs="Arial" w:eastAsia="Arial" w:hAnsi="Arial"/>
          <w:sz w:val="19"/>
          <w:szCs w:val="19"/>
          <w:i w:val="1"/>
          <w:iCs w:val="1"/>
          <w:color w:val="auto"/>
        </w:rPr>
        <w:t>prior</w:t>
      </w:r>
      <w:r>
        <w:rPr>
          <w:rFonts w:ascii="Arial" w:cs="Arial" w:eastAsia="Arial" w:hAnsi="Arial"/>
          <w:sz w:val="19"/>
          <w:szCs w:val="19"/>
          <w:color w:val="auto"/>
        </w:rPr>
        <w:t xml:space="preserve"> to 9:30 a.m. Eastern Time, then the blackout period would terminate </w:t>
      </w:r>
      <w:r>
        <w:rPr>
          <w:rFonts w:ascii="Arial" w:cs="Arial" w:eastAsia="Arial" w:hAnsi="Arial"/>
          <w:sz w:val="19"/>
          <w:szCs w:val="19"/>
          <w:i w:val="1"/>
          <w:iCs w:val="1"/>
          <w:color w:val="auto"/>
        </w:rPr>
        <w:t>after</w:t>
      </w:r>
      <w:r>
        <w:rPr>
          <w:rFonts w:ascii="Arial" w:cs="Arial" w:eastAsia="Arial" w:hAnsi="Arial"/>
          <w:sz w:val="19"/>
          <w:szCs w:val="19"/>
          <w:color w:val="auto"/>
        </w:rPr>
        <w:t xml:space="preserve"> the close of trading on Tuesday. If the Company were to release earnings on Monday after 9:30 a.m. Eastern Time, then the blackout period would terminate </w:t>
      </w:r>
      <w:r>
        <w:rPr>
          <w:rFonts w:ascii="Arial" w:cs="Arial" w:eastAsia="Arial" w:hAnsi="Arial"/>
          <w:sz w:val="19"/>
          <w:szCs w:val="19"/>
          <w:i w:val="1"/>
          <w:iCs w:val="1"/>
          <w:color w:val="auto"/>
        </w:rPr>
        <w:t>after</w:t>
      </w:r>
      <w:r>
        <w:rPr>
          <w:rFonts w:ascii="Arial" w:cs="Arial" w:eastAsia="Arial" w:hAnsi="Arial"/>
          <w:sz w:val="19"/>
          <w:szCs w:val="19"/>
          <w:color w:val="auto"/>
        </w:rPr>
        <w:t xml:space="preserve"> the close of trading on Wednesday. Any question as to whether information is publicly available shall be directed to the Compliance Officer.</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Additional Blackout Periods</w:t>
      </w:r>
    </w:p>
    <w:p>
      <w:pPr>
        <w:spacing w:after="0" w:line="237"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From time to time, the Compliance Officer may determine that an additional blackout period is appropriate. Persons subject to an additional blackout period will be notified in advance by the Compliance Officer and may not purchase, sell, gift or otherwise transfer any security of the Company during the duration of the additional blackout period, except as otherwise permitted by this Policy. In addition, these persons must not disclose that an additional blackout period is in effect.</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Pre-Clearance of Transactions</w:t>
      </w:r>
    </w:p>
    <w:p>
      <w:pPr>
        <w:spacing w:after="0" w:line="250"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Section 16 Insiders (with their controlled entities and household members) must pre-clear each transaction in any security of the CooperCompanies. Any request for pre-clearance must be in writing, should be made at least two business days in advance of the proposed transaction, and should include the identity of the person or entity effecting the transaction, a description of the proposed transaction, the proposed date of the transaction, and the number of shares or other securities involved. In addition, the Section 16 Insider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Pre-clearance approval will remain valid for five business days for transactions without a proposed transaction date. Notwithstanding receipt of pre-clearance, if the Pre-Clearance Person becomes aware of material nonpublic information, or becomes subject to a blackout period before the transaction is affected, the transaction may not be completed.</w:t>
      </w:r>
    </w:p>
    <w:p>
      <w:pPr>
        <w:spacing w:after="0" w:line="204" w:lineRule="exact"/>
        <w:rPr>
          <w:sz w:val="20"/>
          <w:szCs w:val="20"/>
          <w:color w:val="auto"/>
        </w:rPr>
      </w:pPr>
    </w:p>
    <w:p>
      <w:pPr>
        <w:ind w:right="300"/>
        <w:spacing w:after="0" w:line="271" w:lineRule="auto"/>
        <w:rPr>
          <w:sz w:val="20"/>
          <w:szCs w:val="20"/>
          <w:color w:val="auto"/>
        </w:rPr>
      </w:pPr>
      <w:r>
        <w:rPr>
          <w:rFonts w:ascii="Arial" w:cs="Arial" w:eastAsia="Arial" w:hAnsi="Arial"/>
          <w:sz w:val="19"/>
          <w:szCs w:val="19"/>
          <w:color w:val="auto"/>
        </w:rPr>
        <w:t>Pre-clearance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w:t>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Margin Accounts and Pledging</w:t>
      </w:r>
    </w:p>
    <w:p>
      <w:pPr>
        <w:spacing w:after="0" w:line="250"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Section 16 Insiders may not pledge CooperCompanies securities as collateral for a loan, purchase CooperCompanies securities on margin (i.e., borrowing money to purchase the securities), or placing CooperCompanies securities in a margin account without the prior written consent of the Compliance Officer. This prohibition does not apply to cashless exercises of stock options under the CooperCompanies equity plans.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Post-Termination Transactions</w:t>
      </w:r>
    </w:p>
    <w:p>
      <w:pPr>
        <w:spacing w:after="0" w:line="263"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color w:val="auto"/>
        </w:rPr>
        <w:t>If an individual is in possession of material nonpublic information when the individual’s service terminates, the restrictions set forth in this Policy continue to apply until that information has become public or is no longer material.</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Certification of Compliance</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All Covered Persons may be asked periodically to certify their compliance with the terms and provisions of this Policy.</w:t>
      </w:r>
    </w:p>
    <w:p>
      <w:pPr>
        <w:sectPr>
          <w:pgSz w:w="11900" w:h="16838" w:orient="portrait"/>
          <w:cols w:equalWidth="0" w:num="1">
            <w:col w:w="11240"/>
          </w:cols>
          <w:pgMar w:left="320" w:top="145"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Policy Administration</w:t>
      </w:r>
    </w:p>
    <w:p>
      <w:pPr>
        <w:spacing w:after="0" w:line="250"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The Company’s General Counsel or his or her designee (the “</w:t>
      </w:r>
      <w:r>
        <w:rPr>
          <w:rFonts w:ascii="Arial" w:cs="Arial" w:eastAsia="Arial" w:hAnsi="Arial"/>
          <w:sz w:val="19"/>
          <w:szCs w:val="19"/>
          <w:u w:val="single" w:color="auto"/>
          <w:color w:val="auto"/>
        </w:rPr>
        <w:t>Compliance Officer</w:t>
      </w:r>
      <w:r>
        <w:rPr>
          <w:rFonts w:ascii="Arial" w:cs="Arial" w:eastAsia="Arial" w:hAnsi="Arial"/>
          <w:sz w:val="19"/>
          <w:szCs w:val="19"/>
          <w:color w:val="auto"/>
        </w:rPr>
        <w:t>”) shall administer this Policy and has the authority to interpret, amend and implement this Policy. This authority includes interpreting or waiving the terms of this Policy, to the extent consistent with its general purpose and applicable securities laws. The Chief Financial Officer will administer this Policy as it applies to any trading activity by the Compliance Officer.</w:t>
      </w:r>
    </w:p>
    <w:p>
      <w:pPr>
        <w:spacing w:after="0" w:line="1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Questions or Concerns?</w:t>
      </w:r>
    </w:p>
    <w:p>
      <w:pPr>
        <w:spacing w:after="0" w:line="250" w:lineRule="exact"/>
        <w:rPr>
          <w:sz w:val="20"/>
          <w:szCs w:val="20"/>
          <w:color w:val="auto"/>
        </w:rPr>
      </w:pPr>
    </w:p>
    <w:p>
      <w:pPr>
        <w:ind w:right="280"/>
        <w:spacing w:after="0" w:line="298" w:lineRule="auto"/>
        <w:rPr>
          <w:sz w:val="20"/>
          <w:szCs w:val="20"/>
          <w:color w:val="auto"/>
        </w:rPr>
      </w:pPr>
      <w:r>
        <w:rPr>
          <w:rFonts w:ascii="Arial" w:cs="Arial" w:eastAsia="Arial" w:hAnsi="Arial"/>
          <w:sz w:val="19"/>
          <w:szCs w:val="19"/>
          <w:color w:val="auto"/>
        </w:rPr>
        <w:t>If you have any questions or concerns regarding this Policy, please reach out to our Compliance Officer (Legal@CooperCo.com), who is responsible for the administration of this Policy.</w:t>
      </w:r>
    </w:p>
    <w:p>
      <w:pPr>
        <w:sectPr>
          <w:pgSz w:w="11900" w:h="16838" w:orient="portrait"/>
          <w:cols w:equalWidth="0" w:num="1">
            <w:col w:w="11240"/>
          </w:cols>
          <w:pgMar w:left="320" w:top="145" w:right="339" w:bottom="1440" w:gutter="0" w:footer="0" w:header="0"/>
        </w:sectPr>
      </w:pPr>
    </w:p>
    <w:bookmarkStart w:id="103" w:name="page104"/>
    <w:bookmarkEnd w:id="103"/>
    <w:p>
      <w:pPr>
        <w:jc w:val="right"/>
        <w:ind w:right="759"/>
        <w:spacing w:after="0"/>
        <w:rPr>
          <w:sz w:val="20"/>
          <w:szCs w:val="20"/>
          <w:color w:val="auto"/>
        </w:rPr>
      </w:pPr>
      <w:r>
        <w:rPr>
          <w:rFonts w:ascii="Times New Roman" w:cs="Times New Roman" w:eastAsia="Times New Roman" w:hAnsi="Times New Roman"/>
          <w:sz w:val="19"/>
          <w:szCs w:val="19"/>
          <w:b w:val="1"/>
          <w:bCs w:val="1"/>
          <w:color w:val="auto"/>
        </w:rPr>
        <w:t>SUBSIDIARIES OF THE COOPER COMPANIES, INC. A DELAWARE CORPORATION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62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0" w:type="dxa"/>
            <w:vAlign w:val="bottom"/>
          </w:tcPr>
          <w:p>
            <w:pPr>
              <w:spacing w:after="0"/>
              <w:rPr>
                <w:sz w:val="1"/>
                <w:szCs w:val="1"/>
                <w:color w:val="auto"/>
              </w:rPr>
            </w:pPr>
          </w:p>
        </w:tc>
      </w:tr>
      <w:tr>
        <w:trPr>
          <w:trHeight w:val="236"/>
        </w:trPr>
        <w:tc>
          <w:tcPr>
            <w:tcW w:w="6220" w:type="dxa"/>
            <w:vAlign w:val="bottom"/>
            <w:vMerge w:val="continue"/>
          </w:tcPr>
          <w:p>
            <w:pPr>
              <w:spacing w:after="0"/>
              <w:rPr>
                <w:sz w:val="20"/>
                <w:szCs w:val="20"/>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17"/>
                <w:szCs w:val="17"/>
                <w:b w:val="1"/>
                <w:bCs w:val="1"/>
                <w:color w:val="auto"/>
              </w:rPr>
              <w:t>INCORPORATION</w:t>
            </w: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The Cooper Companies,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36"/>
        </w:trPr>
        <w:tc>
          <w:tcPr>
            <w:tcW w:w="62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CooperVision,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Eyecare Prime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Paragon Vision Sciences,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Arizona</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SynergEyes,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California</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SynergEyes UK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Cooper Global Holdings,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TCC Holdings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The Cooper Companies Global Holdings LP</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England-Wales</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CooperVision Global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36"/>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CooperVision International Holding Company, LP</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England-Wales</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do Brasil Ltda</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Brazil</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Singapore Pte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Singapore</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Optical Trade (Shanghai)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CVI Contact Lens Pvt.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India</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International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Manufacturing Puerto Rico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Puerto Rico</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CooperVision Manufacturing Costa Rica,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Costa Rica</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CooperVision (UK) Holdings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Manufacturing Limited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Australia Pty Limited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Distribution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Belgium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Canada Corp.</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S.A.S.</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France</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GmbH</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Italia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Italy</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Nederland BV</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3"/>
        </w:trPr>
        <w:tc>
          <w:tcPr>
            <w:tcW w:w="62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CooperVision Nederland, Belgian Branch</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Belgium</w:t>
            </w:r>
          </w:p>
        </w:tc>
        <w:tc>
          <w:tcPr>
            <w:tcW w:w="0" w:type="dxa"/>
            <w:vAlign w:val="bottom"/>
          </w:tcPr>
          <w:p>
            <w:pPr>
              <w:spacing w:after="0"/>
              <w:rPr>
                <w:sz w:val="1"/>
                <w:szCs w:val="1"/>
                <w:color w:val="auto"/>
              </w:rPr>
            </w:pPr>
          </w:p>
        </w:tc>
      </w:tr>
      <w:tr>
        <w:trPr>
          <w:trHeight w:val="223"/>
        </w:trPr>
        <w:tc>
          <w:tcPr>
            <w:tcW w:w="62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CooperVision Japan,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Iberia SL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Spain</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S.A. (Pty) Limited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South Africa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Nordic AB</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Sweden</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Sarl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RUS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Russia</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CooperVision Israel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Israel</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CooperVision Lens Care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Sauflon CL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CooperVision CL Kft</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Hungary</w:t>
            </w:r>
          </w:p>
        </w:tc>
        <w:tc>
          <w:tcPr>
            <w:tcW w:w="0" w:type="dxa"/>
            <w:vAlign w:val="bottom"/>
          </w:tcPr>
          <w:p>
            <w:pPr>
              <w:spacing w:after="0"/>
              <w:rPr>
                <w:sz w:val="1"/>
                <w:szCs w:val="1"/>
                <w:color w:val="auto"/>
              </w:rPr>
            </w:pPr>
          </w:p>
        </w:tc>
      </w:tr>
      <w:tr>
        <w:trPr>
          <w:trHeight w:val="223"/>
        </w:trPr>
        <w:tc>
          <w:tcPr>
            <w:tcW w:w="62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Cooper Medical,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CooperSurgical,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CooperGenomics,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Invitro Genetics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Reprogenetics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LifeGlobal Group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Connecticut</w:t>
            </w:r>
          </w:p>
        </w:tc>
        <w:tc>
          <w:tcPr>
            <w:tcW w:w="0" w:type="dxa"/>
            <w:vAlign w:val="bottom"/>
          </w:tcPr>
          <w:p>
            <w:pPr>
              <w:spacing w:after="0"/>
              <w:rPr>
                <w:sz w:val="1"/>
                <w:szCs w:val="1"/>
                <w:color w:val="auto"/>
              </w:rPr>
            </w:pPr>
          </w:p>
        </w:tc>
      </w:tr>
      <w:tr>
        <w:trPr>
          <w:trHeight w:val="223"/>
        </w:trPr>
        <w:tc>
          <w:tcPr>
            <w:tcW w:w="62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Generate Parent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Cooper Surgical Holdings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CooperMedical S.r.l</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Costa Rica</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Insception Biosciences Inc.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Invitro Genetics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Research Instruments Ltd.</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30"/>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Origio A/S</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Denmark</w:t>
            </w:r>
          </w:p>
        </w:tc>
        <w:tc>
          <w:tcPr>
            <w:tcW w:w="0" w:type="dxa"/>
            <w:vAlign w:val="bottom"/>
          </w:tcPr>
          <w:p>
            <w:pPr>
              <w:spacing w:after="0"/>
              <w:rPr>
                <w:sz w:val="1"/>
                <w:szCs w:val="1"/>
                <w:color w:val="auto"/>
              </w:rPr>
            </w:pPr>
          </w:p>
        </w:tc>
      </w:tr>
      <w:tr>
        <w:trPr>
          <w:trHeight w:val="216"/>
        </w:trPr>
        <w:tc>
          <w:tcPr>
            <w:tcW w:w="62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Generate Intermediate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580"/>
              <w:spacing w:after="0"/>
              <w:rPr>
                <w:sz w:val="20"/>
                <w:szCs w:val="20"/>
                <w:color w:val="auto"/>
              </w:rPr>
            </w:pPr>
            <w:r>
              <w:rPr>
                <w:rFonts w:ascii="Times New Roman" w:cs="Times New Roman" w:eastAsia="Times New Roman" w:hAnsi="Times New Roman"/>
                <w:sz w:val="17"/>
                <w:szCs w:val="17"/>
                <w:color w:val="auto"/>
              </w:rPr>
              <w:t>Generate Life Sciences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3"/>
        </w:trPr>
        <w:tc>
          <w:tcPr>
            <w:tcW w:w="62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Generate GCP Coinvest LLC</w:t>
            </w:r>
          </w:p>
        </w:tc>
        <w:tc>
          <w:tcPr>
            <w:tcW w:w="262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119"/>
          </w:cols>
          <w:pgMar w:left="340" w:top="351" w:right="1440" w:bottom="1440" w:gutter="0" w:footer="0" w:header="0"/>
        </w:sectPr>
      </w:pPr>
    </w:p>
    <w:bookmarkStart w:id="104" w:name="page105"/>
    <w:bookmarkEnd w:id="104"/>
    <w:p>
      <w:pPr>
        <w:ind w:left="1880"/>
        <w:spacing w:after="0"/>
        <w:rPr>
          <w:sz w:val="20"/>
          <w:szCs w:val="20"/>
          <w:color w:val="auto"/>
        </w:rPr>
      </w:pPr>
      <w:r>
        <w:rPr>
          <w:rFonts w:ascii="Times New Roman" w:cs="Times New Roman" w:eastAsia="Times New Roman" w:hAnsi="Times New Roman"/>
          <w:sz w:val="17"/>
          <w:szCs w:val="17"/>
          <w:color w:val="auto"/>
        </w:rPr>
        <w:t>Generate L Blocker LLC</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Generate NQ Blocker LLC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Generate LNQ Holdings LLC</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Cryobank Holdings LLC</w:t>
      </w:r>
    </w:p>
    <w:p>
      <w:pPr>
        <w:spacing w:after="0" w:line="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California Cryobank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CCB-Kitazato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CCB-DEB LLC</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CCB-Fertility Tech LLC</w:t>
      </w:r>
    </w:p>
    <w:p>
      <w:pPr>
        <w:spacing w:after="0" w:line="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Donor Application LLC</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DEB Donor Egg Bank Canada Ltd</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California Cryobank Stem Cell Services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CCB-NWC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CCB-MCB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Generate IP Holdings LLC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Generate Sperm Bank Canada Ltd.</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CBR Acquisition Holdings Corp.</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CBR Systems, Inc.</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Generate International LLC</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Generate Life Sciences Australia Pty Ltd</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Generate CC Australia Pty Ltd</w:t>
      </w:r>
    </w:p>
    <w:p>
      <w:pPr>
        <w:spacing w:after="0" w:line="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SC Storage Holdings Pty Ltd</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SC Storage Finance Pty Ltd</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SC Storage Operations Pty Ltd</w:t>
      </w:r>
    </w:p>
    <w:p>
      <w:pPr>
        <w:spacing w:after="0" w:line="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Cell Care Australia Pty Ltd</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color w:val="auto"/>
        </w:rPr>
        <w:t>Cell Care Australia Pty Ltd, New Zealand Branch</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CooperSurgical Distribution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211" w:lineRule="exact"/>
        <w:rPr>
          <w:sz w:val="20"/>
          <w:szCs w:val="20"/>
          <w:color w:val="auto"/>
        </w:rPr>
      </w:pPr>
    </w:p>
    <w:p>
      <w:pPr>
        <w:sectPr>
          <w:pgSz w:w="11900" w:h="16838" w:orient="portrait"/>
          <w:cols w:equalWidth="0" w:num="2">
            <w:col w:w="6680" w:space="600"/>
            <w:col w:w="2859"/>
          </w:cols>
          <w:pgMar w:left="320" w:top="393" w:right="1440"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subsidiary is wholly-owned either by The Cooper Companies, Inc. or by the wholly-owned subsidiary under which it is indented in the list above.</w:t>
      </w:r>
    </w:p>
    <w:p>
      <w:pPr>
        <w:sectPr>
          <w:pgSz w:w="11900" w:h="16838" w:orient="portrait"/>
          <w:cols w:equalWidth="0" w:num="1">
            <w:col w:w="10139"/>
          </w:cols>
          <w:pgMar w:left="320" w:top="393" w:right="1440"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333-133720, 333-143338, 333-158892, 333-174682, 333-233577, 333-237505, and 333-270957) on Form S-8 of our report dated December 5, 2025, with respect to the consolidated financial statements of The Cooper Companies,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5, 2025</w:t>
      </w:r>
    </w:p>
    <w:p>
      <w:pPr>
        <w:sectPr>
          <w:pgSz w:w="11900" w:h="16838" w:orient="portrait"/>
          <w:cols w:equalWidth="0" w:num="1">
            <w:col w:w="11240"/>
          </w:cols>
          <w:pgMar w:left="320" w:top="14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CERTIFICATION PURSUANT TO EXCHANGE ACT RULE 13a-14(a)/15d-14(a)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Albert G. White III, certify that:</w:t>
      </w:r>
    </w:p>
    <w:p>
      <w:pPr>
        <w:spacing w:after="0" w:line="250" w:lineRule="exact"/>
        <w:rPr>
          <w:sz w:val="20"/>
          <w:szCs w:val="20"/>
          <w:color w:val="auto"/>
        </w:rPr>
      </w:pPr>
    </w:p>
    <w:p>
      <w:pPr>
        <w:ind w:left="180" w:hanging="175"/>
        <w:spacing w:after="0"/>
        <w:tabs>
          <w:tab w:leader="none" w:pos="1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Cooper Companies, Inc. (the “registrant”);</w:t>
      </w:r>
    </w:p>
    <w:p>
      <w:pPr>
        <w:spacing w:after="0" w:line="250" w:lineRule="exact"/>
        <w:rPr>
          <w:rFonts w:ascii="Times New Roman" w:cs="Times New Roman" w:eastAsia="Times New Roman" w:hAnsi="Times New Roman"/>
          <w:sz w:val="17"/>
          <w:szCs w:val="17"/>
          <w:color w:val="auto"/>
        </w:rPr>
      </w:pPr>
    </w:p>
    <w:p>
      <w:pPr>
        <w:ind w:right="120" w:firstLine="5"/>
        <w:spacing w:after="0" w:line="297" w:lineRule="auto"/>
        <w:tabs>
          <w:tab w:leader="none" w:pos="17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7"/>
          <w:szCs w:val="17"/>
          <w:color w:val="auto"/>
        </w:rPr>
      </w:pPr>
    </w:p>
    <w:p>
      <w:pPr>
        <w:ind w:right="200" w:firstLine="5"/>
        <w:spacing w:after="0" w:line="297" w:lineRule="auto"/>
        <w:tabs>
          <w:tab w:leader="none" w:pos="17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7"/>
          <w:szCs w:val="17"/>
          <w:color w:val="auto"/>
        </w:rPr>
      </w:pPr>
    </w:p>
    <w:p>
      <w:pPr>
        <w:ind w:right="60" w:firstLine="5"/>
        <w:spacing w:after="0" w:line="289" w:lineRule="auto"/>
        <w:tabs>
          <w:tab w:leader="none" w:pos="17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4" w:lineRule="exact"/>
        <w:rPr>
          <w:rFonts w:ascii="Times New Roman" w:cs="Times New Roman" w:eastAsia="Times New Roman" w:hAnsi="Times New Roman"/>
          <w:sz w:val="17"/>
          <w:szCs w:val="17"/>
          <w:color w:val="auto"/>
        </w:rPr>
      </w:pPr>
    </w:p>
    <w:p>
      <w:pPr>
        <w:ind w:left="320" w:right="20"/>
        <w:spacing w:after="0" w:line="277" w:lineRule="auto"/>
        <w:tabs>
          <w:tab w:leader="none" w:pos="49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jc w:val="both"/>
        <w:ind w:left="320" w:right="100"/>
        <w:spacing w:after="0" w:line="277" w:lineRule="auto"/>
        <w:tabs>
          <w:tab w:leader="none" w:pos="50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320" w:right="200"/>
        <w:spacing w:after="0" w:line="297" w:lineRule="auto"/>
        <w:tabs>
          <w:tab w:leader="none" w:pos="49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jc w:val="both"/>
        <w:ind w:left="320" w:right="420"/>
        <w:spacing w:after="0" w:line="277" w:lineRule="auto"/>
        <w:tabs>
          <w:tab w:leader="none" w:pos="50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7"/>
          <w:szCs w:val="17"/>
          <w:color w:val="auto"/>
        </w:rPr>
      </w:pPr>
    </w:p>
    <w:p>
      <w:pPr>
        <w:ind w:firstLine="5"/>
        <w:spacing w:after="0" w:line="297" w:lineRule="auto"/>
        <w:tabs>
          <w:tab w:leader="none" w:pos="17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7"/>
          <w:szCs w:val="17"/>
          <w:color w:val="auto"/>
        </w:rPr>
      </w:pPr>
    </w:p>
    <w:p>
      <w:pPr>
        <w:ind w:left="320" w:right="100"/>
        <w:spacing w:after="0" w:line="297" w:lineRule="auto"/>
        <w:tabs>
          <w:tab w:leader="none" w:pos="49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320" w:right="340"/>
        <w:spacing w:after="0" w:line="297" w:lineRule="auto"/>
        <w:tabs>
          <w:tab w:leader="none" w:pos="50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7"/>
          <w:szCs w:val="17"/>
          <w:color w:val="auto"/>
        </w:rPr>
        <w:t>Date:</w:t>
        <w:tab/>
        <w:t>December 5, 2025</w:t>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17780</wp:posOffset>
            </wp:positionV>
            <wp:extent cx="22485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Albert G. White III</w:t>
      </w:r>
    </w:p>
    <w:p>
      <w:pPr>
        <w:spacing w:after="0" w:line="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35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CERTIFICATION PURSUANT TO EXCHANGE ACT RULE 13a-14(a)/15d-14(a) AS ADOPTED PURSUANT TO SECTION 302 OF THE SARBANES-OXLEY ACT OF 2002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G. Andrews, certify that:</w:t>
      </w:r>
    </w:p>
    <w:p>
      <w:pPr>
        <w:spacing w:after="0" w:line="250" w:lineRule="exact"/>
        <w:rPr>
          <w:sz w:val="20"/>
          <w:szCs w:val="20"/>
          <w:color w:val="auto"/>
        </w:rPr>
      </w:pPr>
    </w:p>
    <w:p>
      <w:pPr>
        <w:ind w:left="180" w:hanging="175"/>
        <w:spacing w:after="0"/>
        <w:tabs>
          <w:tab w:leader="none" w:pos="1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Cooper Companies, Inc. (the “registrant”);</w:t>
      </w:r>
    </w:p>
    <w:p>
      <w:pPr>
        <w:spacing w:after="0" w:line="250" w:lineRule="exact"/>
        <w:rPr>
          <w:rFonts w:ascii="Times New Roman" w:cs="Times New Roman" w:eastAsia="Times New Roman" w:hAnsi="Times New Roman"/>
          <w:sz w:val="17"/>
          <w:szCs w:val="17"/>
          <w:color w:val="auto"/>
        </w:rPr>
      </w:pPr>
    </w:p>
    <w:p>
      <w:pPr>
        <w:ind w:right="120" w:firstLine="5"/>
        <w:spacing w:after="0" w:line="297" w:lineRule="auto"/>
        <w:tabs>
          <w:tab w:leader="none" w:pos="17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7"/>
          <w:szCs w:val="17"/>
          <w:color w:val="auto"/>
        </w:rPr>
      </w:pPr>
    </w:p>
    <w:p>
      <w:pPr>
        <w:ind w:right="200" w:firstLine="5"/>
        <w:spacing w:after="0" w:line="297" w:lineRule="auto"/>
        <w:tabs>
          <w:tab w:leader="none" w:pos="17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7"/>
          <w:szCs w:val="17"/>
          <w:color w:val="auto"/>
        </w:rPr>
      </w:pPr>
    </w:p>
    <w:p>
      <w:pPr>
        <w:ind w:right="60" w:firstLine="5"/>
        <w:spacing w:after="0" w:line="289" w:lineRule="auto"/>
        <w:tabs>
          <w:tab w:leader="none" w:pos="17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4" w:lineRule="exact"/>
        <w:rPr>
          <w:rFonts w:ascii="Times New Roman" w:cs="Times New Roman" w:eastAsia="Times New Roman" w:hAnsi="Times New Roman"/>
          <w:sz w:val="17"/>
          <w:szCs w:val="17"/>
          <w:color w:val="auto"/>
        </w:rPr>
      </w:pPr>
    </w:p>
    <w:p>
      <w:pPr>
        <w:ind w:left="320" w:right="20"/>
        <w:spacing w:after="0" w:line="277" w:lineRule="auto"/>
        <w:tabs>
          <w:tab w:leader="none" w:pos="49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17"/>
          <w:szCs w:val="17"/>
          <w:color w:val="auto"/>
        </w:rPr>
      </w:pPr>
    </w:p>
    <w:p>
      <w:pPr>
        <w:jc w:val="both"/>
        <w:ind w:left="320" w:right="100"/>
        <w:spacing w:after="0" w:line="277" w:lineRule="auto"/>
        <w:tabs>
          <w:tab w:leader="none" w:pos="50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7"/>
          <w:szCs w:val="17"/>
          <w:color w:val="auto"/>
        </w:rPr>
      </w:pPr>
    </w:p>
    <w:p>
      <w:pPr>
        <w:ind w:left="320" w:right="200"/>
        <w:spacing w:after="0" w:line="297" w:lineRule="auto"/>
        <w:tabs>
          <w:tab w:leader="none" w:pos="49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7"/>
          <w:szCs w:val="17"/>
          <w:color w:val="auto"/>
        </w:rPr>
      </w:pPr>
    </w:p>
    <w:p>
      <w:pPr>
        <w:jc w:val="both"/>
        <w:ind w:left="320" w:right="420"/>
        <w:spacing w:after="0" w:line="277" w:lineRule="auto"/>
        <w:tabs>
          <w:tab w:leader="none" w:pos="50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7"/>
          <w:szCs w:val="17"/>
          <w:color w:val="auto"/>
        </w:rPr>
      </w:pPr>
    </w:p>
    <w:p>
      <w:pPr>
        <w:ind w:firstLine="5"/>
        <w:spacing w:after="0" w:line="297" w:lineRule="auto"/>
        <w:tabs>
          <w:tab w:leader="none" w:pos="17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7"/>
          <w:szCs w:val="17"/>
          <w:color w:val="auto"/>
        </w:rPr>
      </w:pPr>
    </w:p>
    <w:p>
      <w:pPr>
        <w:ind w:left="320" w:right="100"/>
        <w:spacing w:after="0" w:line="297" w:lineRule="auto"/>
        <w:tabs>
          <w:tab w:leader="none" w:pos="49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320" w:right="340"/>
        <w:spacing w:after="0" w:line="297" w:lineRule="auto"/>
        <w:tabs>
          <w:tab w:leader="none" w:pos="50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December 5, 2025</w:t>
      </w:r>
    </w:p>
    <w:p>
      <w:pPr>
        <w:spacing w:after="0" w:line="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17780</wp:posOffset>
            </wp:positionV>
            <wp:extent cx="21647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Brian G. Andrews</w:t>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5"/>
          <w:szCs w:val="15"/>
          <w:color w:val="auto"/>
        </w:rPr>
        <w:t>Executive Vice President, Chief Financial Officer and</w:t>
      </w:r>
    </w:p>
    <w:p>
      <w:pPr>
        <w:jc w:val="center"/>
        <w:ind w:left="660"/>
        <w:spacing w:after="0"/>
        <w:rPr>
          <w:sz w:val="20"/>
          <w:szCs w:val="20"/>
          <w:color w:val="auto"/>
        </w:rPr>
      </w:pPr>
      <w:r>
        <w:rPr>
          <w:rFonts w:ascii="Times New Roman" w:cs="Times New Roman" w:eastAsia="Times New Roman" w:hAnsi="Times New Roman"/>
          <w:sz w:val="15"/>
          <w:szCs w:val="15"/>
          <w:color w:val="auto"/>
        </w:rPr>
        <w:t>Treasurer</w:t>
      </w:r>
    </w:p>
    <w:p>
      <w:pPr>
        <w:sectPr>
          <w:pgSz w:w="11900" w:h="16838" w:orient="portrait"/>
          <w:cols w:equalWidth="0" w:num="1">
            <w:col w:w="11240"/>
          </w:cols>
          <w:pgMar w:left="320" w:top="35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I, Albert G. White III, do hereby certify, pursuant to 18 U.S.C. Section 1350, as adopted pursuant to Section 906 of the Sarbanes-Oxley Act of 2002, that, to my knowledge:</w:t>
      </w:r>
    </w:p>
    <w:p>
      <w:pPr>
        <w:spacing w:after="0" w:line="172" w:lineRule="exact"/>
        <w:rPr>
          <w:sz w:val="20"/>
          <w:szCs w:val="20"/>
          <w:color w:val="auto"/>
        </w:rPr>
      </w:pPr>
    </w:p>
    <w:p>
      <w:pPr>
        <w:ind w:left="320" w:hanging="315"/>
        <w:spacing w:after="0" w:line="297" w:lineRule="auto"/>
        <w:tabs>
          <w:tab w:leader="none" w:pos="3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Cooper Companies, Inc. (the "Company") for the fiscal year ended October 31, 2025, as filed with the Securities and Exchange Commission (the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5,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Albert G. White III</w:t>
            </w:r>
          </w:p>
        </w:tc>
      </w:tr>
      <w:tr>
        <w:trPr>
          <w:trHeight w:val="211"/>
        </w:trPr>
        <w:tc>
          <w:tcPr>
            <w:tcW w:w="5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Albert G. White III</w:t>
            </w:r>
          </w:p>
        </w:tc>
      </w:tr>
      <w:tr>
        <w:trPr>
          <w:trHeight w:val="228"/>
        </w:trPr>
        <w:tc>
          <w:tcPr>
            <w:tcW w:w="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11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I, Brian G. Andrews, do hereby certify, pursuant to 18 U.S.C. Section 1350, as adopted pursuant to Section 906 of the Sarbanes-Oxley Act of 2002, that, to my knowledge:</w:t>
      </w:r>
    </w:p>
    <w:p>
      <w:pPr>
        <w:spacing w:after="0" w:line="172" w:lineRule="exact"/>
        <w:rPr>
          <w:sz w:val="20"/>
          <w:szCs w:val="20"/>
          <w:color w:val="auto"/>
        </w:rPr>
      </w:pPr>
    </w:p>
    <w:p>
      <w:pPr>
        <w:ind w:left="320" w:hanging="315"/>
        <w:spacing w:after="0" w:line="297" w:lineRule="auto"/>
        <w:tabs>
          <w:tab w:leader="none" w:pos="3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Cooper Companies, Inc. (the "Company") for the fiscal year ended October 31, 2025, as filed with the Securities and Exchange Commission (the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Date:   December 5,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G. Andrews</w:t>
            </w:r>
          </w:p>
        </w:tc>
      </w:tr>
      <w:tr>
        <w:trPr>
          <w:trHeight w:val="211"/>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G. Andrews</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2"/>
    </w:lvl>
    <w:lvl w:ilvl="1">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2"/>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lowerLetter"/>
      <w:start w:val="2"/>
    </w:lvl>
  </w:abstractNum>
  <w:abstractNum w:abstractNumId="40">
    <w:nsid w:val="684A481A"/>
    <w:multiLevelType w:val="hybridMultilevel"/>
    <w:lvl w:ilvl="0">
      <w:lvlJc w:val="left"/>
      <w:lvlText w:val="%1"/>
      <w:numFmt w:val="decimal"/>
      <w:start w:val="21"/>
    </w:lvl>
  </w:abstractNum>
  <w:abstractNum w:abstractNumId="41">
    <w:nsid w:val="579478FE"/>
    <w:multiLevelType w:val="hybridMultilevel"/>
    <w:lvl w:ilvl="0">
      <w:lvlJc w:val="left"/>
      <w:lvlText w:val="%1"/>
      <w:numFmt w:val="decimal"/>
      <w:start w:val="23"/>
    </w:lvl>
  </w:abstractNum>
  <w:abstractNum w:abstractNumId="42">
    <w:nsid w:val="749ABB43"/>
    <w:multiLevelType w:val="hybridMultilevel"/>
    <w:lvl w:ilvl="0">
      <w:lvlJc w:val="left"/>
      <w:lvlText w:val="%1"/>
      <w:numFmt w:val="decimal"/>
      <w:start w:val="101"/>
    </w:lvl>
  </w:abstractNum>
  <w:abstractNum w:abstractNumId="43">
    <w:nsid w:val="3DC240FB"/>
    <w:multiLevelType w:val="hybridMultilevel"/>
    <w:lvl w:ilvl="0">
      <w:lvlJc w:val="left"/>
      <w:lvlText w:val="%1"/>
      <w:numFmt w:val="lowerLetter"/>
      <w:start w:val="1"/>
    </w:lvl>
    <w:lvl w:ilvl="1">
      <w:lvlJc w:val="left"/>
      <w:lvlText w:val="%2"/>
      <w:numFmt w:val="decimal"/>
      <w:start w:val="104"/>
    </w:lvl>
  </w:abstractNum>
  <w:abstractNum w:abstractNumId="44">
    <w:nsid w:val="1BA026FA"/>
    <w:multiLevelType w:val="hybridMultilevel"/>
    <w:lvl w:ilvl="0">
      <w:lvlJc w:val="left"/>
      <w:lvlText w:val="(%1)"/>
      <w:numFmt w:val="lowerLetter"/>
      <w:start w:val="1"/>
    </w:lvl>
    <w:lvl w:ilvl="1">
      <w:lvlJc w:val="left"/>
      <w:lvlText w:val="%2"/>
      <w:numFmt w:val="decimal"/>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42"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18" Type="http://schemas.openxmlformats.org/officeDocument/2006/relationships/hyperlink" Target="https://www.sec.gov/Archives/edgar/data/711404/000119312506006352/dex31.htm" TargetMode="External"/><Relationship Id="rId119" Type="http://schemas.openxmlformats.org/officeDocument/2006/relationships/hyperlink" Target="https://www.sec.gov/Archives/edgar/data/711404/000071140424000010/coo-charteramendmentstocks.htm" TargetMode="External"/><Relationship Id="rId120" Type="http://schemas.openxmlformats.org/officeDocument/2006/relationships/hyperlink" Target="https://www.sec.gov/Archives/edgar/data/711404/000071140424000065/a3-cooxex31xamendedandrest.htm" TargetMode="External"/><Relationship Id="rId121" Type="http://schemas.openxmlformats.org/officeDocument/2006/relationships/hyperlink" Target="https://www.sec.gov/Archives/edgar/data/711404/000071140425000040/coo-ex31_2025x04x30x10q.htm" TargetMode="External"/><Relationship Id="rId122" Type="http://schemas.openxmlformats.org/officeDocument/2006/relationships/hyperlink" Target="https://www.sec.gov/Archives/edgar/data/711404/000071140423000048/coo-form8xatransferfromnys.htm" TargetMode="External"/><Relationship Id="rId123" Type="http://schemas.openxmlformats.org/officeDocument/2006/relationships/hyperlink" Target="https://www.sec.gov/Archives/edgar/data/711404/000119312507197691/dex101.htm" TargetMode="External"/><Relationship Id="rId124" Type="http://schemas.openxmlformats.org/officeDocument/2006/relationships/hyperlink" Target="https://www.sec.gov/ix?doc=/Archives/edgar/data/711404/000071140424000043/coo-ex102_2024x04x30x10q.htm" TargetMode="External"/><Relationship Id="rId125" Type="http://schemas.openxmlformats.org/officeDocument/2006/relationships/hyperlink" Target="https://www.sec.gov/ix?doc=/Archives/edgar/data/711404/000071140424000043/coo-ex103_2024x04x30x10q.htm" TargetMode="External"/><Relationship Id="rId126" Type="http://schemas.openxmlformats.org/officeDocument/2006/relationships/hyperlink" Target="https://www.sec.gov/Archives/edgar/data/711404/000071140419000026/coo-ex102_2019x04x30x10q.htm" TargetMode="External"/><Relationship Id="rId127" Type="http://schemas.openxmlformats.org/officeDocument/2006/relationships/hyperlink" Target="https://www.sec.gov/Archives/edgar/data/711404/000071140419000026/coo-ex104_2019x04x30x10q.htm" TargetMode="External"/><Relationship Id="rId128" Type="http://schemas.openxmlformats.org/officeDocument/2006/relationships/hyperlink" Target="https://www.sec.gov/Archives/edgar/data/711404/000119312516443302/d117679ddef14a.htm" TargetMode="External"/><Relationship Id="rId129" Type="http://schemas.openxmlformats.org/officeDocument/2006/relationships/hyperlink" Target="https://www.sec.gov/Archives/edgar/data/711404/000119312507270797/dex1032.htm" TargetMode="External"/><Relationship Id="rId130" Type="http://schemas.openxmlformats.org/officeDocument/2006/relationships/hyperlink" Target="https://www.sec.gov/Archives/edgar/data/711404/000119312507270797/dex1034.htm" TargetMode="External"/><Relationship Id="rId131" Type="http://schemas.openxmlformats.org/officeDocument/2006/relationships/hyperlink" Target="https://www.sec.gov/Archives/edgar/data/711404/000119312509029284/dex101.htm" TargetMode="External"/><Relationship Id="rId132" Type="http://schemas.openxmlformats.org/officeDocument/2006/relationships/hyperlink" Target="https://www.sec.gov/Archives/edgar/data/711404/000119312519025849/d686735ddef14a.htm" TargetMode="External"/><Relationship Id="rId133" Type="http://schemas.openxmlformats.org/officeDocument/2006/relationships/hyperlink" Target="https://www.sec.gov/Archives/edgar/data/711404/000119312520024203/d873721ddef14a.htm#toc873721_23" TargetMode="External"/><Relationship Id="rId134" Type="http://schemas.openxmlformats.org/officeDocument/2006/relationships/hyperlink" Target="https://www.sec.gov/Archives/edgar/data/711404/000119312519315153/d844723dex101.htm" TargetMode="External"/><Relationship Id="rId135" Type="http://schemas.openxmlformats.org/officeDocument/2006/relationships/hyperlink" Target="https://www.sec.gov/Archives/edgar/data/711404/000119312508257120/dex1041.htm" TargetMode="External"/><Relationship Id="rId136" Type="http://schemas.openxmlformats.org/officeDocument/2006/relationships/hyperlink" Target="https://www.sec.gov/Archives/edgar/data/711404/000119312512513185/d458352dex991.htm" TargetMode="External"/><Relationship Id="rId137" Type="http://schemas.openxmlformats.org/officeDocument/2006/relationships/hyperlink" Target="https://www.sec.gov/Archives/edgar/data/711404/000119312505004815/dex101.htm" TargetMode="External"/><Relationship Id="rId138" Type="http://schemas.openxmlformats.org/officeDocument/2006/relationships/hyperlink" Target="https://www.sec.gov/Archives/edgar/data/711404/000119312505004815/dex102.htm" TargetMode="External"/><Relationship Id="rId139" Type="http://schemas.openxmlformats.org/officeDocument/2006/relationships/hyperlink" Target="https://www.sec.gov/Archives/edgar/data/711404/000119312505004815/dex103.htm" TargetMode="External"/><Relationship Id="rId140" Type="http://schemas.openxmlformats.org/officeDocument/2006/relationships/hyperlink" Target="https://www.sec.gov/Archives/edgar/data/711404/000156459020014844/coo-ex101_8.htm" TargetMode="External"/><Relationship Id="rId141" Type="http://schemas.openxmlformats.org/officeDocument/2006/relationships/hyperlink" Target="https://www.sec.gov/Archives/edgar/data/711404/000071140420000042/c00-ex102020201031x10k.htm" TargetMode="External"/><Relationship Id="rId143" Type="http://schemas.openxmlformats.org/officeDocument/2006/relationships/hyperlink" Target="https://www.sec.gov/Archives/edgar/data/711404/000119312521361145/d272863dex101.htm" TargetMode="External"/><Relationship Id="rId144" Type="http://schemas.openxmlformats.org/officeDocument/2006/relationships/hyperlink" Target="https://www.sec.gov/Archives/edgar/data/711404/000071140422000015/coo-ex103_2022x01x31x10q.htm" TargetMode="External"/><Relationship Id="rId145" Type="http://schemas.openxmlformats.org/officeDocument/2006/relationships/hyperlink" Target="https://www.sec.gov/Archives/edgar/data/711404/000071140423000013/coo-ex101_2023x01x31x10q.htm" TargetMode="External"/><Relationship Id="rId146" Type="http://schemas.openxmlformats.org/officeDocument/2006/relationships/hyperlink" Target="https://www.sec.gov/Archives/edgar/data/711404/000071140423000013/coo-ex102_2023x01x31x10q.htm" TargetMode="External"/><Relationship Id="rId147" Type="http://schemas.openxmlformats.org/officeDocument/2006/relationships/hyperlink" Target="https://www.sec.gov/Archives/edgar/data/711404/000119312523019077/d448199ddef14a.htm#toc448199_29" TargetMode="External"/><Relationship Id="rId148" Type="http://schemas.openxmlformats.org/officeDocument/2006/relationships/hyperlink" Target="https://www.sec.gov/Archives/edgar/data/711404/000071140423000033/coo-ex102_2023x04x30x10q.htm" TargetMode="External"/><Relationship Id="rId149" Type="http://schemas.openxmlformats.org/officeDocument/2006/relationships/hyperlink" Target="https://www.sec.gov/Archives/edgar/data/711404/000071140423000033/coo-ex103_2023x04x30x10q.htm" TargetMode="External"/><Relationship Id="rId150" Type="http://schemas.openxmlformats.org/officeDocument/2006/relationships/hyperlink" Target="https://www.sec.gov/Archives/edgar/data/711404/000071140423000033/coo-ex104_2023x04x30x10q.htm" TargetMode="External"/><Relationship Id="rId151" Type="http://schemas.openxmlformats.org/officeDocument/2006/relationships/hyperlink" Target="https://www.sec.gov/Archives/edgar/data/711404/000119312517021098/d306891ddef14a.htm" TargetMode="External"/><Relationship Id="rId152" Type="http://schemas.openxmlformats.org/officeDocument/2006/relationships/hyperlink" Target="https://www.sec.gov/Archives/edgar/data/711404/000071140423000072/coo-ex1032_20231031x10k.htm" TargetMode="External"/><Relationship Id="rId153" Type="http://schemas.openxmlformats.org/officeDocument/2006/relationships/hyperlink" Target="https://www.sec.gov/ix?doc=/Archives/edgar/data/711404/000071140424000043/coo-ex101_2024x04x30x10q.htm" TargetMode="External"/><Relationship Id="rId154" Type="http://schemas.openxmlformats.org/officeDocument/2006/relationships/hyperlink" Target="https://www.sec.gov/Archives/edgar/data/711404/000071140424000024/a2024creditagreement.htm" TargetMode="External"/><Relationship Id="rId155" Type="http://schemas.openxmlformats.org/officeDocument/2006/relationships/hyperlink" Target="https://www.sec.gov/Archives/edgar/data/711404/000071140424000024/amendmentno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2025-12-05T15:40:45Z</dcterms:created>
  <dcterms:modified xsi:type="dcterms:W3CDTF">2025-12-05T15:40:45Z</dcterms:modified>
</cp:coreProperties>
</file>