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sectPr>
      </w:pPr>
    </w:p>
    <w:p>
      <w:pPr>
        <w:spacing w:after="0" w:line="81" w:lineRule="exact"/>
        <w:rPr>
          <w:sz w:val="24"/>
          <w:szCs w:val="24"/>
          <w:color w:val="auto"/>
        </w:rPr>
      </w:pPr>
    </w:p>
    <w:p>
      <w:pPr>
        <w:ind w:left="1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80" w:space="720"/>
            <w:col w:w="9140"/>
          </w:cols>
          <w:pgMar w:left="320" w:top="1084"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April 30, 2023</w:t>
      </w:r>
    </w:p>
    <w:p>
      <w:pPr>
        <w:sectPr>
          <w:pgSz w:w="11900" w:h="16838" w:orient="portrait"/>
          <w:cols w:equalWidth="0" w:num="1">
            <w:col w:w="11240"/>
          </w:cols>
          <w:pgMar w:left="320" w:top="1084" w:right="339" w:bottom="1440" w:gutter="0" w:footer="0" w:header="0"/>
          <w:type w:val="continuous"/>
        </w:sectPr>
      </w:pPr>
    </w:p>
    <w:p>
      <w:pPr>
        <w:spacing w:after="0" w:line="110" w:lineRule="exact"/>
        <w:rPr>
          <w:sz w:val="24"/>
          <w:szCs w:val="24"/>
          <w:color w:val="auto"/>
        </w:rPr>
      </w:pPr>
    </w:p>
    <w:p>
      <w:pPr>
        <w:ind w:left="1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spacing w:after="0" w:line="26"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type w:val="continuous"/>
        </w:sectPr>
      </w:pPr>
    </w:p>
    <w:p>
      <w:pPr>
        <w:spacing w:after="0" w:line="178"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45" w:lineRule="exact"/>
        <w:rPr>
          <w:sz w:val="24"/>
          <w:szCs w:val="24"/>
          <w:color w:val="auto"/>
        </w:rPr>
      </w:pPr>
    </w:p>
    <w:p>
      <w:pPr>
        <w:sectPr>
          <w:pgSz w:w="11900" w:h="16838" w:orient="portrait"/>
          <w:cols w:equalWidth="0" w:num="2">
            <w:col w:w="7480" w:space="720"/>
            <w:col w:w="3040"/>
          </w:cols>
          <w:pgMar w:left="320" w:top="1084" w:right="339" w:bottom="1440" w:gutter="0" w:footer="0" w:header="0"/>
          <w:type w:val="continuous"/>
        </w:sectPr>
      </w:pPr>
    </w:p>
    <w:p>
      <w:pPr>
        <w:spacing w:after="0" w:line="10"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spacing w:after="0" w:line="2"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2">
            <w:col w:w="7360" w:space="720"/>
            <w:col w:w="3160"/>
          </w:cols>
          <w:pgMar w:left="320" w:top="108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41"/>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320" w:type="dxa"/>
            <w:vAlign w:val="bottom"/>
          </w:tcPr>
          <w:p>
            <w:pPr>
              <w:spacing w:after="0"/>
              <w:rPr>
                <w:sz w:val="20"/>
                <w:szCs w:val="20"/>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w:t>
            </w:r>
          </w:p>
        </w:tc>
        <w:tc>
          <w:tcPr>
            <w:tcW w:w="340" w:type="dxa"/>
            <w:vAlign w:val="bottom"/>
          </w:tcPr>
          <w:p>
            <w:pPr>
              <w:spacing w:after="0"/>
              <w:rPr>
                <w:sz w:val="20"/>
                <w:szCs w:val="20"/>
                <w:color w:val="auto"/>
              </w:rPr>
            </w:pP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COO</w:t>
            </w:r>
          </w:p>
        </w:tc>
        <w:tc>
          <w:tcPr>
            <w:tcW w:w="3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20"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5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80"/>
        <w:spacing w:after="0" w:line="27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26, 2023, 49,507,924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gridSpan w:val="7"/>
          </w:tcPr>
          <w:p>
            <w:pPr>
              <w:ind w:left="80"/>
              <w:spacing w:after="0"/>
              <w:rPr>
                <w:sz w:val="20"/>
                <w:szCs w:val="20"/>
                <w:color w:val="auto"/>
              </w:rPr>
            </w:pPr>
            <w:r>
              <w:rPr>
                <w:rFonts w:ascii="Arial" w:cs="Arial" w:eastAsia="Arial" w:hAnsi="Arial"/>
                <w:sz w:val="17"/>
                <w:szCs w:val="17"/>
                <w:color w:val="auto"/>
              </w:rPr>
              <w:t>INDEX</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73"/>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0" w:type="dxa"/>
            <w:vAlign w:val="bottom"/>
            <w:tcBorders>
              <w:bottom w:val="single" w:sz="8" w:color="auto"/>
            </w:tcBorders>
            <w:gridSpan w:val="4"/>
          </w:tcPr>
          <w:p>
            <w:pPr>
              <w:ind w:left="480"/>
              <w:spacing w:after="0"/>
              <w:rPr>
                <w:sz w:val="20"/>
                <w:szCs w:val="20"/>
                <w:color w:val="auto"/>
              </w:rPr>
            </w:pPr>
            <w:r>
              <w:rPr>
                <w:rFonts w:ascii="Arial" w:cs="Arial" w:eastAsia="Arial" w:hAnsi="Arial"/>
                <w:sz w:val="17"/>
                <w:szCs w:val="17"/>
                <w:color w:val="auto"/>
              </w:rPr>
              <w:t>Page No.</w:t>
            </w:r>
          </w:p>
        </w:tc>
      </w:tr>
      <w:tr>
        <w:trPr>
          <w:trHeight w:val="175"/>
        </w:trPr>
        <w:tc>
          <w:tcPr>
            <w:tcW w:w="1340" w:type="dxa"/>
            <w:vAlign w:val="bottom"/>
            <w:gridSpan w:val="3"/>
          </w:tcPr>
          <w:p>
            <w:pPr>
              <w:spacing w:after="0" w:line="176" w:lineRule="exact"/>
              <w:rPr>
                <w:sz w:val="20"/>
                <w:szCs w:val="20"/>
                <w:color w:val="auto"/>
              </w:rPr>
            </w:pPr>
            <w:r>
              <w:rPr>
                <w:rFonts w:ascii="Arial" w:cs="Arial" w:eastAsia="Arial" w:hAnsi="Arial"/>
                <w:sz w:val="17"/>
                <w:szCs w:val="17"/>
                <w:color w:val="auto"/>
              </w:rPr>
              <w:t>PART I.</w:t>
            </w:r>
          </w:p>
        </w:tc>
        <w:tc>
          <w:tcPr>
            <w:tcW w:w="2140" w:type="dxa"/>
            <w:vAlign w:val="bottom"/>
            <w:tcBorders>
              <w:bottom w:val="single" w:sz="8" w:color="0000FF"/>
            </w:tcBorders>
            <w:gridSpan w:val="7"/>
          </w:tcPr>
          <w:p>
            <w:pPr>
              <w:spacing w:after="0" w:line="176" w:lineRule="exact"/>
              <w:rPr>
                <w:sz w:val="20"/>
                <w:szCs w:val="20"/>
                <w:color w:val="auto"/>
              </w:rPr>
            </w:pPr>
            <w:r>
              <w:rPr>
                <w:rFonts w:ascii="Arial" w:cs="Arial" w:eastAsia="Arial" w:hAnsi="Arial"/>
                <w:sz w:val="17"/>
                <w:szCs w:val="17"/>
                <w:color w:val="0000FF"/>
                <w:w w:val="99"/>
              </w:rPr>
              <w:t>FINANCIAL INFORMATION</w:t>
            </w:r>
          </w:p>
        </w:tc>
        <w:tc>
          <w:tcPr>
            <w:tcW w:w="6140" w:type="dxa"/>
            <w:vAlign w:val="bottom"/>
            <w:gridSpan w:val="12"/>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280" w:type="dxa"/>
            <w:vAlign w:val="bottom"/>
            <w:gridSpan w:val="19"/>
          </w:tcPr>
          <w:p>
            <w:pPr>
              <w:spacing w:after="0"/>
              <w:rPr>
                <w:sz w:val="20"/>
                <w:szCs w:val="20"/>
                <w:color w:val="auto"/>
              </w:rPr>
            </w:pPr>
            <w:r>
              <w:rPr>
                <w:rFonts w:ascii="Arial" w:cs="Arial" w:eastAsia="Arial" w:hAnsi="Arial"/>
                <w:sz w:val="17"/>
                <w:szCs w:val="17"/>
                <w:color w:val="0000FF"/>
              </w:rPr>
              <w:t>Unaudited Financial Statements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6"/>
          </w:tcPr>
          <w:p>
            <w:pPr>
              <w:spacing w:after="0"/>
              <w:rPr>
                <w:sz w:val="20"/>
                <w:szCs w:val="20"/>
                <w:color w:val="auto"/>
              </w:rPr>
            </w:pPr>
            <w:r>
              <w:rPr>
                <w:rFonts w:ascii="Arial" w:cs="Arial" w:eastAsia="Arial" w:hAnsi="Arial"/>
                <w:sz w:val="17"/>
                <w:szCs w:val="17"/>
                <w:color w:val="0000FF"/>
                <w:w w:val="89"/>
              </w:rPr>
              <w:t>Consolidated Condensed Statements of Income and Comprehensive Income</w:t>
            </w:r>
          </w:p>
        </w:tc>
        <w:tc>
          <w:tcPr>
            <w:tcW w:w="296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6"/>
          </w:tcPr>
          <w:p>
            <w:pPr>
              <w:spacing w:after="0"/>
              <w:rPr>
                <w:sz w:val="20"/>
                <w:szCs w:val="20"/>
                <w:color w:val="auto"/>
              </w:rPr>
            </w:pPr>
            <w:r>
              <w:rPr>
                <w:rFonts w:ascii="Arial" w:cs="Arial" w:eastAsia="Arial" w:hAnsi="Arial"/>
                <w:sz w:val="17"/>
                <w:szCs w:val="17"/>
                <w:color w:val="0000FF"/>
              </w:rPr>
              <w:t>Consolidated Condensed Balance Sheets</w:t>
            </w:r>
          </w:p>
        </w:tc>
        <w:tc>
          <w:tcPr>
            <w:tcW w:w="296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8"/>
          </w:tcPr>
          <w:p>
            <w:pPr>
              <w:spacing w:after="0"/>
              <w:rPr>
                <w:sz w:val="20"/>
                <w:szCs w:val="20"/>
                <w:color w:val="auto"/>
              </w:rPr>
            </w:pPr>
            <w:r>
              <w:rPr>
                <w:rFonts w:ascii="Arial" w:cs="Arial" w:eastAsia="Arial" w:hAnsi="Arial"/>
                <w:sz w:val="17"/>
                <w:szCs w:val="17"/>
                <w:color w:val="0000FF"/>
              </w:rPr>
              <w:t>Consolidated Condensed Statements of Stockholders' Equity</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14"/>
          </w:tcPr>
          <w:p>
            <w:pPr>
              <w:spacing w:after="0"/>
              <w:rPr>
                <w:sz w:val="20"/>
                <w:szCs w:val="20"/>
                <w:color w:val="auto"/>
              </w:rPr>
            </w:pPr>
            <w:r>
              <w:rPr>
                <w:rFonts w:ascii="Arial" w:cs="Arial" w:eastAsia="Arial" w:hAnsi="Arial"/>
                <w:sz w:val="17"/>
                <w:szCs w:val="17"/>
                <w:color w:val="0000FF"/>
              </w:rPr>
              <w:t>Consolidated Condensed Statements of Cash Flows</w:t>
            </w:r>
          </w:p>
        </w:tc>
        <w:tc>
          <w:tcPr>
            <w:tcW w:w="4020" w:type="dxa"/>
            <w:vAlign w:val="bottom"/>
            <w:gridSpan w:val="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Arial" w:cs="Arial" w:eastAsia="Arial" w:hAnsi="Arial"/>
                <w:sz w:val="17"/>
                <w:szCs w:val="17"/>
                <w:color w:val="0000FF"/>
                <w:w w:val="89"/>
              </w:rPr>
              <w:t>Notes to Consolidated Condensed Financial Statements</w:t>
            </w:r>
          </w:p>
        </w:tc>
        <w:tc>
          <w:tcPr>
            <w:tcW w:w="4360" w:type="dxa"/>
            <w:vAlign w:val="bottom"/>
            <w:gridSpan w:val="7"/>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20" w:type="dxa"/>
            <w:vAlign w:val="bottom"/>
            <w:gridSpan w:val="18"/>
          </w:tcPr>
          <w:p>
            <w:pPr>
              <w:spacing w:after="0"/>
              <w:rPr>
                <w:sz w:val="20"/>
                <w:szCs w:val="20"/>
                <w:color w:val="auto"/>
              </w:rPr>
            </w:pPr>
            <w:r>
              <w:rPr>
                <w:rFonts w:ascii="Arial" w:cs="Arial" w:eastAsia="Arial" w:hAnsi="Arial"/>
                <w:sz w:val="17"/>
                <w:szCs w:val="17"/>
                <w:color w:val="0000FF"/>
                <w:w w:val="91"/>
              </w:rPr>
              <w:t>Management’s Discussion and Analysis of Financial Condition and Results of Operations</w:t>
            </w:r>
          </w:p>
        </w:tc>
        <w:tc>
          <w:tcPr>
            <w:tcW w:w="21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16</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060" w:type="dxa"/>
            <w:vAlign w:val="bottom"/>
            <w:gridSpan w:val="13"/>
          </w:tcPr>
          <w:p>
            <w:pPr>
              <w:spacing w:after="0"/>
              <w:rPr>
                <w:sz w:val="20"/>
                <w:szCs w:val="20"/>
                <w:color w:val="auto"/>
              </w:rPr>
            </w:pPr>
            <w:r>
              <w:rPr>
                <w:rFonts w:ascii="Arial" w:cs="Arial" w:eastAsia="Arial" w:hAnsi="Arial"/>
                <w:sz w:val="17"/>
                <w:szCs w:val="17"/>
                <w:color w:val="0000FF"/>
                <w:w w:val="92"/>
              </w:rPr>
              <w:t>Quantitative and Qualitative Disclosure About Market Risk</w:t>
            </w:r>
          </w:p>
        </w:tc>
        <w:tc>
          <w:tcPr>
            <w:tcW w:w="2060" w:type="dxa"/>
            <w:vAlign w:val="bottom"/>
            <w:gridSpan w:val="5"/>
          </w:tcPr>
          <w:p>
            <w:pPr>
              <w:spacing w:after="0"/>
              <w:rPr>
                <w:sz w:val="24"/>
                <w:szCs w:val="24"/>
                <w:color w:val="auto"/>
              </w:rPr>
            </w:pPr>
          </w:p>
        </w:tc>
        <w:tc>
          <w:tcPr>
            <w:tcW w:w="21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gridSpan w:val="5"/>
          </w:tcPr>
          <w:p>
            <w:pPr>
              <w:spacing w:after="0"/>
              <w:rPr>
                <w:sz w:val="20"/>
                <w:szCs w:val="20"/>
                <w:color w:val="auto"/>
              </w:rPr>
            </w:pPr>
            <w:r>
              <w:rPr>
                <w:rFonts w:ascii="Arial" w:cs="Arial" w:eastAsia="Arial" w:hAnsi="Arial"/>
                <w:sz w:val="17"/>
                <w:szCs w:val="17"/>
                <w:color w:val="0000FF"/>
                <w:w w:val="88"/>
              </w:rPr>
              <w:t>Controls and Procedures</w:t>
            </w:r>
          </w:p>
        </w:tc>
        <w:tc>
          <w:tcPr>
            <w:tcW w:w="2380" w:type="dxa"/>
            <w:vAlign w:val="bottom"/>
            <w:gridSpan w:val="8"/>
          </w:tcPr>
          <w:p>
            <w:pPr>
              <w:spacing w:after="0"/>
              <w:rPr>
                <w:sz w:val="24"/>
                <w:szCs w:val="24"/>
                <w:color w:val="auto"/>
              </w:rPr>
            </w:pPr>
          </w:p>
        </w:tc>
        <w:tc>
          <w:tcPr>
            <w:tcW w:w="4220" w:type="dxa"/>
            <w:vAlign w:val="bottom"/>
            <w:gridSpan w:val="6"/>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7"/>
                <w:szCs w:val="17"/>
                <w:color w:val="auto"/>
              </w:rPr>
              <w:t>PART II.</w:t>
            </w:r>
          </w:p>
        </w:tc>
        <w:tc>
          <w:tcPr>
            <w:tcW w:w="8280" w:type="dxa"/>
            <w:vAlign w:val="bottom"/>
            <w:gridSpan w:val="19"/>
          </w:tcPr>
          <w:p>
            <w:pPr>
              <w:spacing w:after="0"/>
              <w:rPr>
                <w:sz w:val="20"/>
                <w:szCs w:val="20"/>
                <w:color w:val="auto"/>
              </w:rPr>
            </w:pPr>
            <w:r>
              <w:rPr>
                <w:rFonts w:ascii="Arial" w:cs="Arial" w:eastAsia="Arial" w:hAnsi="Arial"/>
                <w:sz w:val="17"/>
                <w:szCs w:val="17"/>
                <w:color w:val="0000FF"/>
              </w:rPr>
              <w:t>OTHER INFORMATION</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78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Legal Proceedings</w:t>
            </w:r>
          </w:p>
        </w:tc>
        <w:tc>
          <w:tcPr>
            <w:tcW w:w="6500" w:type="dxa"/>
            <w:vAlign w:val="bottom"/>
            <w:gridSpan w:val="1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60" w:type="dxa"/>
            <w:vAlign w:val="bottom"/>
            <w:gridSpan w:val="3"/>
          </w:tcPr>
          <w:p>
            <w:pPr>
              <w:spacing w:after="0"/>
              <w:rPr>
                <w:sz w:val="20"/>
                <w:szCs w:val="20"/>
                <w:color w:val="auto"/>
              </w:rPr>
            </w:pPr>
            <w:r>
              <w:rPr>
                <w:rFonts w:ascii="Arial" w:cs="Arial" w:eastAsia="Arial" w:hAnsi="Arial"/>
                <w:sz w:val="17"/>
                <w:szCs w:val="17"/>
                <w:color w:val="0000FF"/>
                <w:w w:val="88"/>
              </w:rPr>
              <w:t>Risk Factors</w:t>
            </w:r>
          </w:p>
        </w:tc>
        <w:tc>
          <w:tcPr>
            <w:tcW w:w="380" w:type="dxa"/>
            <w:vAlign w:val="bottom"/>
          </w:tcPr>
          <w:p>
            <w:pPr>
              <w:spacing w:after="0"/>
              <w:rPr>
                <w:sz w:val="24"/>
                <w:szCs w:val="24"/>
                <w:color w:val="auto"/>
              </w:rPr>
            </w:pPr>
          </w:p>
        </w:tc>
        <w:tc>
          <w:tcPr>
            <w:tcW w:w="7040" w:type="dxa"/>
            <w:vAlign w:val="bottom"/>
            <w:gridSpan w:val="1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280" w:type="dxa"/>
            <w:vAlign w:val="bottom"/>
            <w:gridSpan w:val="19"/>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20" w:type="dxa"/>
            <w:vAlign w:val="bottom"/>
            <w:gridSpan w:val="14"/>
          </w:tcPr>
          <w:p>
            <w:pPr>
              <w:spacing w:after="0"/>
              <w:rPr>
                <w:sz w:val="20"/>
                <w:szCs w:val="20"/>
                <w:color w:val="auto"/>
              </w:rPr>
            </w:pPr>
            <w:r>
              <w:rPr>
                <w:rFonts w:ascii="Arial" w:cs="Arial" w:eastAsia="Arial" w:hAnsi="Arial"/>
                <w:sz w:val="17"/>
                <w:szCs w:val="17"/>
                <w:color w:val="0000FF"/>
              </w:rPr>
              <w:t>Defaults Upon Senior Securities</w:t>
            </w:r>
          </w:p>
        </w:tc>
        <w:tc>
          <w:tcPr>
            <w:tcW w:w="4160" w:type="dxa"/>
            <w:vAlign w:val="bottom"/>
            <w:gridSpan w:val="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5"/>
            <w:shd w:val="clear" w:color="auto" w:fill="0000FF"/>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gridSpan w:val="5"/>
          </w:tcPr>
          <w:p>
            <w:pPr>
              <w:spacing w:after="0"/>
              <w:rPr>
                <w:sz w:val="20"/>
                <w:szCs w:val="20"/>
                <w:color w:val="auto"/>
              </w:rPr>
            </w:pPr>
            <w:r>
              <w:rPr>
                <w:rFonts w:ascii="Arial" w:cs="Arial" w:eastAsia="Arial" w:hAnsi="Arial"/>
                <w:sz w:val="17"/>
                <w:szCs w:val="17"/>
                <w:color w:val="0000FF"/>
                <w:w w:val="91"/>
              </w:rPr>
              <w:t>Mine Safety Disclosures</w:t>
            </w:r>
          </w:p>
        </w:tc>
        <w:tc>
          <w:tcPr>
            <w:tcW w:w="520" w:type="dxa"/>
            <w:vAlign w:val="bottom"/>
            <w:gridSpan w:val="4"/>
          </w:tcPr>
          <w:p>
            <w:pPr>
              <w:spacing w:after="0"/>
              <w:rPr>
                <w:sz w:val="24"/>
                <w:szCs w:val="24"/>
                <w:color w:val="auto"/>
              </w:rPr>
            </w:pPr>
          </w:p>
        </w:tc>
        <w:tc>
          <w:tcPr>
            <w:tcW w:w="6080" w:type="dxa"/>
            <w:vAlign w:val="bottom"/>
            <w:gridSpan w:val="10"/>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680" w:type="dxa"/>
            <w:vAlign w:val="bottom"/>
            <w:gridSpan w:val="5"/>
          </w:tcPr>
          <w:p>
            <w:pPr>
              <w:spacing w:after="0"/>
              <w:rPr>
                <w:sz w:val="20"/>
                <w:szCs w:val="20"/>
                <w:color w:val="auto"/>
              </w:rPr>
            </w:pPr>
            <w:r>
              <w:rPr>
                <w:rFonts w:ascii="Arial" w:cs="Arial" w:eastAsia="Arial" w:hAnsi="Arial"/>
                <w:sz w:val="17"/>
                <w:szCs w:val="17"/>
                <w:color w:val="0000FF"/>
              </w:rPr>
              <w:t>Other Information</w:t>
            </w:r>
          </w:p>
        </w:tc>
        <w:tc>
          <w:tcPr>
            <w:tcW w:w="660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40" w:type="dxa"/>
            <w:vAlign w:val="bottom"/>
            <w:gridSpan w:val="1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40" w:type="dxa"/>
            <w:vAlign w:val="bottom"/>
            <w:gridSpan w:val="4"/>
          </w:tcPr>
          <w:p>
            <w:pPr>
              <w:spacing w:after="0"/>
              <w:rPr>
                <w:sz w:val="20"/>
                <w:szCs w:val="20"/>
                <w:color w:val="auto"/>
              </w:rPr>
            </w:pPr>
            <w:r>
              <w:rPr>
                <w:rFonts w:ascii="Arial" w:cs="Arial" w:eastAsia="Arial" w:hAnsi="Arial"/>
                <w:sz w:val="17"/>
                <w:szCs w:val="17"/>
                <w:color w:val="0000FF"/>
              </w:rPr>
              <w:t>Exhibits</w:t>
            </w:r>
          </w:p>
        </w:tc>
        <w:tc>
          <w:tcPr>
            <w:tcW w:w="7040" w:type="dxa"/>
            <w:vAlign w:val="bottom"/>
            <w:gridSpan w:val="1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31</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ind w:left="4180"/>
        <w:spacing w:after="0"/>
        <w:rPr>
          <w:sz w:val="20"/>
          <w:szCs w:val="20"/>
          <w:color w:val="auto"/>
        </w:rPr>
      </w:pPr>
      <w:r>
        <w:rPr>
          <w:rFonts w:ascii="Arial" w:cs="Arial" w:eastAsia="Arial" w:hAnsi="Arial"/>
          <w:sz w:val="17"/>
          <w:szCs w:val="17"/>
          <w:b w:val="1"/>
          <w:bCs w:val="1"/>
          <w:color w:val="auto"/>
        </w:rPr>
        <w:t>PART I. FINANCIAL INFORMATION</w:t>
      </w:r>
    </w:p>
    <w:p>
      <w:pPr>
        <w:spacing w:after="0" w:line="2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Item 1. Unaudited Financial Statements</w:t>
      </w:r>
    </w:p>
    <w:p>
      <w:pPr>
        <w:spacing w:after="0" w:line="7"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Income and Comprehensive Income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Periods Ended April 30,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except for earnings per share)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6"/>
              </w:rPr>
              <w:t>Three Months</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Six Months</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w w:val="95"/>
              </w:rPr>
              <w:t>2022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2023</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877.4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1,616.9</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294.5</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297.3</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594.5</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566.0</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582.9</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1,050.9</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407.5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322.4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738.4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641.5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Amortization of intangibles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65.6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163.7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187.7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285.6</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 (Note 6)</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920" w:type="dxa"/>
            <w:vAlign w:val="bottom"/>
          </w:tcPr>
          <w:p>
            <w:pPr>
              <w:jc w:val="right"/>
              <w:ind w:right="735"/>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39.8</w:t>
            </w:r>
          </w:p>
        </w:tc>
        <w:tc>
          <w:tcPr>
            <w:tcW w:w="660" w:type="dxa"/>
            <w:vAlign w:val="bottom"/>
            <w:gridSpan w:val="2"/>
          </w:tcPr>
          <w:p>
            <w:pPr>
              <w:jc w:val="right"/>
              <w:ind w:right="31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126.6</w:t>
            </w:r>
          </w:p>
        </w:tc>
        <w:tc>
          <w:tcPr>
            <w:tcW w:w="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124.4</w:t>
            </w:r>
          </w:p>
        </w:tc>
        <w:tc>
          <w:tcPr>
            <w:tcW w:w="60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221.8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 (Note 7):</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7"/>
                <w:szCs w:val="17"/>
                <w:color w:val="auto"/>
              </w:rPr>
              <w:t>Basic</w:t>
            </w:r>
          </w:p>
        </w:tc>
        <w:tc>
          <w:tcPr>
            <w:tcW w:w="920" w:type="dxa"/>
            <w:vAlign w:val="bottom"/>
          </w:tcPr>
          <w:p>
            <w:pPr>
              <w:jc w:val="right"/>
              <w:ind w:right="735"/>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0.80</w:t>
            </w:r>
          </w:p>
        </w:tc>
        <w:tc>
          <w:tcPr>
            <w:tcW w:w="660" w:type="dxa"/>
            <w:vAlign w:val="bottom"/>
            <w:gridSpan w:val="2"/>
          </w:tcPr>
          <w:p>
            <w:pPr>
              <w:jc w:val="right"/>
              <w:ind w:right="31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2.57</w:t>
            </w:r>
          </w:p>
        </w:tc>
        <w:tc>
          <w:tcPr>
            <w:tcW w:w="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2.52</w:t>
            </w:r>
          </w:p>
        </w:tc>
        <w:tc>
          <w:tcPr>
            <w:tcW w:w="60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Number of shares used to compute earnings per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9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Diluted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7"/>
                <w:szCs w:val="17"/>
                <w:color w:val="auto"/>
              </w:rPr>
              <w:t>Cash flow hedges</w:t>
            </w:r>
          </w:p>
        </w:tc>
        <w:tc>
          <w:tcPr>
            <w:tcW w:w="920" w:type="dxa"/>
            <w:vAlign w:val="bottom"/>
          </w:tcPr>
          <w:p>
            <w:pPr>
              <w:jc w:val="right"/>
              <w:ind w:right="735"/>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(5.5)</w:t>
            </w:r>
          </w:p>
        </w:tc>
        <w:tc>
          <w:tcPr>
            <w:tcW w:w="660" w:type="dxa"/>
            <w:vAlign w:val="bottom"/>
            <w:gridSpan w:val="2"/>
          </w:tcPr>
          <w:p>
            <w:pPr>
              <w:jc w:val="right"/>
              <w:ind w:right="31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39.3</w:t>
            </w:r>
          </w:p>
        </w:tc>
        <w:tc>
          <w:tcPr>
            <w:tcW w:w="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(26.5)</w:t>
            </w:r>
          </w:p>
        </w:tc>
        <w:tc>
          <w:tcPr>
            <w:tcW w:w="600" w:type="dxa"/>
            <w:vAlign w:val="bottom"/>
            <w:gridSpan w:val="2"/>
          </w:tcPr>
          <w:p>
            <w:pPr>
              <w:jc w:val="right"/>
              <w:ind w:right="25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Foreign currency translation adjustment</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920" w:type="dxa"/>
            <w:vAlign w:val="bottom"/>
          </w:tcPr>
          <w:p>
            <w:pPr>
              <w:jc w:val="right"/>
              <w:ind w:right="735"/>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19.8</w:t>
            </w:r>
          </w:p>
        </w:tc>
        <w:tc>
          <w:tcPr>
            <w:tcW w:w="660" w:type="dxa"/>
            <w:vAlign w:val="bottom"/>
            <w:gridSpan w:val="2"/>
          </w:tcPr>
          <w:p>
            <w:pPr>
              <w:jc w:val="right"/>
              <w:ind w:right="31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69.3</w:t>
            </w:r>
          </w:p>
        </w:tc>
        <w:tc>
          <w:tcPr>
            <w:tcW w:w="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167.4</w:t>
            </w:r>
          </w:p>
        </w:tc>
        <w:tc>
          <w:tcPr>
            <w:tcW w:w="60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128.7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April 30, 2023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6"/>
              </w:rPr>
              <w:t>October 31, 2022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171"/>
        </w:trPr>
        <w:tc>
          <w:tcPr>
            <w:tcW w:w="7400" w:type="dxa"/>
            <w:vAlign w:val="bottom"/>
          </w:tcPr>
          <w:p>
            <w:pPr>
              <w:ind w:left="360"/>
              <w:spacing w:after="0" w:line="172" w:lineRule="exact"/>
              <w:rPr>
                <w:sz w:val="20"/>
                <w:szCs w:val="20"/>
                <w:color w:val="auto"/>
              </w:rPr>
            </w:pPr>
            <w:r>
              <w:rPr>
                <w:rFonts w:ascii="Arial" w:cs="Arial" w:eastAsia="Arial" w:hAnsi="Arial"/>
                <w:sz w:val="17"/>
                <w:szCs w:val="17"/>
                <w:color w:val="auto"/>
                <w:w w:val="93"/>
              </w:rPr>
              <w:t>Trade accounts receivable, net of allowance for credit losses of $21.0 at April 30, 2023, and $20.7 at</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00" w:type="dxa"/>
            <w:vAlign w:val="bottom"/>
          </w:tcPr>
          <w:p>
            <w:pPr>
              <w:ind w:left="360"/>
              <w:spacing w:after="0"/>
              <w:rPr>
                <w:sz w:val="20"/>
                <w:szCs w:val="20"/>
                <w:color w:val="auto"/>
              </w:rPr>
            </w:pPr>
            <w:r>
              <w:rPr>
                <w:rFonts w:ascii="Arial" w:cs="Arial" w:eastAsia="Arial" w:hAnsi="Arial"/>
                <w:sz w:val="17"/>
                <w:szCs w:val="17"/>
                <w:color w:val="auto"/>
              </w:rPr>
              <w:t>October 31, 2022</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564.7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32"/>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Inventories (Note 3)</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628.7</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7"/>
                <w:szCs w:val="17"/>
                <w:color w:val="auto"/>
              </w:rPr>
              <w:t>Prepaid expense and other current assets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208.9</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1,533.6</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1,489.8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1,432.9</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Other intangibles, net (Note 4)</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1,885.1</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2,443.1</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587.9</w:t>
            </w: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11,539.5</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Short-term debt (Note 5)</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74.5</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412.6</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Employee compensation and benefits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152.1</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373.1</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1,280.2</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7"/>
                <w:szCs w:val="17"/>
                <w:color w:val="auto"/>
              </w:rPr>
              <w:t>Long-term debt (Note 5)</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2,565.7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2,350.8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Long-term tax payable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pension liability and other</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4,317.6</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7"/>
                <w:szCs w:val="17"/>
                <w:color w:val="auto"/>
              </w:rPr>
              <w:t>Contingencies (Note 10)</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Preferred stock, $10 cents par value, 1.0 shares authorized, zero shares issued or outstanding</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8"/>
        </w:trPr>
        <w:tc>
          <w:tcPr>
            <w:tcW w:w="740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color w:val="auto"/>
                <w:w w:val="90"/>
              </w:rPr>
              <w:t>Common stock, $10 cents par value, 120.0 shares authorized, 53.9 issued and 49.5 outstanding at April 30,</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 and 53.8 issued and 49.3 outstanding at October 31, 2022</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1,765.5</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7"/>
                <w:szCs w:val="17"/>
                <w:color w:val="auto"/>
              </w:rPr>
              <w:t>Retained earnings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6,707.8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6,584.9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stock at cost: 4.4 shares at April 30, 2023, and 4.5 shares at October 31, 2022</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(714.5)</w:t>
            </w: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Cooper stockholders’ equity</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7,174.5</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Stockholders’ equity (Note 9)</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7,174.7</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Stockholders' Equity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60" w:type="dxa"/>
            <w:vAlign w:val="bottom"/>
            <w:gridSpan w:val="4"/>
            <w:vMerge w:val="restart"/>
          </w:tcPr>
          <w:p>
            <w:pPr>
              <w:jc w:val="right"/>
              <w:ind w:right="35"/>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4"/>
                <w:szCs w:val="14"/>
                <w:color w:val="auto"/>
              </w:rPr>
            </w:pPr>
          </w:p>
        </w:tc>
        <w:tc>
          <w:tcPr>
            <w:tcW w:w="1240" w:type="dxa"/>
            <w:vAlign w:val="bottom"/>
            <w:gridSpan w:val="4"/>
            <w:vMerge w:val="restart"/>
          </w:tcPr>
          <w:p>
            <w:pPr>
              <w:jc w:val="right"/>
              <w:ind w:right="75"/>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spacing w:after="0" w:line="129" w:lineRule="exact"/>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restart"/>
          </w:tcPr>
          <w:p>
            <w:pPr>
              <w:jc w:val="center"/>
              <w:ind w:right="37"/>
              <w:spacing w:after="0" w:line="12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restart"/>
          </w:tcPr>
          <w:p>
            <w:pPr>
              <w:jc w:val="center"/>
              <w:ind w:right="116"/>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3"/>
                <w:szCs w:val="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3"/>
                <w:szCs w:val="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Noncontrolling</w:t>
            </w: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740" w:type="dxa"/>
            <w:vAlign w:val="bottom"/>
          </w:tcPr>
          <w:p>
            <w:pPr>
              <w:jc w:val="right"/>
              <w:ind w:right="58"/>
              <w:spacing w:after="0" w:line="144"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00" w:type="dxa"/>
            <w:vAlign w:val="bottom"/>
            <w:gridSpan w:val="2"/>
          </w:tcPr>
          <w:p>
            <w:pPr>
              <w:jc w:val="right"/>
              <w:spacing w:after="0" w:line="144" w:lineRule="exact"/>
              <w:rPr>
                <w:sz w:val="20"/>
                <w:szCs w:val="20"/>
                <w:color w:val="auto"/>
              </w:rPr>
            </w:pPr>
            <w:r>
              <w:rPr>
                <w:rFonts w:ascii="Arial" w:cs="Arial" w:eastAsia="Arial" w:hAnsi="Arial"/>
                <w:sz w:val="14"/>
                <w:szCs w:val="14"/>
                <w:b w:val="1"/>
                <w:bCs w:val="1"/>
                <w:color w:val="auto"/>
                <w:w w:val="95"/>
              </w:rPr>
              <w:t>Comprehensive</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November 1, 2021</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$ 1,715.2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$ 6,202.1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(639.6)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6,942.0</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9"/>
              </w:rPr>
              <w:t>Other comprehensive income, net of</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Arial" w:cs="Arial" w:eastAsia="Arial" w:hAnsi="Arial"/>
                <w:sz w:val="17"/>
                <w:szCs w:val="17"/>
                <w:color w:val="auto"/>
              </w:rPr>
              <w:t>Issuance of common stock for 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ind w:left="20"/>
              <w:spacing w:after="0" w:line="172" w:lineRule="exact"/>
              <w:rPr>
                <w:sz w:val="20"/>
                <w:szCs w:val="20"/>
                <w:color w:val="auto"/>
              </w:rPr>
            </w:pPr>
            <w:r>
              <w:rPr>
                <w:rFonts w:ascii="Arial" w:cs="Arial" w:eastAsia="Arial" w:hAnsi="Arial"/>
                <w:sz w:val="17"/>
                <w:szCs w:val="17"/>
                <w:color w:val="auto"/>
                <w:w w:val="90"/>
              </w:rPr>
              <w:t>plans, net and employee stock purchase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780" w:type="dxa"/>
            <w:vAlign w:val="bottom"/>
          </w:tcPr>
          <w:p>
            <w:pPr>
              <w:ind w:left="20"/>
              <w:spacing w:after="0"/>
              <w:rPr>
                <w:sz w:val="20"/>
                <w:szCs w:val="20"/>
                <w:color w:val="auto"/>
              </w:rPr>
            </w:pPr>
            <w:r>
              <w:rPr>
                <w:rFonts w:ascii="Arial" w:cs="Arial" w:eastAsia="Arial" w:hAnsi="Arial"/>
                <w:sz w:val="17"/>
                <w:szCs w:val="17"/>
                <w:color w:val="auto"/>
              </w:rPr>
              <w:t>plan</w:t>
            </w:r>
          </w:p>
        </w:tc>
        <w:tc>
          <w:tcPr>
            <w:tcW w:w="5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73"/>
        </w:trPr>
        <w:tc>
          <w:tcPr>
            <w:tcW w:w="278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2"/>
              </w:rPr>
              <w:t>Dividends on common stock ($0.03 per</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7"/>
                <w:szCs w:val="17"/>
                <w:color w:val="auto"/>
                <w:w w:val="98"/>
              </w:rPr>
              <w:t>Share-based compensation expense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repurchase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7"/>
                <w:szCs w:val="17"/>
                <w:color w:val="auto"/>
              </w:rPr>
              <w:t>Balance at January 31, 2022</w:t>
            </w:r>
          </w:p>
        </w:tc>
        <w:tc>
          <w:tcPr>
            <w:tcW w:w="540" w:type="dxa"/>
            <w:vAlign w:val="bottom"/>
          </w:tcPr>
          <w:p>
            <w:pPr>
              <w:jc w:val="right"/>
              <w:spacing w:after="0"/>
              <w:rPr>
                <w:sz w:val="20"/>
                <w:szCs w:val="20"/>
                <w:color w:val="auto"/>
              </w:rPr>
            </w:pPr>
            <w:r>
              <w:rPr>
                <w:rFonts w:ascii="Arial" w:cs="Arial" w:eastAsia="Arial" w:hAnsi="Arial"/>
                <w:sz w:val="17"/>
                <w:szCs w:val="17"/>
                <w:color w:val="auto"/>
              </w:rPr>
              <w:t>49.2</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5.0</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320" w:type="dxa"/>
            <w:vAlign w:val="bottom"/>
            <w:gridSpan w:val="2"/>
          </w:tcPr>
          <w:p>
            <w:pPr>
              <w:jc w:val="right"/>
              <w:ind w:right="39"/>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$ 1,719.2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(377.2)</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$ 6,295.9</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 (717.4)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6,926.1</w:t>
            </w:r>
          </w:p>
        </w:tc>
        <w:tc>
          <w:tcPr>
            <w:tcW w:w="0" w:type="dxa"/>
            <w:vAlign w:val="bottom"/>
          </w:tcPr>
          <w:p>
            <w:pPr>
              <w:spacing w:after="0"/>
              <w:rPr>
                <w:sz w:val="1"/>
                <w:szCs w:val="1"/>
                <w:color w:val="auto"/>
              </w:rPr>
            </w:pPr>
          </w:p>
        </w:tc>
      </w:tr>
      <w:tr>
        <w:trPr>
          <w:trHeight w:val="212"/>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0" w:type="dxa"/>
            <w:vAlign w:val="bottom"/>
          </w:tcPr>
          <w:p>
            <w:pPr>
              <w:spacing w:after="0"/>
              <w:rPr>
                <w:sz w:val="1"/>
                <w:szCs w:val="1"/>
                <w:color w:val="auto"/>
              </w:rPr>
            </w:pPr>
          </w:p>
        </w:tc>
      </w:tr>
      <w:tr>
        <w:trPr>
          <w:trHeight w:val="171"/>
        </w:trPr>
        <w:tc>
          <w:tcPr>
            <w:tcW w:w="2780" w:type="dxa"/>
            <w:vAlign w:val="bottom"/>
          </w:tcPr>
          <w:p>
            <w:pPr>
              <w:ind w:left="20"/>
              <w:spacing w:after="0" w:line="172" w:lineRule="exact"/>
              <w:rPr>
                <w:sz w:val="20"/>
                <w:szCs w:val="20"/>
                <w:color w:val="auto"/>
              </w:rPr>
            </w:pPr>
            <w:r>
              <w:rPr>
                <w:rFonts w:ascii="Arial" w:cs="Arial" w:eastAsia="Arial" w:hAnsi="Arial"/>
                <w:sz w:val="17"/>
                <w:szCs w:val="17"/>
                <w:color w:val="auto"/>
                <w:w w:val="99"/>
              </w:rPr>
              <w:t>Other comprehensive income, net of</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7"/>
                <w:szCs w:val="17"/>
                <w:color w:val="auto"/>
              </w:rPr>
              <w:t>tax</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Issuance of common stock for stock</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0"/>
              </w:rPr>
              <w:t>plans, net and employee stock purchase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7"/>
                <w:szCs w:val="17"/>
                <w:color w:val="auto"/>
                <w:w w:val="98"/>
              </w:rPr>
              <w:t>Share-based compensation expense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April 30,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$ 1,736.8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$ 6,422.5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(716.6)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7,013.8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Stockholders' Equity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80" w:type="dxa"/>
            <w:vAlign w:val="bottom"/>
            <w:gridSpan w:val="4"/>
            <w:vMerge w:val="restart"/>
          </w:tcPr>
          <w:p>
            <w:pPr>
              <w:jc w:val="right"/>
              <w:ind w:right="55"/>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4"/>
                <w:szCs w:val="14"/>
                <w:color w:val="auto"/>
              </w:rPr>
            </w:pPr>
          </w:p>
        </w:tc>
        <w:tc>
          <w:tcPr>
            <w:tcW w:w="1260" w:type="dxa"/>
            <w:vAlign w:val="bottom"/>
            <w:gridSpan w:val="4"/>
            <w:vMerge w:val="restart"/>
          </w:tcPr>
          <w:p>
            <w:pPr>
              <w:jc w:val="right"/>
              <w:ind w:right="75"/>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740" w:type="dxa"/>
            <w:vAlign w:val="bottom"/>
          </w:tcPr>
          <w:p>
            <w:pPr>
              <w:spacing w:after="0"/>
              <w:rPr>
                <w:sz w:val="7"/>
                <w:szCs w:val="7"/>
                <w:color w:val="auto"/>
              </w:rPr>
            </w:pPr>
          </w:p>
        </w:tc>
        <w:tc>
          <w:tcPr>
            <w:tcW w:w="12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spacing w:after="0" w:line="129" w:lineRule="exact"/>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restart"/>
          </w:tcPr>
          <w:p>
            <w:pPr>
              <w:jc w:val="center"/>
              <w:ind w:right="37"/>
              <w:spacing w:after="0" w:line="12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restart"/>
          </w:tcPr>
          <w:p>
            <w:pPr>
              <w:jc w:val="center"/>
              <w:ind w:right="116"/>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3"/>
                <w:szCs w:val="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Noncontrolling</w:t>
            </w: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740" w:type="dxa"/>
            <w:vAlign w:val="bottom"/>
          </w:tcPr>
          <w:p>
            <w:pPr>
              <w:jc w:val="right"/>
              <w:ind w:right="58"/>
              <w:spacing w:after="0" w:line="14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November 1, 2022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$ 1,765.5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$ 6,584.9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 (714.5)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7,174.7</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84.6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84.6</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8"/>
              </w:rPr>
              <w:t>Other comprehensive income, net of</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Arial" w:cs="Arial" w:eastAsia="Arial" w:hAnsi="Arial"/>
                <w:sz w:val="17"/>
                <w:szCs w:val="17"/>
                <w:color w:val="auto"/>
                <w:w w:val="99"/>
              </w:rPr>
              <w:t>Issuance of common stock for 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line="172" w:lineRule="exact"/>
              <w:rPr>
                <w:sz w:val="20"/>
                <w:szCs w:val="20"/>
                <w:color w:val="auto"/>
              </w:rPr>
            </w:pPr>
            <w:r>
              <w:rPr>
                <w:rFonts w:ascii="Arial" w:cs="Arial" w:eastAsia="Arial" w:hAnsi="Arial"/>
                <w:sz w:val="17"/>
                <w:szCs w:val="17"/>
                <w:color w:val="auto"/>
              </w:rPr>
              <w:t>plans, net and employee 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rPr>
              <w:t>purchase plan</w:t>
            </w:r>
          </w:p>
        </w:tc>
        <w:tc>
          <w:tcPr>
            <w:tcW w:w="5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Dividends on common stock ($0.03</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 share)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7"/>
                <w:szCs w:val="17"/>
                <w:color w:val="auto"/>
                <w:w w:val="97"/>
              </w:rPr>
              <w:t>Share-based compensation expense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83"/>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31, 2023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32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$ 1,779.2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$ 6,668.0</w:t>
            </w:r>
          </w:p>
        </w:tc>
        <w:tc>
          <w:tcPr>
            <w:tcW w:w="7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3"/>
              </w:rPr>
              <w:t>$ (713.3)</w:t>
            </w:r>
          </w:p>
        </w:tc>
        <w:tc>
          <w:tcPr>
            <w:tcW w:w="2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30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7,335.7</w:t>
            </w:r>
          </w:p>
        </w:tc>
        <w:tc>
          <w:tcPr>
            <w:tcW w:w="0" w:type="dxa"/>
            <w:vAlign w:val="bottom"/>
          </w:tcPr>
          <w:p>
            <w:pPr>
              <w:spacing w:after="0"/>
              <w:rPr>
                <w:sz w:val="1"/>
                <w:szCs w:val="1"/>
                <w:color w:val="auto"/>
              </w:rPr>
            </w:pPr>
          </w:p>
        </w:tc>
      </w:tr>
      <w:tr>
        <w:trPr>
          <w:trHeight w:val="197"/>
        </w:trPr>
        <w:tc>
          <w:tcPr>
            <w:tcW w:w="2740" w:type="dxa"/>
            <w:vAlign w:val="bottom"/>
            <w:tcBorders>
              <w:top w:val="single" w:sz="8" w:color="CCEEFF"/>
            </w:tcBorders>
          </w:tcPr>
          <w:p>
            <w:pPr>
              <w:ind w:left="20"/>
              <w:spacing w:after="0" w:line="186" w:lineRule="exact"/>
              <w:rPr>
                <w:sz w:val="20"/>
                <w:szCs w:val="20"/>
                <w:color w:val="auto"/>
              </w:rPr>
            </w:pPr>
            <w:r>
              <w:rPr>
                <w:rFonts w:ascii="Arial" w:cs="Arial" w:eastAsia="Arial" w:hAnsi="Arial"/>
                <w:sz w:val="17"/>
                <w:szCs w:val="17"/>
                <w:color w:val="auto"/>
              </w:rPr>
              <w:t>Net income</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8"/>
              </w:rPr>
              <w:t>Other comprehensive income (loss),</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of tax</w:t>
            </w: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line="172" w:lineRule="exact"/>
              <w:rPr>
                <w:sz w:val="20"/>
                <w:szCs w:val="20"/>
                <w:color w:val="auto"/>
              </w:rPr>
            </w:pPr>
            <w:r>
              <w:rPr>
                <w:rFonts w:ascii="Arial" w:cs="Arial" w:eastAsia="Arial" w:hAnsi="Arial"/>
                <w:sz w:val="17"/>
                <w:szCs w:val="17"/>
                <w:color w:val="auto"/>
                <w:w w:val="99"/>
              </w:rPr>
              <w:t>Issuance of common stock for 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7" w:lineRule="exact"/>
              <w:rPr>
                <w:sz w:val="20"/>
                <w:szCs w:val="20"/>
                <w:color w:val="auto"/>
              </w:rPr>
            </w:pPr>
            <w:r>
              <w:rPr>
                <w:rFonts w:ascii="Arial" w:cs="Arial" w:eastAsia="Arial" w:hAnsi="Arial"/>
                <w:sz w:val="17"/>
                <w:szCs w:val="17"/>
                <w:color w:val="auto"/>
              </w:rPr>
              <w:t>plans, net and employee stock</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7"/>
                <w:szCs w:val="17"/>
                <w:color w:val="auto"/>
              </w:rPr>
              <w:t>purchase plan</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Share-based compensation expense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7"/>
                <w:szCs w:val="17"/>
                <w:color w:val="auto"/>
              </w:rPr>
              <w:t>Balance at April 30, 2023</w:t>
            </w:r>
          </w:p>
        </w:tc>
        <w:tc>
          <w:tcPr>
            <w:tcW w:w="540" w:type="dxa"/>
            <w:vAlign w:val="bottom"/>
          </w:tcPr>
          <w:p>
            <w:pPr>
              <w:jc w:val="right"/>
              <w:spacing w:after="0"/>
              <w:rPr>
                <w:sz w:val="20"/>
                <w:szCs w:val="20"/>
                <w:color w:val="auto"/>
              </w:rPr>
            </w:pPr>
            <w:r>
              <w:rPr>
                <w:rFonts w:ascii="Arial" w:cs="Arial" w:eastAsia="Arial" w:hAnsi="Arial"/>
                <w:sz w:val="17"/>
                <w:szCs w:val="17"/>
                <w:color w:val="auto"/>
              </w:rPr>
              <w:t>49.5</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5.0</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320" w:type="dxa"/>
            <w:vAlign w:val="bottom"/>
            <w:gridSpan w:val="2"/>
          </w:tcPr>
          <w:p>
            <w:pPr>
              <w:jc w:val="right"/>
              <w:ind w:right="41"/>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$ 1,800.7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(423.8)</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$ 6,707.8</w:t>
            </w:r>
          </w:p>
        </w:tc>
        <w:tc>
          <w:tcPr>
            <w:tcW w:w="780" w:type="dxa"/>
            <w:vAlign w:val="bottom"/>
            <w:gridSpan w:val="2"/>
          </w:tcPr>
          <w:p>
            <w:pPr>
              <w:jc w:val="center"/>
              <w:ind w:left="15"/>
              <w:spacing w:after="0"/>
              <w:rPr>
                <w:sz w:val="20"/>
                <w:szCs w:val="20"/>
                <w:color w:val="auto"/>
              </w:rPr>
            </w:pPr>
            <w:r>
              <w:rPr>
                <w:rFonts w:ascii="Arial" w:cs="Arial" w:eastAsia="Arial" w:hAnsi="Arial"/>
                <w:sz w:val="17"/>
                <w:szCs w:val="17"/>
                <w:color w:val="auto"/>
                <w:w w:val="93"/>
              </w:rPr>
              <w:t>$ (712.3)</w:t>
            </w:r>
          </w:p>
        </w:tc>
        <w:tc>
          <w:tcPr>
            <w:tcW w:w="28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w:t>
            </w:r>
          </w:p>
        </w:tc>
        <w:tc>
          <w:tcPr>
            <w:tcW w:w="30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7,378.0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April 30,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2023</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2022</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Net income</w:t>
            </w:r>
          </w:p>
        </w:tc>
        <w:tc>
          <w:tcPr>
            <w:tcW w:w="1180" w:type="dxa"/>
            <w:vAlign w:val="bottom"/>
          </w:tcPr>
          <w:p>
            <w:pPr>
              <w:jc w:val="right"/>
              <w:ind w:right="99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124.4</w:t>
            </w:r>
          </w:p>
        </w:tc>
        <w:tc>
          <w:tcPr>
            <w:tcW w:w="5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221.8</w:t>
            </w:r>
          </w:p>
        </w:tc>
      </w:tr>
      <w:tr>
        <w:trPr>
          <w:trHeight w:val="223"/>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Settlement of contingent consideration</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(40.7)</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 in fair value of contingent consideration</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7"/>
                <w:szCs w:val="17"/>
                <w:color w:val="auto"/>
              </w:rPr>
              <w:t>Accrual for acquisition termination fee</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changes in operating capital</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r>
      <w:tr>
        <w:trPr>
          <w:trHeight w:val="22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non-cash items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1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297.8</w:t>
            </w:r>
          </w:p>
        </w:tc>
      </w:tr>
      <w:tr>
        <w:trPr>
          <w:trHeight w:val="209"/>
        </w:trPr>
        <w:tc>
          <w:tcPr>
            <w:tcW w:w="74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property, plant and equipment</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Acquisitions of businesses and assets, net of cash acquired, and other</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(1,637.1)</w:t>
            </w:r>
          </w:p>
        </w:tc>
      </w:tr>
      <w:tr>
        <w:trPr>
          <w:trHeight w:val="223"/>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Proceeds from sale of interest in a subsidiary</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r>
      <w:tr>
        <w:trPr>
          <w:trHeight w:val="217"/>
        </w:trPr>
        <w:tc>
          <w:tcPr>
            <w:tcW w:w="74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(195.3)</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(1,685.0)</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Proceeds from long-term debt, net of issuance costs</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8"/>
              </w:rPr>
              <w:t>1,199.3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1,499.5</w:t>
            </w:r>
          </w:p>
        </w:tc>
      </w:tr>
      <w:tr>
        <w:trPr>
          <w:trHeight w:val="223"/>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Repayments of long-term debt</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(549.0)</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Net (repayments of) proceeds from short-term debt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(342.5)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832.3</w:t>
            </w:r>
          </w:p>
        </w:tc>
      </w:tr>
      <w:tr>
        <w:trPr>
          <w:trHeight w:val="236"/>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proceeds (payments) related to share-based compensation awards</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6"/>
        </w:trPr>
        <w:tc>
          <w:tcPr>
            <w:tcW w:w="7440" w:type="dxa"/>
            <w:vAlign w:val="bottom"/>
          </w:tcPr>
          <w:p>
            <w:pPr>
              <w:ind w:left="360"/>
              <w:spacing w:after="0"/>
              <w:rPr>
                <w:sz w:val="20"/>
                <w:szCs w:val="20"/>
                <w:color w:val="auto"/>
              </w:rPr>
            </w:pPr>
            <w:r>
              <w:rPr>
                <w:rFonts w:ascii="Arial" w:cs="Arial" w:eastAsia="Arial" w:hAnsi="Arial"/>
                <w:sz w:val="17"/>
                <w:szCs w:val="17"/>
                <w:color w:val="auto"/>
              </w:rPr>
              <w:t>Dividends on common stock</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 of common stock</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r>
      <w:tr>
        <w:trPr>
          <w:trHeight w:val="223"/>
        </w:trPr>
        <w:tc>
          <w:tcPr>
            <w:tcW w:w="7440" w:type="dxa"/>
            <w:vAlign w:val="bottom"/>
          </w:tcPr>
          <w:p>
            <w:pPr>
              <w:ind w:left="360"/>
              <w:spacing w:after="0"/>
              <w:rPr>
                <w:sz w:val="20"/>
                <w:szCs w:val="20"/>
                <w:color w:val="auto"/>
              </w:rPr>
            </w:pPr>
            <w:r>
              <w:rPr>
                <w:rFonts w:ascii="Arial" w:cs="Arial" w:eastAsia="Arial" w:hAnsi="Arial"/>
                <w:sz w:val="17"/>
                <w:szCs w:val="17"/>
                <w:color w:val="auto"/>
              </w:rPr>
              <w:t>Issuance of common stock for employee stock purchase plan</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Settlement of contingent consideration</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7"/>
        </w:trPr>
        <w:tc>
          <w:tcPr>
            <w:tcW w:w="7440" w:type="dxa"/>
            <w:vAlign w:val="bottom"/>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1,696.5</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0"/>
        </w:trPr>
        <w:tc>
          <w:tcPr>
            <w:tcW w:w="7440" w:type="dxa"/>
            <w:vAlign w:val="bottom"/>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303.0</w:t>
            </w: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r>
      <w:tr>
        <w:trPr>
          <w:trHeight w:val="223"/>
        </w:trPr>
        <w:tc>
          <w:tcPr>
            <w:tcW w:w="744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180" w:type="dxa"/>
            <w:vAlign w:val="bottom"/>
          </w:tcPr>
          <w:p>
            <w:pPr>
              <w:jc w:val="right"/>
              <w:ind w:right="99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112.1</w:t>
            </w:r>
          </w:p>
        </w:tc>
        <w:tc>
          <w:tcPr>
            <w:tcW w:w="5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399.6</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7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Reconciliation of cash flow information:</w:t>
            </w: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180" w:type="dxa"/>
            <w:vAlign w:val="bottom"/>
          </w:tcPr>
          <w:p>
            <w:pPr>
              <w:jc w:val="right"/>
              <w:ind w:right="99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111.9</w:t>
            </w:r>
          </w:p>
        </w:tc>
        <w:tc>
          <w:tcPr>
            <w:tcW w:w="5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399.2</w:t>
            </w: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 included in other current assets</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6"/>
        </w:trPr>
        <w:tc>
          <w:tcPr>
            <w:tcW w:w="7440" w:type="dxa"/>
            <w:vAlign w:val="bottom"/>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1180" w:type="dxa"/>
            <w:vAlign w:val="bottom"/>
          </w:tcPr>
          <w:p>
            <w:pPr>
              <w:jc w:val="right"/>
              <w:ind w:right="99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112.1</w:t>
            </w:r>
          </w:p>
        </w:tc>
        <w:tc>
          <w:tcPr>
            <w:tcW w:w="5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399.6</w:t>
            </w:r>
          </w:p>
        </w:tc>
      </w:tr>
      <w:tr>
        <w:trPr>
          <w:trHeight w:val="27"/>
        </w:trPr>
        <w:tc>
          <w:tcPr>
            <w:tcW w:w="744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 General</w:t>
      </w:r>
    </w:p>
    <w:p>
      <w:pPr>
        <w:spacing w:after="0" w:line="25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21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2022. The Consolidated Condensed Financial Statements include all adjustments (consisting only of normal recurring adjustments) and accruals necessary in the judgment of management for a fair presentation of the results for the interim periods presented.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54"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There have been no material changes to our significant accounting policies described in our Annual Report on Form 10-K for the fiscal year ended October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w:t>
      </w:r>
    </w:p>
    <w:p>
      <w:pPr>
        <w:spacing w:after="0" w:line="254"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In November 2021, the FASB issued ASU 2021-10, </w:t>
      </w:r>
      <w:r>
        <w:rPr>
          <w:rFonts w:ascii="Arial" w:cs="Arial" w:eastAsia="Arial" w:hAnsi="Arial"/>
          <w:sz w:val="17"/>
          <w:szCs w:val="17"/>
          <w:i w:val="1"/>
          <w:iCs w:val="1"/>
          <w:color w:val="auto"/>
        </w:rPr>
        <w:t>Government Assistance (Topic 832): Disclosures by Business Entities about Government Assistance</w:t>
      </w:r>
      <w:r>
        <w:rPr>
          <w:rFonts w:ascii="Arial" w:cs="Arial" w:eastAsia="Arial" w:hAnsi="Arial"/>
          <w:sz w:val="17"/>
          <w:szCs w:val="17"/>
          <w:color w:val="auto"/>
        </w:rPr>
        <w:t>. This update requires annual disclosures about transactions with a government that are accounted for by applying a grant or contribution accounting model by analogy. This standard is effective for fiscal years beginning after December 15, 2021, and should be applied either prospectively or retrospectively. Early adoption is permitted. The Company adopted this guidance prospectively on November 1, 2022, and it did not have a material impact on the Consolidated Condensed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848</w:t>
      </w:r>
      <w:r>
        <w:rPr>
          <w:rFonts w:ascii="Arial" w:cs="Arial" w:eastAsia="Arial" w:hAnsi="Arial"/>
          <w:sz w:val="15"/>
          <w:szCs w:val="15"/>
          <w:color w:val="auto"/>
        </w:rPr>
        <w:t xml:space="preserve">): </w:t>
      </w:r>
      <w:r>
        <w:rPr>
          <w:rFonts w:ascii="Arial" w:cs="Arial" w:eastAsia="Arial" w:hAnsi="Arial"/>
          <w:sz w:val="15"/>
          <w:szCs w:val="15"/>
          <w:i w:val="1"/>
          <w:iCs w:val="1"/>
          <w:color w:val="auto"/>
        </w:rPr>
        <w:t>Facilitation of the Effects of Reference Rate Reform on Financial Reporting</w:t>
      </w:r>
    </w:p>
    <w:p>
      <w:pPr>
        <w:spacing w:after="0" w:line="4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and subsequent amendment to the initial guidance: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(collectively, “Topic 848”). Topic 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In December 2022, the FASB issued ASU 2022-06, </w:t>
      </w:r>
      <w:r>
        <w:rPr>
          <w:rFonts w:ascii="Arial" w:cs="Arial" w:eastAsia="Arial" w:hAnsi="Arial"/>
          <w:sz w:val="16"/>
          <w:szCs w:val="16"/>
          <w:i w:val="1"/>
          <w:iCs w:val="1"/>
          <w:color w:val="auto"/>
        </w:rPr>
        <w:t>Reference Rate Reform (Topic 848): Deferral of the Sunset Date</w:t>
      </w:r>
      <w:r>
        <w:rPr>
          <w:rFonts w:ascii="Arial" w:cs="Arial" w:eastAsia="Arial" w:hAnsi="Arial"/>
          <w:sz w:val="16"/>
          <w:szCs w:val="16"/>
          <w:color w:val="auto"/>
        </w:rPr>
        <w:t xml:space="preserve"> </w:t>
      </w:r>
      <w:r>
        <w:rPr>
          <w:rFonts w:ascii="Arial" w:cs="Arial" w:eastAsia="Arial" w:hAnsi="Arial"/>
          <w:sz w:val="16"/>
          <w:szCs w:val="16"/>
          <w:i w:val="1"/>
          <w:iCs w:val="1"/>
          <w:color w:val="auto"/>
        </w:rPr>
        <w:t>of Topic 848</w:t>
      </w:r>
      <w:r>
        <w:rPr>
          <w:rFonts w:ascii="Arial" w:cs="Arial" w:eastAsia="Arial" w:hAnsi="Arial"/>
          <w:sz w:val="16"/>
          <w:szCs w:val="16"/>
          <w:color w:val="auto"/>
        </w:rPr>
        <w:t>. ASU 2022-06 defers the sunset date of Topic 848 from December 31, 2022, to December 31, 2024. Effective February 1, 2023,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transitioned its credit agreements from LIBOR to the Secured Overnight Financing Rate ("SOFR"). The Company adopted this guidance prospectively on February 1, 2023, and it did not have a material impact on the Consolidated Condensed Financial Statements.</w:t>
      </w:r>
    </w:p>
    <w:p>
      <w:pPr>
        <w:spacing w:after="0" w:line="206" w:lineRule="exact"/>
        <w:rPr>
          <w:sz w:val="20"/>
          <w:szCs w:val="20"/>
          <w:color w:val="auto"/>
        </w:rPr>
      </w:pPr>
    </w:p>
    <w:p>
      <w:pPr>
        <w:ind w:right="740"/>
        <w:spacing w:after="0" w:line="274" w:lineRule="auto"/>
        <w:rPr>
          <w:sz w:val="20"/>
          <w:szCs w:val="20"/>
          <w:color w:val="auto"/>
        </w:rPr>
      </w:pPr>
      <w:r>
        <w:rPr>
          <w:rFonts w:ascii="Arial" w:cs="Arial" w:eastAsia="Arial" w:hAnsi="Arial"/>
          <w:sz w:val="17"/>
          <w:szCs w:val="17"/>
          <w:color w:val="auto"/>
        </w:rPr>
        <w:t>No other recently issued accounting pronouncements had or are expected to have a material impact on the Company's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2. Acquisitions and Joint Venture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All acquisitions were funded by cash generated from operations or facility borrowings.</w:t>
      </w:r>
    </w:p>
    <w:p>
      <w:pPr>
        <w:spacing w:after="0" w:line="21"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On November 1, 2022, CooperVision completed the acquisition of a privately-held U.S.-based company that provides a broad portfolio of technologically advanced contact lens products, including scleral and hybrid lenses. The purchase price of the acquisition was $33.0 million. Based upon preliminary valuations, assets acquired primarily comprised $12.6 million of customer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jc w:val="both"/>
        <w:ind w:right="400"/>
        <w:spacing w:after="0" w:line="261" w:lineRule="auto"/>
        <w:rPr>
          <w:sz w:val="20"/>
          <w:szCs w:val="20"/>
          <w:color w:val="auto"/>
        </w:rPr>
      </w:pPr>
      <w:r>
        <w:rPr>
          <w:rFonts w:ascii="Arial" w:cs="Arial" w:eastAsia="Arial" w:hAnsi="Arial"/>
          <w:sz w:val="17"/>
          <w:szCs w:val="17"/>
          <w:color w:val="auto"/>
        </w:rPr>
        <w:t>relationship related intangibles, $7.6 million of technology, and $13.1 million of goodwill. The goodwill is not deductible for tax purposes. The purchase price allocation is preliminary, and the Company is in the process of finalizing information primarily related to the effect on taxes and the corresponding impact on goodwill.</w:t>
      </w:r>
    </w:p>
    <w:p>
      <w:pPr>
        <w:spacing w:after="0" w:line="226"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On April 6, 2022, CooperSurgical entered into an asset purchase agreement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such as receipt of required regulatory approvals.</w:t>
      </w:r>
    </w:p>
    <w:p>
      <w:pPr>
        <w:spacing w:after="0" w:line="20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During the three months ended April 30, 2023, CooperSurgical determined that the fulfillment of certain closing conditions related to regulatory approvals was no longer probable and accrued $45.0 million in expenses associated with the probable payment in August 2023 of a termination fee under the asset purchase agreement. The termination fee is recorded in "selling, general and administrative expense" on the Consolidated Condensed Statements of Income and Comprehensive Income.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w:t>
      </w:r>
    </w:p>
    <w:p>
      <w:pPr>
        <w:spacing w:after="0" w:line="254"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On January 19, 2021, CooperVision acquired all of the remaining equity interests of SightGlass Vision, Inc. (SGV), a privately-held medical device company that developed spectacle lenses for myopia management. The transaction included potential payments of future consideration that were contingent upon the achievement of the regulatory approval milestone (the regulatory approval payment) and the acquired business reaching certain revenue thresholds over a specified period (the revenue payments). The undiscounted range of the contingent consideration was zero to $139.1 million payable to the other former equity interest owners.</w:t>
      </w:r>
    </w:p>
    <w:p>
      <w:pPr>
        <w:spacing w:after="0" w:line="18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March 2022, the entities amended the terms of the contingent consideration, which resulted in CooperVision paying $42.9 million to the former equity interest owners in exchange for the elimination of the revenue payments. CooperVision recognized a net gain of $12.2 million during fiscal 2022.</w:t>
      </w:r>
    </w:p>
    <w:p>
      <w:pPr>
        <w:spacing w:after="0" w:line="17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Further, CooperVision and Essilor International SAS (Essilor) executed the Contribution Agreement and Stock Purchase Agreement (the “Agreements”) in March 2022. Essilor paid CooperVision $52.1 million in exchange for 50% interest in SGV and their proportionate share of the revenue payments. As part of the Agreements, each party contributed their interest in SGV and $10 million in cash to form a new joint venture. CooperVision then remeasured the fair value of its retained equity investment in the joint venture at $90.0 million which resulted in a $56.9 million gain in Other (income) expense on deconsolidation of SGV in fiscal 2022.</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six months ended April 30, 2023, CooperVision determined that approval would not be achieved within the timeline set forth in the contractual terms of the regulatory approval payment and released the remaining $31.8 million contingent consideration liability.</w:t>
      </w:r>
    </w:p>
    <w:p>
      <w:pPr>
        <w:spacing w:after="0" w:line="203"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Additional information regarding the joint venture is included in our notes to our consolidated financial statements in our Annual Report on Form 10-K for the fiscal year ended October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89"/>
              </w:rPr>
              <w:t>Note 3. Inventories</w:t>
            </w:r>
          </w:p>
        </w:tc>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18"/>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275"/>
              <w:spacing w:after="0"/>
              <w:rPr>
                <w:sz w:val="20"/>
                <w:szCs w:val="20"/>
                <w:color w:val="auto"/>
              </w:rPr>
            </w:pPr>
            <w:r>
              <w:rPr>
                <w:rFonts w:ascii="Arial" w:cs="Arial" w:eastAsia="Arial" w:hAnsi="Arial"/>
                <w:sz w:val="17"/>
                <w:szCs w:val="17"/>
                <w:b w:val="1"/>
                <w:bCs w:val="1"/>
                <w:color w:val="auto"/>
              </w:rPr>
              <w:t>April 30, 2023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175"/>
              <w:spacing w:after="0"/>
              <w:rPr>
                <w:sz w:val="20"/>
                <w:szCs w:val="20"/>
                <w:color w:val="auto"/>
              </w:rPr>
            </w:pPr>
            <w:r>
              <w:rPr>
                <w:rFonts w:ascii="Arial" w:cs="Arial" w:eastAsia="Arial" w:hAnsi="Arial"/>
                <w:sz w:val="17"/>
                <w:szCs w:val="17"/>
                <w:b w:val="1"/>
                <w:bCs w:val="1"/>
                <w:color w:val="auto"/>
                <w:w w:val="94"/>
              </w:rPr>
              <w:t>October 31, 2022</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Raw materials</w:t>
            </w: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w:t>
            </w:r>
          </w:p>
        </w:tc>
      </w:tr>
      <w:tr>
        <w:trPr>
          <w:trHeight w:val="223"/>
        </w:trPr>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Work-in-process</w:t>
            </w:r>
          </w:p>
        </w:tc>
        <w:tc>
          <w:tcPr>
            <w:tcW w:w="6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36"/>
        </w:trPr>
        <w:tc>
          <w:tcPr>
            <w:tcW w:w="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6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439.8</w:t>
            </w:r>
          </w:p>
        </w:tc>
      </w:tr>
      <w:tr>
        <w:trPr>
          <w:trHeight w:val="210"/>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Total inventories</w:t>
            </w:r>
          </w:p>
        </w:tc>
        <w:tc>
          <w:tcPr>
            <w:tcW w:w="626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gridSpan w:val="5"/>
          </w:tcPr>
          <w:p>
            <w:pPr>
              <w:spacing w:after="0"/>
              <w:rPr>
                <w:sz w:val="20"/>
                <w:szCs w:val="20"/>
                <w:color w:val="auto"/>
              </w:rPr>
            </w:pPr>
            <w:r>
              <w:rPr>
                <w:rFonts w:ascii="Arial" w:cs="Arial" w:eastAsia="Arial" w:hAnsi="Arial"/>
                <w:sz w:val="17"/>
                <w:szCs w:val="17"/>
                <w:b w:val="1"/>
                <w:bCs w:val="1"/>
                <w:color w:val="auto"/>
              </w:rPr>
              <w:t>Note 4. Intangible Assets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240" w:type="dxa"/>
            <w:vAlign w:val="bottom"/>
            <w:gridSpan w:val="5"/>
          </w:tcPr>
          <w:p>
            <w:pPr>
              <w:spacing w:after="0"/>
              <w:rPr>
                <w:sz w:val="20"/>
                <w:szCs w:val="20"/>
                <w:color w:val="auto"/>
              </w:rPr>
            </w:pPr>
            <w:r>
              <w:rPr>
                <w:rFonts w:ascii="Arial" w:cs="Arial" w:eastAsia="Arial" w:hAnsi="Arial"/>
                <w:sz w:val="17"/>
                <w:szCs w:val="17"/>
                <w:b w:val="1"/>
                <w:bCs w:val="1"/>
                <w:color w:val="auto"/>
              </w:rPr>
              <w:t>Intangible assets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7"/>
                <w:szCs w:val="17"/>
                <w:b w:val="1"/>
                <w:bCs w:val="1"/>
                <w:color w:val="auto"/>
              </w:rPr>
              <w:t>April 30, 2023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7"/>
                <w:szCs w:val="17"/>
                <w:b w:val="1"/>
                <w:bCs w:val="1"/>
                <w:color w:val="auto"/>
              </w:rPr>
              <w:t>October 31, 2022</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88"/>
              </w:rPr>
              <w:t>Weighted Average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ind w:right="295"/>
              <w:spacing w:after="0"/>
              <w:rPr>
                <w:sz w:val="20"/>
                <w:szCs w:val="20"/>
                <w:color w:val="auto"/>
              </w:rPr>
            </w:pPr>
            <w:r>
              <w:rPr>
                <w:rFonts w:ascii="Arial" w:cs="Arial" w:eastAsia="Arial" w:hAnsi="Arial"/>
                <w:sz w:val="17"/>
                <w:szCs w:val="17"/>
                <w:b w:val="1"/>
                <w:bCs w:val="1"/>
                <w:color w:val="auto"/>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85"/>
              </w:rPr>
              <w:t>Gross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4"/>
              </w:rPr>
              <w:t>Amortization Period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w w:val="95"/>
              </w:rPr>
              <w:t>Accumulated</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w w:val="93"/>
              </w:rPr>
              <w:t>Accumulated</w:t>
            </w:r>
          </w:p>
        </w:tc>
        <w:tc>
          <w:tcPr>
            <w:tcW w:w="12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(in years)</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22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60" w:type="dxa"/>
            <w:vAlign w:val="bottom"/>
          </w:tcPr>
          <w:p>
            <w:pPr>
              <w:spacing w:after="0"/>
              <w:rPr>
                <w:sz w:val="14"/>
                <w:szCs w:val="14"/>
                <w:color w:val="auto"/>
              </w:rPr>
            </w:pPr>
          </w:p>
        </w:tc>
        <w:tc>
          <w:tcPr>
            <w:tcW w:w="980" w:type="dxa"/>
            <w:vAlign w:val="bottom"/>
          </w:tcPr>
          <w:p>
            <w:pPr>
              <w:jc w:val="right"/>
              <w:ind w:right="155"/>
              <w:spacing w:after="0" w:line="171" w:lineRule="exact"/>
              <w:rPr>
                <w:sz w:val="20"/>
                <w:szCs w:val="20"/>
                <w:color w:val="auto"/>
              </w:rPr>
            </w:pPr>
            <w:r>
              <w:rPr>
                <w:rFonts w:ascii="Arial" w:cs="Arial" w:eastAsia="Arial" w:hAnsi="Arial"/>
                <w:sz w:val="17"/>
                <w:szCs w:val="17"/>
                <w:b w:val="1"/>
                <w:bCs w:val="1"/>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line="171" w:lineRule="exact"/>
              <w:rPr>
                <w:sz w:val="20"/>
                <w:szCs w:val="20"/>
                <w:color w:val="auto"/>
              </w:rPr>
            </w:pPr>
            <w:r>
              <w:rPr>
                <w:rFonts w:ascii="Arial" w:cs="Arial" w:eastAsia="Arial" w:hAnsi="Arial"/>
                <w:sz w:val="17"/>
                <w:szCs w:val="17"/>
                <w:b w:val="1"/>
                <w:bCs w:val="1"/>
                <w:color w:val="auto"/>
                <w:w w:val="94"/>
              </w:rPr>
              <w:t>Carrying</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95"/>
              <w:spacing w:after="0" w:line="176" w:lineRule="exact"/>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55"/>
              <w:spacing w:after="0" w:line="176" w:lineRule="exact"/>
              <w:rPr>
                <w:sz w:val="20"/>
                <w:szCs w:val="20"/>
                <w:color w:val="auto"/>
              </w:rPr>
            </w:pPr>
            <w:r>
              <w:rPr>
                <w:rFonts w:ascii="Arial" w:cs="Arial" w:eastAsia="Arial" w:hAnsi="Arial"/>
                <w:sz w:val="17"/>
                <w:szCs w:val="17"/>
                <w:b w:val="1"/>
                <w:bCs w:val="1"/>
                <w:color w:val="auto"/>
                <w:w w:val="98"/>
              </w:rPr>
              <w:t>Amortization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60"/>
              <w:spacing w:after="0" w:line="176" w:lineRule="exact"/>
              <w:rPr>
                <w:sz w:val="20"/>
                <w:szCs w:val="20"/>
                <w:color w:val="auto"/>
              </w:rPr>
            </w:pPr>
            <w:r>
              <w:rPr>
                <w:rFonts w:ascii="Arial" w:cs="Arial" w:eastAsia="Arial" w:hAnsi="Arial"/>
                <w:sz w:val="17"/>
                <w:szCs w:val="17"/>
                <w:b w:val="1"/>
                <w:bCs w:val="1"/>
                <w:color w:val="auto"/>
                <w:w w:val="93"/>
              </w:rPr>
              <w:t>Amount</w:t>
            </w:r>
          </w:p>
        </w:tc>
        <w:tc>
          <w:tcPr>
            <w:tcW w:w="160" w:type="dxa"/>
            <w:vAlign w:val="bottom"/>
          </w:tcPr>
          <w:p>
            <w:pPr>
              <w:spacing w:after="0"/>
              <w:rPr>
                <w:sz w:val="15"/>
                <w:szCs w:val="15"/>
                <w:color w:val="auto"/>
              </w:rPr>
            </w:pPr>
          </w:p>
        </w:tc>
        <w:tc>
          <w:tcPr>
            <w:tcW w:w="1220" w:type="dxa"/>
            <w:vAlign w:val="bottom"/>
            <w:gridSpan w:val="2"/>
          </w:tcPr>
          <w:p>
            <w:pPr>
              <w:jc w:val="right"/>
              <w:ind w:right="200"/>
              <w:spacing w:after="0" w:line="176" w:lineRule="exact"/>
              <w:rPr>
                <w:sz w:val="20"/>
                <w:szCs w:val="20"/>
                <w:color w:val="auto"/>
              </w:rPr>
            </w:pPr>
            <w:r>
              <w:rPr>
                <w:rFonts w:ascii="Arial" w:cs="Arial" w:eastAsia="Arial" w:hAnsi="Arial"/>
                <w:sz w:val="17"/>
                <w:szCs w:val="17"/>
                <w:b w:val="1"/>
                <w:bCs w:val="1"/>
                <w:color w:val="auto"/>
                <w:w w:val="96"/>
              </w:rPr>
              <w:t>Amortization</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Intangible assets with definite lives: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2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1,107.5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317.9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1,092.7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287.0</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Composite intangible asset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354.0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4"/>
          </w:tcPr>
          <w:p>
            <w:pPr>
              <w:ind w:left="120"/>
              <w:spacing w:after="0"/>
              <w:rPr>
                <w:sz w:val="20"/>
                <w:szCs w:val="20"/>
                <w:color w:val="auto"/>
              </w:rPr>
            </w:pPr>
            <w:r>
              <w:rPr>
                <w:rFonts w:ascii="Arial" w:cs="Arial" w:eastAsia="Arial" w:hAnsi="Arial"/>
                <w:sz w:val="17"/>
                <w:szCs w:val="17"/>
                <w:color w:val="auto"/>
              </w:rPr>
              <w:t>Technology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317.5</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Trademarks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20" w:type="dxa"/>
            <w:vAlign w:val="bottom"/>
            <w:gridSpan w:val="4"/>
          </w:tcPr>
          <w:p>
            <w:pPr>
              <w:ind w:left="120"/>
              <w:spacing w:after="0"/>
              <w:rPr>
                <w:sz w:val="20"/>
                <w:szCs w:val="20"/>
                <w:color w:val="auto"/>
              </w:rPr>
            </w:pPr>
            <w:r>
              <w:rPr>
                <w:rFonts w:ascii="Arial" w:cs="Arial" w:eastAsia="Arial" w:hAnsi="Arial"/>
                <w:sz w:val="17"/>
                <w:szCs w:val="17"/>
                <w:color w:val="auto"/>
              </w:rPr>
              <w:t>License and distribution rights and 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23.8</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2,943.8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1,044.7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Less: accumulated amortization and translation</w:t>
            </w: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1,139.6</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1,044.7</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20" w:type="dxa"/>
            <w:vAlign w:val="bottom"/>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Intangible assets with definite lives, net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4"/>
          </w:tcPr>
          <w:p>
            <w:pPr>
              <w:spacing w:after="0" w:line="229" w:lineRule="exact"/>
              <w:rPr>
                <w:sz w:val="20"/>
                <w:szCs w:val="20"/>
                <w:color w:val="auto"/>
              </w:rPr>
            </w:pPr>
            <w:r>
              <w:rPr>
                <w:rFonts w:ascii="Arial" w:cs="Arial" w:eastAsia="Arial" w:hAnsi="Arial"/>
                <w:sz w:val="17"/>
                <w:szCs w:val="17"/>
                <w:color w:val="auto"/>
              </w:rPr>
              <w:t xml:space="preserve">Intangible assets with indefinite lives, net </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 other intangibles,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380" w:type="dxa"/>
            <w:vAlign w:val="bottom"/>
            <w:gridSpan w:val="7"/>
          </w:tcPr>
          <w:p>
            <w:pPr>
              <w:spacing w:after="0"/>
              <w:rPr>
                <w:sz w:val="20"/>
                <w:szCs w:val="20"/>
                <w:color w:val="auto"/>
              </w:rPr>
            </w:pPr>
            <w:r>
              <w:rPr>
                <w:rFonts w:ascii="Arial" w:cs="Arial" w:eastAsia="Arial" w:hAnsi="Arial"/>
                <w:sz w:val="22"/>
                <w:szCs w:val="22"/>
                <w:i w:val="1"/>
                <w:iCs w:val="1"/>
                <w:color w:val="auto"/>
                <w:w w:val="94"/>
                <w:vertAlign w:val="superscript"/>
              </w:rPr>
              <w:t>(1)</w:t>
            </w:r>
            <w:r>
              <w:rPr>
                <w:rFonts w:ascii="Arial" w:cs="Arial" w:eastAsia="Arial" w:hAnsi="Arial"/>
                <w:sz w:val="17"/>
                <w:szCs w:val="17"/>
                <w:i w:val="1"/>
                <w:iCs w:val="1"/>
                <w:color w:val="auto"/>
                <w:w w:val="94"/>
              </w:rPr>
              <w:t xml:space="preserve"> Intangible assets with indefinite lives include technology and trademarks.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gridSpan w:val="5"/>
          </w:tcPr>
          <w:p>
            <w:pPr>
              <w:spacing w:after="0"/>
              <w:rPr>
                <w:sz w:val="20"/>
                <w:szCs w:val="20"/>
                <w:color w:val="auto"/>
              </w:rPr>
            </w:pPr>
            <w:r>
              <w:rPr>
                <w:rFonts w:ascii="Arial" w:cs="Arial" w:eastAsia="Arial" w:hAnsi="Arial"/>
                <w:sz w:val="17"/>
                <w:szCs w:val="17"/>
                <w:color w:val="auto"/>
                <w:w w:val="96"/>
              </w:rPr>
              <w:t>Balances include foreign currency translation adjustments.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60" w:type="dxa"/>
            <w:vAlign w:val="bottom"/>
            <w:gridSpan w:val="14"/>
          </w:tcPr>
          <w:p>
            <w:pPr>
              <w:spacing w:after="0"/>
              <w:rPr>
                <w:sz w:val="20"/>
                <w:szCs w:val="20"/>
                <w:color w:val="auto"/>
              </w:rPr>
            </w:pPr>
            <w:r>
              <w:rPr>
                <w:rFonts w:ascii="Arial" w:cs="Arial" w:eastAsia="Arial" w:hAnsi="Arial"/>
                <w:sz w:val="17"/>
                <w:szCs w:val="17"/>
                <w:color w:val="auto"/>
                <w:w w:val="92"/>
              </w:rPr>
              <w:t>As of April 30, 2023, the estimate of future amortization expenses for intangible assets with definite lives is as follows: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7"/>
                <w:szCs w:val="17"/>
                <w:b w:val="1"/>
                <w:bCs w:val="1"/>
                <w:color w:val="auto"/>
              </w:rPr>
              <w:t>Fiscal Years: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gridSpan w:val="2"/>
          </w:tcPr>
          <w:p>
            <w:pPr>
              <w:jc w:val="right"/>
              <w:ind w:right="595"/>
              <w:spacing w:after="0"/>
              <w:rPr>
                <w:sz w:val="20"/>
                <w:szCs w:val="20"/>
                <w:color w:val="auto"/>
              </w:rPr>
            </w:pPr>
            <w:r>
              <w:rPr>
                <w:rFonts w:ascii="Arial" w:cs="Arial" w:eastAsia="Arial" w:hAnsi="Arial"/>
                <w:sz w:val="17"/>
                <w:szCs w:val="17"/>
                <w:b w:val="1"/>
                <w:bCs w:val="1"/>
                <w:color w:val="auto"/>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Remainder of 2023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4"/>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1,046.7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5360" w:type="dxa"/>
            <w:vAlign w:val="bottom"/>
            <w:gridSpan w:val="6"/>
            <w:shd w:val="clear" w:color="auto" w:fill="CCEEFF"/>
          </w:tcPr>
          <w:p>
            <w:pPr>
              <w:ind w:left="200"/>
              <w:spacing w:after="0"/>
              <w:rPr>
                <w:sz w:val="20"/>
                <w:szCs w:val="20"/>
                <w:color w:val="auto"/>
              </w:rPr>
            </w:pPr>
            <w:r>
              <w:rPr>
                <w:rFonts w:ascii="Arial" w:cs="Arial" w:eastAsia="Arial" w:hAnsi="Arial"/>
                <w:sz w:val="17"/>
                <w:szCs w:val="17"/>
                <w:color w:val="auto"/>
              </w:rPr>
              <w:t>Total remaining amortization for intangible assets with definite lives</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1,804.2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was no impairment of intangible assets recorded in the six months ended April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gridSpan w:val="4"/>
          </w:tcPr>
          <w:p>
            <w:pPr>
              <w:spacing w:after="0"/>
              <w:rPr>
                <w:sz w:val="20"/>
                <w:szCs w:val="20"/>
                <w:color w:val="auto"/>
              </w:rPr>
            </w:pPr>
            <w:r>
              <w:rPr>
                <w:rFonts w:ascii="Arial" w:cs="Arial" w:eastAsia="Arial" w:hAnsi="Arial"/>
                <w:sz w:val="17"/>
                <w:szCs w:val="17"/>
                <w:b w:val="1"/>
                <w:bCs w:val="1"/>
                <w:color w:val="auto"/>
              </w:rPr>
              <w:t>Note 5. Financing Arrangements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62"/>
        </w:trPr>
        <w:tc>
          <w:tcPr>
            <w:tcW w:w="7640" w:type="dxa"/>
            <w:vAlign w:val="bottom"/>
            <w:gridSpan w:val="4"/>
          </w:tcPr>
          <w:p>
            <w:pPr>
              <w:spacing w:after="0"/>
              <w:rPr>
                <w:sz w:val="20"/>
                <w:szCs w:val="20"/>
                <w:color w:val="auto"/>
              </w:rPr>
            </w:pPr>
            <w:r>
              <w:rPr>
                <w:rFonts w:ascii="Arial" w:cs="Arial" w:eastAsia="Arial" w:hAnsi="Arial"/>
                <w:sz w:val="17"/>
                <w:szCs w:val="17"/>
                <w:color w:val="auto"/>
              </w:rPr>
              <w:t>The Company had outstanding debt as follows: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77"/>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7"/>
                <w:szCs w:val="17"/>
                <w:b w:val="1"/>
                <w:bCs w:val="1"/>
                <w:color w:val="auto"/>
              </w:rPr>
              <w:t>(In millions)</w:t>
            </w:r>
          </w:p>
        </w:tc>
        <w:tc>
          <w:tcPr>
            <w:tcW w:w="220" w:type="dxa"/>
            <w:vAlign w:val="bottom"/>
          </w:tcPr>
          <w:p>
            <w:pPr>
              <w:spacing w:after="0"/>
              <w:rPr>
                <w:sz w:val="24"/>
                <w:szCs w:val="24"/>
                <w:color w:val="auto"/>
              </w:rPr>
            </w:pPr>
          </w:p>
        </w:tc>
        <w:tc>
          <w:tcPr>
            <w:tcW w:w="1520" w:type="dxa"/>
            <w:vAlign w:val="bottom"/>
          </w:tcPr>
          <w:p>
            <w:pPr>
              <w:jc w:val="right"/>
              <w:ind w:right="275"/>
              <w:spacing w:after="0"/>
              <w:rPr>
                <w:sz w:val="20"/>
                <w:szCs w:val="20"/>
                <w:color w:val="auto"/>
              </w:rPr>
            </w:pPr>
            <w:r>
              <w:rPr>
                <w:rFonts w:ascii="Arial" w:cs="Arial" w:eastAsia="Arial" w:hAnsi="Arial"/>
                <w:sz w:val="17"/>
                <w:szCs w:val="17"/>
                <w:b w:val="1"/>
                <w:bCs w:val="1"/>
                <w:color w:val="auto"/>
              </w:rPr>
              <w:t>April 30, 2023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175"/>
              <w:spacing w:after="0"/>
              <w:rPr>
                <w:sz w:val="20"/>
                <w:szCs w:val="20"/>
                <w:color w:val="auto"/>
              </w:rPr>
            </w:pPr>
            <w:r>
              <w:rPr>
                <w:rFonts w:ascii="Arial" w:cs="Arial" w:eastAsia="Arial" w:hAnsi="Arial"/>
                <w:sz w:val="17"/>
                <w:szCs w:val="17"/>
                <w:b w:val="1"/>
                <w:bCs w:val="1"/>
                <w:color w:val="auto"/>
                <w:w w:val="94"/>
              </w:rPr>
              <w:t>October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Overdraft and other credit facilities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r>
      <w:tr>
        <w:trPr>
          <w:trHeight w:val="223"/>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Term loans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338.0</w:t>
            </w:r>
          </w:p>
        </w:tc>
      </w:tr>
      <w:tr>
        <w:trPr>
          <w:trHeight w:val="216"/>
        </w:trPr>
        <w:tc>
          <w:tcPr>
            <w:tcW w:w="20" w:type="dxa"/>
            <w:vAlign w:val="bottom"/>
            <w:shd w:val="clear" w:color="auto" w:fill="CCEEFF"/>
          </w:tcPr>
          <w:p>
            <w:pPr>
              <w:spacing w:after="0"/>
              <w:rPr>
                <w:sz w:val="18"/>
                <w:szCs w:val="18"/>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Short-term debt, excluding financing leases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r>
      <w:tr>
        <w:trPr>
          <w:trHeight w:val="223"/>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Financing lease liabilities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412.6</w:t>
            </w:r>
          </w:p>
        </w:tc>
      </w:tr>
      <w:tr>
        <w:trPr>
          <w:trHeight w:val="250"/>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7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Revolving credit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Term loans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2,350.0</w:t>
            </w:r>
          </w:p>
        </w:tc>
      </w:tr>
      <w:tr>
        <w:trPr>
          <w:trHeight w:val="236"/>
        </w:trPr>
        <w:tc>
          <w:tcPr>
            <w:tcW w:w="20" w:type="dxa"/>
            <w:vAlign w:val="bottom"/>
            <w:shd w:val="clear" w:color="auto" w:fill="CCEEFF"/>
          </w:tcPr>
          <w:p>
            <w:pPr>
              <w:spacing w:after="0"/>
              <w:rPr>
                <w:sz w:val="20"/>
                <w:szCs w:val="20"/>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20" w:type="dxa"/>
            <w:vAlign w:val="bottom"/>
          </w:tcPr>
          <w:p>
            <w:pPr>
              <w:spacing w:after="0"/>
              <w:rPr>
                <w:sz w:val="18"/>
                <w:szCs w:val="18"/>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Less: unamortized debt issuance cost</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 excluding financing leases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2,347.1</w:t>
            </w:r>
          </w:p>
        </w:tc>
      </w:tr>
      <w:tr>
        <w:trPr>
          <w:trHeight w:val="223"/>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Financing lease liabilities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2,565.7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2,350.8</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Total debt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2,640.2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2,763.4</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Additional information regarding our indebtedness is included in our notes to our consolidated financial statements in our Annual Report on Form 10-K for the fiscal year ended October 31, 2022, which was filed with the Securities and Exchange Commission on December 9, 2022. The carrying value of the Company's revolving credit facility and term loans approximates fair value based on current market rates (Level 2). As of April 30, 2023, the Company was in compliance with all debt covenants. On February 1, 2023, the Company amended its credit agreements to transition the interest rates applicable to the loans denominated in U.S. Dollars from LIBOR to SOFR, as defined in the credit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Term Loan Agreement</w:t>
      </w:r>
    </w:p>
    <w:p>
      <w:pPr>
        <w:spacing w:after="0" w:line="25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On April 30, 2023, the Company had $1.5 billion outstanding under the 2021 Term Loan Facility and the weighted average interest rate was 5.91%.</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364-Day Term Loan Agreement</w:t>
      </w:r>
    </w:p>
    <w:p>
      <w:pPr>
        <w:spacing w:after="0" w:line="25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November 2, 2021, the Company entered into a 364-day, $840.0 million, term loan agreement by and among the Company, the lenders party thereto and The Bank of Nova Scotia, as administrative agent, which matured on November 1, 2022. The Company used part of the funds to partially repay outstanding borrowings under the 2020 Revolving Credit Facility and for general corporate purposes. The loan was fully repaid by the maturity date.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Revolving Credit and Term Loan Agreement</w:t>
      </w:r>
    </w:p>
    <w:p>
      <w:pPr>
        <w:spacing w:after="0" w:line="268"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Company has an uncommitted option to increase the revolving credit facility or establish a new term loan in an aggregate amount up to $1.605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On April 30, 2023, the Company had $850.0 million outstanding under the 2020 Term Loan Facility and $215.0 million outstanding under the 2020 Revolving Credit Facility. The interest rate on the 2020 Term Loan Facility and the 2020 Revolving Credit Facility was 5.90% at April 30, 2023.</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6. Income Taxes</w:t>
      </w:r>
    </w:p>
    <w:p>
      <w:pPr>
        <w:spacing w:after="0" w:line="26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effective tax rates for the three months ended April 30, 2023, and April 30, 2022, were 39.3% and 22.7%, respectively. The effective tax rates for the six months ended April 30, 2023, and April 30, 2022, were 33.7% and 22.3%, respectively. The increases were primarily due to changes in the geographic composition of pre-tax earnings, an increase in the UK statutory tax rate from 19% to 25%, and capitalization of research and experimental expenditures for fiscal 2023 as required by the 2017 Tax Cuts and Jobs Act.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0"/>
              </w:rPr>
              <w:t>Note 7. Earnings Per Share</w:t>
            </w:r>
          </w:p>
        </w:tc>
        <w:tc>
          <w:tcPr>
            <w:tcW w:w="266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Arial" w:cs="Arial" w:eastAsia="Arial" w:hAnsi="Arial"/>
                <w:sz w:val="17"/>
                <w:szCs w:val="17"/>
                <w:b w:val="1"/>
                <w:bCs w:val="1"/>
                <w:color w:val="auto"/>
              </w:rPr>
              <w:t>Periods Ended April 30,</w:t>
            </w: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w w:val="96"/>
              </w:rPr>
              <w:t>Three Months</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Six Months</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40" w:type="dxa"/>
            <w:vAlign w:val="bottom"/>
            <w:gridSpan w:val="3"/>
          </w:tcPr>
          <w:p>
            <w:pPr>
              <w:spacing w:after="0" w:line="173" w:lineRule="exact"/>
              <w:rPr>
                <w:sz w:val="20"/>
                <w:szCs w:val="20"/>
                <w:color w:val="auto"/>
              </w:rPr>
            </w:pPr>
            <w:r>
              <w:rPr>
                <w:rFonts w:ascii="Arial" w:cs="Arial" w:eastAsia="Arial" w:hAnsi="Arial"/>
                <w:sz w:val="17"/>
                <w:szCs w:val="17"/>
                <w:b w:val="1"/>
                <w:bCs w:val="1"/>
                <w:color w:val="auto"/>
              </w:rPr>
              <w:t>(In millions, except per share amounts)</w:t>
            </w:r>
          </w:p>
        </w:tc>
        <w:tc>
          <w:tcPr>
            <w:tcW w:w="1020" w:type="dxa"/>
            <w:vAlign w:val="bottom"/>
          </w:tcPr>
          <w:p>
            <w:pPr>
              <w:jc w:val="right"/>
              <w:spacing w:after="0" w:line="173" w:lineRule="exact"/>
              <w:rPr>
                <w:sz w:val="20"/>
                <w:szCs w:val="20"/>
                <w:color w:val="auto"/>
              </w:rPr>
            </w:pPr>
            <w:r>
              <w:rPr>
                <w:rFonts w:ascii="Arial" w:cs="Arial" w:eastAsia="Arial" w:hAnsi="Arial"/>
                <w:sz w:val="17"/>
                <w:szCs w:val="17"/>
                <w:b w:val="1"/>
                <w:bCs w:val="1"/>
                <w:color w:val="auto"/>
              </w:rPr>
              <w:t>2023</w:t>
            </w:r>
          </w:p>
        </w:tc>
        <w:tc>
          <w:tcPr>
            <w:tcW w:w="520" w:type="dxa"/>
            <w:vAlign w:val="bottom"/>
          </w:tcPr>
          <w:p>
            <w:pPr>
              <w:spacing w:after="0"/>
              <w:rPr>
                <w:sz w:val="15"/>
                <w:szCs w:val="15"/>
                <w:color w:val="auto"/>
              </w:rPr>
            </w:pPr>
          </w:p>
        </w:tc>
        <w:tc>
          <w:tcPr>
            <w:tcW w:w="1160" w:type="dxa"/>
            <w:vAlign w:val="bottom"/>
            <w:gridSpan w:val="2"/>
          </w:tcPr>
          <w:p>
            <w:pPr>
              <w:jc w:val="right"/>
              <w:spacing w:after="0" w:line="173" w:lineRule="exact"/>
              <w:rPr>
                <w:sz w:val="20"/>
                <w:szCs w:val="20"/>
                <w:color w:val="auto"/>
              </w:rPr>
            </w:pPr>
            <w:r>
              <w:rPr>
                <w:rFonts w:ascii="Arial" w:cs="Arial" w:eastAsia="Arial" w:hAnsi="Arial"/>
                <w:sz w:val="17"/>
                <w:szCs w:val="17"/>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7"/>
                <w:szCs w:val="17"/>
                <w:b w:val="1"/>
                <w:bCs w:val="1"/>
                <w:color w:val="auto"/>
              </w:rPr>
              <w:t>2023</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5"/>
              <w:spacing w:after="0" w:line="173"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160" w:type="dxa"/>
            <w:vAlign w:val="bottom"/>
            <w:gridSpan w:val="2"/>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140" w:type="dxa"/>
            <w:vAlign w:val="bottom"/>
            <w:gridSpan w:val="2"/>
            <w:shd w:val="clear" w:color="auto" w:fill="CCEEFF"/>
          </w:tcPr>
          <w:p>
            <w:pPr>
              <w:jc w:val="right"/>
              <w:ind w:right="8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600" w:type="dxa"/>
            <w:vAlign w:val="bottom"/>
            <w:gridSpan w:val="2"/>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i w:val="1"/>
                <w:iCs w:val="1"/>
                <w:color w:val="auto"/>
              </w:rPr>
              <w:t>Basic:</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4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Weighted average common shares</w:t>
            </w: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640" w:type="dxa"/>
            <w:vAlign w:val="bottom"/>
            <w:tcBorders>
              <w:top w:val="single" w:sz="8" w:color="CCEEFF"/>
            </w:tcBorders>
            <w:gridSpan w:val="3"/>
            <w:vMerge w:val="restart"/>
          </w:tcPr>
          <w:p>
            <w:pPr>
              <w:ind w:left="120"/>
              <w:spacing w:after="0"/>
              <w:rPr>
                <w:sz w:val="20"/>
                <w:szCs w:val="20"/>
                <w:color w:val="auto"/>
              </w:rPr>
            </w:pPr>
            <w:r>
              <w:rPr>
                <w:rFonts w:ascii="Arial" w:cs="Arial" w:eastAsia="Arial" w:hAnsi="Arial"/>
                <w:sz w:val="17"/>
                <w:szCs w:val="17"/>
                <w:color w:val="auto"/>
              </w:rPr>
              <w:t>Basic earnings per share</w:t>
            </w: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top w:val="single" w:sz="8" w:color="CCEEFF"/>
            </w:tcBorders>
            <w:vMerge w:val="continue"/>
          </w:tcPr>
          <w:p>
            <w:pPr>
              <w:spacing w:after="0"/>
              <w:rPr>
                <w:sz w:val="17"/>
                <w:szCs w:val="17"/>
                <w:color w:val="auto"/>
              </w:rPr>
            </w:pPr>
          </w:p>
        </w:tc>
        <w:tc>
          <w:tcPr>
            <w:tcW w:w="4640" w:type="dxa"/>
            <w:vAlign w:val="bottom"/>
            <w:tcBorders>
              <w:top w:val="single" w:sz="8" w:color="CCEEFF"/>
            </w:tcBorders>
            <w:gridSpan w:val="3"/>
            <w:vMerge w:val="continue"/>
          </w:tcPr>
          <w:p>
            <w:pPr>
              <w:spacing w:after="0"/>
              <w:rPr>
                <w:sz w:val="17"/>
                <w:szCs w:val="17"/>
                <w:color w:val="auto"/>
              </w:rPr>
            </w:pP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0.80</w:t>
            </w: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i w:val="1"/>
                <w:iCs w:val="1"/>
                <w:color w:val="auto"/>
              </w:rPr>
              <w:t>Diluted:</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ind w:left="120"/>
              <w:spacing w:after="0"/>
              <w:rPr>
                <w:sz w:val="20"/>
                <w:szCs w:val="20"/>
                <w:color w:val="auto"/>
              </w:rPr>
            </w:pPr>
            <w:r>
              <w:rPr>
                <w:rFonts w:ascii="Arial" w:cs="Arial" w:eastAsia="Arial" w:hAnsi="Arial"/>
                <w:sz w:val="17"/>
                <w:szCs w:val="17"/>
                <w:color w:val="auto"/>
              </w:rPr>
              <w:t>Weighted average common shares</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Effect of dilutive stock plans</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Arial" w:cs="Arial" w:eastAsia="Arial" w:hAnsi="Arial"/>
                <w:sz w:val="17"/>
                <w:szCs w:val="17"/>
                <w:color w:val="auto"/>
              </w:rPr>
              <w:t>Diluted weighted average common shares</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Diluted earnings per share</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table sets forth stock options to purchase our common stock that were not included in the diluted earnings per share calculation because their effect would have been antidilutive for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7"/>
                <w:szCs w:val="17"/>
                <w:b w:val="1"/>
                <w:bCs w:val="1"/>
                <w:color w:val="auto"/>
              </w:rPr>
              <w:t>Periods Ended April 30,</w:t>
            </w:r>
          </w:p>
        </w:tc>
        <w:tc>
          <w:tcPr>
            <w:tcW w:w="2340" w:type="dxa"/>
            <w:vAlign w:val="bottom"/>
            <w:tcBorders>
              <w:bottom w:val="single" w:sz="8" w:color="auto"/>
            </w:tcBorders>
            <w:gridSpan w:val="3"/>
          </w:tcPr>
          <w:p>
            <w:pPr>
              <w:ind w:left="1300"/>
              <w:spacing w:after="0"/>
              <w:rPr>
                <w:sz w:val="20"/>
                <w:szCs w:val="20"/>
                <w:color w:val="auto"/>
              </w:rPr>
            </w:pPr>
            <w:r>
              <w:rPr>
                <w:rFonts w:ascii="Arial" w:cs="Arial" w:eastAsia="Arial" w:hAnsi="Arial"/>
                <w:sz w:val="17"/>
                <w:szCs w:val="17"/>
                <w:b w:val="1"/>
                <w:bCs w:val="1"/>
                <w:color w:val="auto"/>
                <w:w w:val="91"/>
              </w:rPr>
              <w:t>Three Months</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gridSpan w:val="3"/>
          </w:tcPr>
          <w:p>
            <w:pPr>
              <w:ind w:left="1380"/>
              <w:spacing w:after="0"/>
              <w:rPr>
                <w:sz w:val="20"/>
                <w:szCs w:val="20"/>
                <w:color w:val="auto"/>
              </w:rPr>
            </w:pPr>
            <w:r>
              <w:rPr>
                <w:rFonts w:ascii="Arial" w:cs="Arial" w:eastAsia="Arial" w:hAnsi="Arial"/>
                <w:sz w:val="17"/>
                <w:szCs w:val="17"/>
                <w:b w:val="1"/>
                <w:bCs w:val="1"/>
                <w:color w:val="auto"/>
                <w:w w:val="94"/>
              </w:rPr>
              <w:t>Six Months</w:t>
            </w:r>
          </w:p>
        </w:tc>
        <w:tc>
          <w:tcPr>
            <w:tcW w:w="132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3920" w:type="dxa"/>
            <w:vAlign w:val="bottom"/>
            <w:gridSpan w:val="2"/>
          </w:tcPr>
          <w:p>
            <w:pPr>
              <w:spacing w:after="0" w:line="173" w:lineRule="exact"/>
              <w:rPr>
                <w:sz w:val="20"/>
                <w:szCs w:val="20"/>
                <w:color w:val="auto"/>
              </w:rPr>
            </w:pPr>
            <w:r>
              <w:rPr>
                <w:rFonts w:ascii="Arial" w:cs="Arial" w:eastAsia="Arial" w:hAnsi="Arial"/>
                <w:sz w:val="17"/>
                <w:szCs w:val="17"/>
                <w:b w:val="1"/>
                <w:bCs w:val="1"/>
                <w:color w:val="auto"/>
              </w:rPr>
              <w:t>(In thousands, except exercise prices)</w:t>
            </w:r>
          </w:p>
        </w:tc>
        <w:tc>
          <w:tcPr>
            <w:tcW w:w="1740" w:type="dxa"/>
            <w:vAlign w:val="bottom"/>
          </w:tcPr>
          <w:p>
            <w:pPr>
              <w:jc w:val="right"/>
              <w:ind w:right="615"/>
              <w:spacing w:after="0" w:line="173" w:lineRule="exact"/>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right"/>
              <w:ind w:right="615"/>
              <w:spacing w:after="0" w:line="173"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5"/>
                <w:szCs w:val="15"/>
                <w:color w:val="auto"/>
              </w:rPr>
            </w:pPr>
          </w:p>
        </w:tc>
        <w:tc>
          <w:tcPr>
            <w:tcW w:w="1740" w:type="dxa"/>
            <w:vAlign w:val="bottom"/>
          </w:tcPr>
          <w:p>
            <w:pPr>
              <w:jc w:val="right"/>
              <w:ind w:right="615"/>
              <w:spacing w:after="0" w:line="173"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15"/>
              <w:spacing w:after="0" w:line="173" w:lineRule="exact"/>
              <w:rPr>
                <w:sz w:val="20"/>
                <w:szCs w:val="20"/>
                <w:color w:val="auto"/>
              </w:rPr>
            </w:pPr>
            <w:r>
              <w:rPr>
                <w:rFonts w:ascii="Arial" w:cs="Arial" w:eastAsia="Arial" w:hAnsi="Arial"/>
                <w:sz w:val="17"/>
                <w:szCs w:val="17"/>
                <w:b w:val="1"/>
                <w:bCs w:val="1"/>
                <w:color w:val="auto"/>
              </w:rPr>
              <w:t>2022</w:t>
            </w: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option shares excluded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23"/>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Exercise prices</w:t>
            </w:r>
          </w:p>
        </w:tc>
        <w:tc>
          <w:tcPr>
            <w:tcW w:w="1740" w:type="dxa"/>
            <w:vAlign w:val="bottom"/>
          </w:tcPr>
          <w:p>
            <w:pPr>
              <w:jc w:val="right"/>
              <w:spacing w:after="0"/>
              <w:rPr>
                <w:sz w:val="20"/>
                <w:szCs w:val="20"/>
                <w:color w:val="auto"/>
              </w:rPr>
            </w:pPr>
            <w:r>
              <w:rPr>
                <w:rFonts w:ascii="Arial" w:cs="Arial" w:eastAsia="Arial" w:hAnsi="Arial"/>
                <w:sz w:val="17"/>
                <w:szCs w:val="17"/>
                <w:color w:val="auto"/>
              </w:rPr>
              <w:t>$300.12 - $406.17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w w:val="89"/>
              </w:rPr>
              <w:t>$345.74 - $406.17</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$300.12 - $406.17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w w:val="92"/>
              </w:rPr>
              <w:t>$345.74 - $406.17</w:t>
            </w: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stock units excluded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8. Share-Based Compensation</w:t>
      </w:r>
    </w:p>
    <w:p>
      <w:pPr>
        <w:spacing w:after="0" w:line="173" w:lineRule="exact"/>
        <w:rPr>
          <w:sz w:val="20"/>
          <w:szCs w:val="20"/>
          <w:color w:val="auto"/>
        </w:rPr>
      </w:pPr>
    </w:p>
    <w:p>
      <w:pPr>
        <w:jc w:val="both"/>
        <w:ind w:right="100"/>
        <w:spacing w:after="0" w:line="207" w:lineRule="exact"/>
        <w:rPr>
          <w:sz w:val="20"/>
          <w:szCs w:val="20"/>
          <w:color w:val="auto"/>
        </w:rPr>
      </w:pPr>
      <w:r>
        <w:rPr>
          <w:rFonts w:ascii="Arial" w:cs="Arial" w:eastAsia="Arial" w:hAnsi="Arial"/>
          <w:sz w:val="17"/>
          <w:szCs w:val="17"/>
          <w:color w:val="auto"/>
        </w:rPr>
        <w:t>The Company has several stock plans that are described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October 31, 2022. Compensation expense and the related income tax benefit recognized in our Consolidated Condensed Statements of Income and Comprehensive Income for share-based awards, including the Employee Stock Purchase Plan,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Periods Ended April 30,</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Six Months</w:t>
            </w:r>
          </w:p>
        </w:tc>
        <w:tc>
          <w:tcPr>
            <w:tcW w:w="108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4560" w:type="dxa"/>
            <w:vAlign w:val="bottom"/>
            <w:gridSpan w:val="2"/>
          </w:tcPr>
          <w:p>
            <w:pPr>
              <w:spacing w:after="0" w:line="173" w:lineRule="exact"/>
              <w:rPr>
                <w:sz w:val="20"/>
                <w:szCs w:val="20"/>
                <w:color w:val="auto"/>
              </w:rPr>
            </w:pPr>
            <w:r>
              <w:rPr>
                <w:rFonts w:ascii="Arial" w:cs="Arial" w:eastAsia="Arial" w:hAnsi="Arial"/>
                <w:sz w:val="17"/>
                <w:szCs w:val="17"/>
                <w:b w:val="1"/>
                <w:bCs w:val="1"/>
                <w:color w:val="auto"/>
              </w:rPr>
              <w:t>(In millions)</w:t>
            </w:r>
          </w:p>
        </w:tc>
        <w:tc>
          <w:tcPr>
            <w:tcW w:w="360" w:type="dxa"/>
            <w:vAlign w:val="bottom"/>
          </w:tcPr>
          <w:p>
            <w:pPr>
              <w:spacing w:after="0"/>
              <w:rPr>
                <w:sz w:val="15"/>
                <w:szCs w:val="15"/>
                <w:color w:val="auto"/>
              </w:rPr>
            </w:pPr>
          </w:p>
        </w:tc>
        <w:tc>
          <w:tcPr>
            <w:tcW w:w="1220" w:type="dxa"/>
            <w:vAlign w:val="bottom"/>
          </w:tcPr>
          <w:p>
            <w:pPr>
              <w:jc w:val="right"/>
              <w:ind w:right="535"/>
              <w:spacing w:after="0" w:line="173"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515"/>
              <w:spacing w:after="0" w:line="173" w:lineRule="exact"/>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15"/>
              <w:spacing w:after="0" w:line="173"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15"/>
              <w:spacing w:after="0" w:line="173" w:lineRule="exact"/>
              <w:rPr>
                <w:sz w:val="20"/>
                <w:szCs w:val="20"/>
                <w:color w:val="auto"/>
              </w:rPr>
            </w:pPr>
            <w:r>
              <w:rPr>
                <w:rFonts w:ascii="Arial" w:cs="Arial" w:eastAsia="Arial" w:hAnsi="Arial"/>
                <w:sz w:val="17"/>
                <w:szCs w:val="17"/>
                <w:b w:val="1"/>
                <w:bCs w:val="1"/>
                <w:color w:val="auto"/>
              </w:rPr>
              <w:t>2022</w:t>
            </w: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 expense</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64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50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600" w:type="dxa"/>
            <w:vAlign w:val="bottom"/>
            <w:gridSpan w:val="2"/>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7"/>
                <w:szCs w:val="17"/>
                <w:color w:val="auto"/>
              </w:rPr>
              <w:t>Total share-based compensation expense</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15.1</w:t>
            </w:r>
          </w:p>
        </w:tc>
        <w:tc>
          <w:tcPr>
            <w:tcW w:w="640" w:type="dxa"/>
            <w:vAlign w:val="bottom"/>
            <w:gridSpan w:val="2"/>
          </w:tcPr>
          <w:p>
            <w:pPr>
              <w:jc w:val="right"/>
              <w:ind w:right="35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13.0</w:t>
            </w:r>
          </w:p>
        </w:tc>
        <w:tc>
          <w:tcPr>
            <w:tcW w:w="50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31.4</w:t>
            </w:r>
          </w:p>
        </w:tc>
        <w:tc>
          <w:tcPr>
            <w:tcW w:w="600" w:type="dxa"/>
            <w:vAlign w:val="bottom"/>
            <w:gridSpan w:val="2"/>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Related income tax benefit</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Long-Term Incentive Plan (2023 Plan)</w:t>
      </w:r>
    </w:p>
    <w:p>
      <w:pPr>
        <w:spacing w:after="0" w:line="26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March 2023, we received stockholder approval of the 2023 Plan, which replaces the 2007 Long-Term Incentive Plan (2007 Plan). The 2023 Plan authorizes either our Board of Directors, or a designated committee thereof composed of two or more Non-Employee Directors, to grant to eligible individuals up to 1,365,000 shares in the form of specified equity awards including stock options, restricted stock units (RSUs) and performance share units (PSUs), subject to adjustment for future stock splits, stock dividends, expirations, forfeitures, and similar events. In addition, the 2023 Plan includes any shares which were available for issuance under the 2007 Plan at the time of stockholder approval of this plan. The 2023 Plan provides for awards of stock options, RSUs and PSUs on substantially the same terms as the 2007 Plan, described in our Annual Report on Form 10-K for the fiscal year ended October 31, 2022.</w:t>
      </w:r>
    </w:p>
    <w:p>
      <w:pPr>
        <w:spacing w:after="0" w:line="220"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As of April 30, 2023, 1,371,164 shares remained available under the 2023 Plan for future grants. The amount of available shares includes shares which may be distributed under performance shares.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9.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Changes in Accumulated Other Comprehensive Loss: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Foreign Currency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w w:val="92"/>
              </w:rPr>
              <w:t>Minimum Pension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Derivative</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5"/>
              <w:spacing w:after="0" w:line="167" w:lineRule="exact"/>
              <w:rPr>
                <w:sz w:val="20"/>
                <w:szCs w:val="20"/>
                <w:color w:val="auto"/>
              </w:rPr>
            </w:pPr>
            <w:r>
              <w:rPr>
                <w:rFonts w:ascii="Arial" w:cs="Arial" w:eastAsia="Arial" w:hAnsi="Arial"/>
                <w:sz w:val="17"/>
                <w:szCs w:val="17"/>
                <w:b w:val="1"/>
                <w:bCs w:val="1"/>
                <w:color w:val="auto"/>
                <w:w w:val="93"/>
              </w:rPr>
              <w:t>Translation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120" w:type="dxa"/>
            <w:vAlign w:val="bottom"/>
          </w:tcPr>
          <w:p>
            <w:pPr>
              <w:spacing w:after="0"/>
              <w:rPr>
                <w:sz w:val="17"/>
                <w:szCs w:val="17"/>
                <w:color w:val="auto"/>
              </w:rPr>
            </w:pPr>
          </w:p>
        </w:tc>
        <w:tc>
          <w:tcPr>
            <w:tcW w:w="146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Adjustment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375"/>
              <w:spacing w:after="0"/>
              <w:rPr>
                <w:sz w:val="20"/>
                <w:szCs w:val="20"/>
                <w:color w:val="auto"/>
              </w:rPr>
            </w:pPr>
            <w:r>
              <w:rPr>
                <w:rFonts w:ascii="Arial" w:cs="Arial" w:eastAsia="Arial" w:hAnsi="Arial"/>
                <w:sz w:val="17"/>
                <w:szCs w:val="17"/>
                <w:b w:val="1"/>
                <w:bCs w:val="1"/>
                <w:color w:val="auto"/>
              </w:rPr>
              <w:t>Liability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Arial" w:cs="Arial" w:eastAsia="Arial" w:hAnsi="Arial"/>
                <w:sz w:val="17"/>
                <w:szCs w:val="17"/>
                <w:b w:val="1"/>
                <w:bCs w:val="1"/>
                <w:color w:val="auto"/>
              </w:rPr>
              <w:t>Instruments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Gross change in value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effect</w:t>
            </w: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Balance at April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Balance at October 31, 2022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(555.0)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(6.2)</w:t>
            </w:r>
          </w:p>
        </w:tc>
        <w:tc>
          <w:tcPr>
            <w:tcW w:w="34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94.4</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change in value</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Tax effect</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April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73"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In December 2011, the Company's Board of Directors authorized the 2012 Share Repurchase Program (2012 Program) and through subsequent amendments, the most recent being in March 2017, the total repurchase authorization was increased from $500.0 million to $1.0 billion of the Company's common stock. As of April 30, 2023, $256.4 million remains authorized for repurchase under the 2012 Program.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April 30, 2023, there were no share repurchases under the 2012 Program.</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During the three months ended April 30, 2022, there were no share repurchases under the 2012 Program. During the six months ended April 30, 2022, the Company repurchased 191.2 thousand shares of its common stock for $78.5 million, at an average purchase price of $410.41 per share.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Company paid a semiannual dividend of approximately $1.5 million or 3 cents per share, on February 10, 2023, to stockholders of record on January 23, 2023.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Company paid a semiannual dividend of approximately $1.5 million or 3 cents per share, on February 9, 2022, to stockholders of record on January 21, 2022.</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10. Contingencies</w:t>
      </w:r>
    </w:p>
    <w:p>
      <w:pPr>
        <w:spacing w:after="0" w:line="25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ind w:right="880"/>
        <w:spacing w:after="0" w:line="274" w:lineRule="auto"/>
        <w:rPr>
          <w:sz w:val="20"/>
          <w:szCs w:val="20"/>
          <w:color w:val="auto"/>
        </w:rPr>
      </w:pPr>
      <w:r>
        <w:rPr>
          <w:rFonts w:ascii="Arial" w:cs="Arial" w:eastAsia="Arial" w:hAnsi="Arial"/>
          <w:sz w:val="17"/>
          <w:szCs w:val="17"/>
          <w:color w:val="auto"/>
        </w:rPr>
        <w:t xml:space="preserve">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11. Business Segment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revenue and other financial information by reportable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gridSpan w:val="3"/>
          </w:tcPr>
          <w:p>
            <w:pPr>
              <w:spacing w:after="0"/>
              <w:rPr>
                <w:sz w:val="20"/>
                <w:szCs w:val="20"/>
                <w:color w:val="auto"/>
              </w:rPr>
            </w:pPr>
            <w:r>
              <w:rPr>
                <w:rFonts w:ascii="Arial" w:cs="Arial" w:eastAsia="Arial" w:hAnsi="Arial"/>
                <w:sz w:val="17"/>
                <w:szCs w:val="17"/>
                <w:color w:val="auto"/>
              </w:rPr>
              <w:t>Segment information: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Periods Ended April 30,</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Six Months</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gridSpan w:val="2"/>
          </w:tcPr>
          <w:p>
            <w:pPr>
              <w:spacing w:after="0" w:line="186" w:lineRule="exact"/>
              <w:rPr>
                <w:sz w:val="20"/>
                <w:szCs w:val="20"/>
                <w:color w:val="auto"/>
              </w:rPr>
            </w:pPr>
            <w:r>
              <w:rPr>
                <w:rFonts w:ascii="Arial" w:cs="Arial" w:eastAsia="Arial" w:hAnsi="Arial"/>
                <w:sz w:val="17"/>
                <w:szCs w:val="17"/>
                <w:b w:val="1"/>
                <w:bCs w:val="1"/>
                <w:color w:val="auto"/>
              </w:rPr>
              <w:t>(In millions)</w:t>
            </w:r>
          </w:p>
        </w:tc>
        <w:tc>
          <w:tcPr>
            <w:tcW w:w="340" w:type="dxa"/>
            <w:vAlign w:val="bottom"/>
          </w:tcPr>
          <w:p>
            <w:pPr>
              <w:spacing w:after="0"/>
              <w:rPr>
                <w:sz w:val="16"/>
                <w:szCs w:val="16"/>
                <w:color w:val="auto"/>
              </w:rPr>
            </w:pPr>
          </w:p>
        </w:tc>
        <w:tc>
          <w:tcPr>
            <w:tcW w:w="1220" w:type="dxa"/>
            <w:vAlign w:val="bottom"/>
          </w:tcPr>
          <w:p>
            <w:pPr>
              <w:jc w:val="right"/>
              <w:ind w:right="535"/>
              <w:spacing w:after="0" w:line="18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ind w:right="515"/>
              <w:spacing w:after="0" w:line="186"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15"/>
              <w:spacing w:after="0" w:line="186"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15"/>
              <w:spacing w:after="0" w:line="186"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 net sales by category: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660"/>
              <w:spacing w:after="0"/>
              <w:rPr>
                <w:sz w:val="20"/>
                <w:szCs w:val="20"/>
                <w:color w:val="auto"/>
              </w:rPr>
            </w:pPr>
            <w:r>
              <w:rPr>
                <w:rFonts w:ascii="Arial" w:cs="Arial" w:eastAsia="Arial" w:hAnsi="Arial"/>
                <w:sz w:val="17"/>
                <w:szCs w:val="17"/>
                <w:color w:val="auto"/>
              </w:rPr>
              <w:t>Toric lens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206.3</w:t>
            </w:r>
          </w:p>
        </w:tc>
        <w:tc>
          <w:tcPr>
            <w:tcW w:w="640" w:type="dxa"/>
            <w:vAlign w:val="bottom"/>
            <w:gridSpan w:val="2"/>
          </w:tcPr>
          <w:p>
            <w:pPr>
              <w:jc w:val="right"/>
              <w:ind w:right="35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185.6</w:t>
            </w:r>
          </w:p>
        </w:tc>
        <w:tc>
          <w:tcPr>
            <w:tcW w:w="50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396.1</w:t>
            </w:r>
          </w:p>
        </w:tc>
        <w:tc>
          <w:tcPr>
            <w:tcW w:w="600" w:type="dxa"/>
            <w:vAlign w:val="bottom"/>
            <w:gridSpan w:val="2"/>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367.8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Multifocal lens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660"/>
              <w:spacing w:after="0"/>
              <w:rPr>
                <w:sz w:val="20"/>
                <w:szCs w:val="20"/>
                <w:color w:val="auto"/>
              </w:rPr>
            </w:pPr>
            <w:r>
              <w:rPr>
                <w:rFonts w:ascii="Arial" w:cs="Arial" w:eastAsia="Arial" w:hAnsi="Arial"/>
                <w:sz w:val="17"/>
                <w:szCs w:val="17"/>
                <w:color w:val="auto"/>
              </w:rPr>
              <w:t>Single-use sphere lens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328.1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Non single-use sphere, other</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294.9</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7"/>
                <w:szCs w:val="17"/>
                <w:color w:val="auto"/>
              </w:rPr>
              <w:t>Total CooperVision net sales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553.8</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1,170.6</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CooperSurgical net sales by category: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660"/>
              <w:spacing w:after="0"/>
              <w:rPr>
                <w:sz w:val="20"/>
                <w:szCs w:val="20"/>
                <w:color w:val="auto"/>
              </w:rPr>
            </w:pPr>
            <w:r>
              <w:rPr>
                <w:rFonts w:ascii="Arial" w:cs="Arial" w:eastAsia="Arial" w:hAnsi="Arial"/>
                <w:sz w:val="17"/>
                <w:szCs w:val="17"/>
                <w:color w:val="auto"/>
              </w:rPr>
              <w:t>Office and surgical</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163.0</w:t>
            </w:r>
          </w:p>
        </w:tc>
        <w:tc>
          <w:tcPr>
            <w:tcW w:w="640" w:type="dxa"/>
            <w:vAlign w:val="bottom"/>
            <w:gridSpan w:val="2"/>
          </w:tcPr>
          <w:p>
            <w:pPr>
              <w:jc w:val="right"/>
              <w:ind w:right="35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161.6</w:t>
            </w:r>
          </w:p>
        </w:tc>
        <w:tc>
          <w:tcPr>
            <w:tcW w:w="50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328.2</w:t>
            </w:r>
          </w:p>
        </w:tc>
        <w:tc>
          <w:tcPr>
            <w:tcW w:w="600" w:type="dxa"/>
            <w:vAlign w:val="bottom"/>
            <w:gridSpan w:val="2"/>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Fertility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7"/>
                <w:szCs w:val="17"/>
                <w:color w:val="auto"/>
              </w:rPr>
              <w:t>CooperSurgical net sales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288.1</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565.3</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net sales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877.4</w:t>
            </w:r>
          </w:p>
        </w:tc>
        <w:tc>
          <w:tcPr>
            <w:tcW w:w="64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829.8</w:t>
            </w:r>
          </w:p>
        </w:tc>
        <w:tc>
          <w:tcPr>
            <w:tcW w:w="50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1,735.9</w:t>
            </w:r>
          </w:p>
        </w:tc>
        <w:tc>
          <w:tcPr>
            <w:tcW w:w="600" w:type="dxa"/>
            <w:vAlign w:val="bottom"/>
            <w:gridSpan w:val="2"/>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Operating income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CooperVision</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64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50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w:t>
            </w:r>
          </w:p>
        </w:tc>
        <w:tc>
          <w:tcPr>
            <w:tcW w:w="600" w:type="dxa"/>
            <w:vAlign w:val="bottom"/>
            <w:gridSpan w:val="2"/>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340"/>
              <w:spacing w:after="0"/>
              <w:rPr>
                <w:sz w:val="20"/>
                <w:szCs w:val="20"/>
                <w:color w:val="auto"/>
              </w:rPr>
            </w:pPr>
            <w:r>
              <w:rPr>
                <w:rFonts w:ascii="Arial" w:cs="Arial" w:eastAsia="Arial" w:hAnsi="Arial"/>
                <w:sz w:val="17"/>
                <w:szCs w:val="17"/>
                <w:color w:val="auto"/>
              </w:rPr>
              <w:t>CooperSurgical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Total operating income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132.7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245.8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Other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4"/>
          </w:tcPr>
          <w:p>
            <w:pPr>
              <w:jc w:val="right"/>
              <w:ind w:right="500"/>
              <w:spacing w:after="0"/>
              <w:rPr>
                <w:sz w:val="20"/>
                <w:szCs w:val="20"/>
                <w:color w:val="auto"/>
              </w:rPr>
            </w:pPr>
            <w:r>
              <w:rPr>
                <w:rFonts w:ascii="Arial" w:cs="Arial" w:eastAsia="Arial" w:hAnsi="Arial"/>
                <w:sz w:val="17"/>
                <w:szCs w:val="17"/>
                <w:b w:val="1"/>
                <w:bCs w:val="1"/>
                <w:color w:val="auto"/>
              </w:rPr>
              <w:t>April 30, 2023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75"/>
              <w:spacing w:after="0"/>
              <w:rPr>
                <w:sz w:val="20"/>
                <w:szCs w:val="20"/>
                <w:color w:val="auto"/>
              </w:rPr>
            </w:pPr>
            <w:r>
              <w:rPr>
                <w:rFonts w:ascii="Arial" w:cs="Arial" w:eastAsia="Arial" w:hAnsi="Arial"/>
                <w:sz w:val="17"/>
                <w:szCs w:val="17"/>
                <w:b w:val="1"/>
                <w:bCs w:val="1"/>
                <w:color w:val="auto"/>
                <w:w w:val="94"/>
              </w:rPr>
              <w:t>October 31, 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identifiable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Arial" w:cs="Arial" w:eastAsia="Arial" w:hAnsi="Arial"/>
                <w:sz w:val="17"/>
                <w:szCs w:val="17"/>
                <w:color w:val="auto"/>
              </w:rPr>
              <w:t>CooperVision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6,970.9</w:t>
            </w:r>
          </w:p>
        </w:tc>
        <w:tc>
          <w:tcPr>
            <w:tcW w:w="16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6,778.9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CooperSurgical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4,337.0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4,407.8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Corporate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231.6</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305.6</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11,539.5</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Geographic information:</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5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Periods Ended April 30,</w:t>
            </w: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760"/>
              <w:spacing w:after="0"/>
              <w:rPr>
                <w:sz w:val="20"/>
                <w:szCs w:val="20"/>
                <w:color w:val="auto"/>
              </w:rPr>
            </w:pPr>
            <w:r>
              <w:rPr>
                <w:rFonts w:ascii="Arial" w:cs="Arial" w:eastAsia="Arial" w:hAnsi="Arial"/>
                <w:sz w:val="17"/>
                <w:szCs w:val="17"/>
                <w:b w:val="1"/>
                <w:bCs w:val="1"/>
                <w:color w:val="auto"/>
                <w:w w:val="98"/>
              </w:rPr>
              <w:t>Three Months</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7"/>
                <w:szCs w:val="17"/>
                <w:b w:val="1"/>
                <w:bCs w:val="1"/>
                <w:color w:val="auto"/>
              </w:rPr>
              <w:t>Six Months</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360" w:type="dxa"/>
            <w:vAlign w:val="bottom"/>
          </w:tcPr>
          <w:p>
            <w:pPr>
              <w:spacing w:after="0"/>
              <w:rPr>
                <w:sz w:val="15"/>
                <w:szCs w:val="15"/>
                <w:color w:val="auto"/>
              </w:rPr>
            </w:pPr>
          </w:p>
        </w:tc>
        <w:tc>
          <w:tcPr>
            <w:tcW w:w="1200" w:type="dxa"/>
            <w:vAlign w:val="bottom"/>
          </w:tcPr>
          <w:p>
            <w:pPr>
              <w:ind w:left="260"/>
              <w:spacing w:after="0" w:line="176" w:lineRule="exact"/>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275"/>
              <w:spacing w:after="0" w:line="176" w:lineRule="exact"/>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95"/>
              <w:spacing w:after="0" w:line="176" w:lineRule="exact"/>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 to unaffiliated customers by country of domicile: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ind w:left="660"/>
              <w:spacing w:after="0"/>
              <w:rPr>
                <w:sz w:val="20"/>
                <w:szCs w:val="20"/>
                <w:color w:val="auto"/>
              </w:rPr>
            </w:pPr>
            <w:r>
              <w:rPr>
                <w:rFonts w:ascii="Arial" w:cs="Arial" w:eastAsia="Arial" w:hAnsi="Arial"/>
                <w:sz w:val="17"/>
                <w:szCs w:val="17"/>
                <w:color w:val="auto"/>
              </w:rPr>
              <w:t>United States</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Pr>
          <w:p>
            <w:pPr>
              <w:ind w:left="740"/>
              <w:spacing w:after="0"/>
              <w:rPr>
                <w:sz w:val="20"/>
                <w:szCs w:val="20"/>
                <w:color w:val="auto"/>
              </w:rPr>
            </w:pPr>
            <w:r>
              <w:rPr>
                <w:rFonts w:ascii="Arial" w:cs="Arial" w:eastAsia="Arial" w:hAnsi="Arial"/>
                <w:sz w:val="17"/>
                <w:szCs w:val="17"/>
                <w:color w:val="auto"/>
              </w:rPr>
              <w:t>443.1</w:t>
            </w:r>
          </w:p>
        </w:tc>
        <w:tc>
          <w:tcPr>
            <w:tcW w:w="6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418.9</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877.9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784.2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Europe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249.5</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243.2</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60"/>
              <w:spacing w:after="0"/>
              <w:rPr>
                <w:sz w:val="20"/>
                <w:szCs w:val="20"/>
                <w:color w:val="auto"/>
              </w:rPr>
            </w:pPr>
            <w:r>
              <w:rPr>
                <w:rFonts w:ascii="Arial" w:cs="Arial" w:eastAsia="Arial" w:hAnsi="Arial"/>
                <w:sz w:val="17"/>
                <w:szCs w:val="17"/>
                <w:color w:val="auto"/>
              </w:rPr>
              <w:t>Rest of world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184.8</w:t>
            </w: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167.7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360.3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877.4</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829.8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1,735.9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240" w:type="dxa"/>
            <w:vAlign w:val="bottom"/>
          </w:tcPr>
          <w:p>
            <w:pPr>
              <w:spacing w:after="0"/>
              <w:rPr>
                <w:sz w:val="16"/>
                <w:szCs w:val="16"/>
                <w:color w:val="auto"/>
              </w:rPr>
            </w:pPr>
          </w:p>
        </w:tc>
        <w:tc>
          <w:tcPr>
            <w:tcW w:w="1500" w:type="dxa"/>
            <w:vAlign w:val="bottom"/>
          </w:tcPr>
          <w:p>
            <w:pPr>
              <w:jc w:val="right"/>
              <w:ind w:right="255"/>
              <w:spacing w:after="0"/>
              <w:rPr>
                <w:sz w:val="20"/>
                <w:szCs w:val="20"/>
                <w:color w:val="auto"/>
              </w:rPr>
            </w:pPr>
            <w:r>
              <w:rPr>
                <w:rFonts w:ascii="Arial" w:cs="Arial" w:eastAsia="Arial" w:hAnsi="Arial"/>
                <w:sz w:val="17"/>
                <w:szCs w:val="17"/>
                <w:b w:val="1"/>
                <w:bCs w:val="1"/>
                <w:color w:val="auto"/>
              </w:rPr>
              <w:t>April 30, 2023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75"/>
              <w:spacing w:after="0"/>
              <w:rPr>
                <w:sz w:val="20"/>
                <w:szCs w:val="20"/>
                <w:color w:val="auto"/>
              </w:rPr>
            </w:pPr>
            <w:r>
              <w:rPr>
                <w:rFonts w:ascii="Arial" w:cs="Arial" w:eastAsia="Arial" w:hAnsi="Arial"/>
                <w:sz w:val="17"/>
                <w:szCs w:val="17"/>
                <w:b w:val="1"/>
                <w:bCs w:val="1"/>
                <w:color w:val="auto"/>
                <w:w w:val="94"/>
              </w:rPr>
              <w:t>October 31, 2022</w:t>
            </w: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property, plant and equipment by country of domicile:</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660"/>
              <w:spacing w:after="0"/>
              <w:rPr>
                <w:sz w:val="20"/>
                <w:szCs w:val="20"/>
                <w:color w:val="auto"/>
              </w:rPr>
            </w:pPr>
            <w:r>
              <w:rPr>
                <w:rFonts w:ascii="Arial" w:cs="Arial" w:eastAsia="Arial" w:hAnsi="Arial"/>
                <w:sz w:val="17"/>
                <w:szCs w:val="17"/>
                <w:color w:val="auto"/>
              </w:rPr>
              <w:t>United States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893.7</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856.1</w:t>
            </w:r>
          </w:p>
        </w:tc>
      </w:tr>
      <w:tr>
        <w:trPr>
          <w:trHeight w:val="236"/>
        </w:trPr>
        <w:tc>
          <w:tcPr>
            <w:tcW w:w="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Europe</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310.8</w:t>
            </w:r>
          </w:p>
        </w:tc>
      </w:tr>
      <w:tr>
        <w:trPr>
          <w:trHeight w:val="216"/>
        </w:trPr>
        <w:tc>
          <w:tcPr>
            <w:tcW w:w="20" w:type="dxa"/>
            <w:vAlign w:val="bottom"/>
          </w:tcPr>
          <w:p>
            <w:pPr>
              <w:spacing w:after="0"/>
              <w:rPr>
                <w:sz w:val="18"/>
                <w:szCs w:val="18"/>
                <w:color w:val="auto"/>
              </w:rPr>
            </w:pPr>
          </w:p>
        </w:tc>
        <w:tc>
          <w:tcPr>
            <w:tcW w:w="7580" w:type="dxa"/>
            <w:vAlign w:val="bottom"/>
            <w:gridSpan w:val="2"/>
          </w:tcPr>
          <w:p>
            <w:pPr>
              <w:ind w:left="660"/>
              <w:spacing w:after="0"/>
              <w:rPr>
                <w:sz w:val="20"/>
                <w:szCs w:val="20"/>
                <w:color w:val="auto"/>
              </w:rPr>
            </w:pPr>
            <w:r>
              <w:rPr>
                <w:rFonts w:ascii="Arial" w:cs="Arial" w:eastAsia="Arial" w:hAnsi="Arial"/>
                <w:sz w:val="17"/>
                <w:szCs w:val="17"/>
                <w:color w:val="auto"/>
              </w:rPr>
              <w:t>Rest of world</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266.0</w:t>
            </w:r>
          </w:p>
        </w:tc>
      </w:tr>
      <w:tr>
        <w:trPr>
          <w:trHeight w:val="237"/>
        </w:trPr>
        <w:tc>
          <w:tcPr>
            <w:tcW w:w="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12. Financial Derivatives and Hedging</w:t>
      </w:r>
    </w:p>
    <w:p>
      <w:pPr>
        <w:spacing w:after="0" w:line="254"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As of April 30, 2023, the Company has six interest rate swap contracts that have a total notional amount of $1.3 billion and remaining maturities of four years or less. The Company did not have any cross-currency swaps or foreign currency forward contracts as of April 30, 2023.</w:t>
      </w:r>
    </w:p>
    <w:p>
      <w:pPr>
        <w:spacing w:after="0" w:line="215" w:lineRule="exact"/>
        <w:rPr>
          <w:sz w:val="20"/>
          <w:szCs w:val="20"/>
          <w:color w:val="auto"/>
        </w:rPr>
      </w:pPr>
    </w:p>
    <w:p>
      <w:pPr>
        <w:jc w:val="both"/>
        <w:ind w:right="380"/>
        <w:spacing w:after="0" w:line="261" w:lineRule="auto"/>
        <w:rPr>
          <w:sz w:val="20"/>
          <w:szCs w:val="20"/>
          <w:color w:val="auto"/>
        </w:rPr>
      </w:pPr>
      <w:r>
        <w:rPr>
          <w:rFonts w:ascii="Arial" w:cs="Arial" w:eastAsia="Arial" w:hAnsi="Arial"/>
          <w:sz w:val="17"/>
          <w:szCs w:val="17"/>
          <w:color w:val="auto"/>
        </w:rPr>
        <w:t>The interest rate swap contracts are fair valued by netting discounted future fixed cash payments and the discounted expected variable cash receipts, which are estimated based on observable market interest rate curves (Level 2). The fair value of derivative instruments are classified in "Other non-current assets" on our Consolidated Condensed Balance Sheets.</w:t>
      </w:r>
    </w:p>
    <w:p>
      <w:pPr>
        <w:spacing w:after="0" w:line="6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following table summarizes the amounts recognized with respect to our derivative instruments within the accompanying Consolidated Statements of Income and Comprehensive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7"/>
                <w:szCs w:val="17"/>
                <w:b w:val="1"/>
                <w:bCs w:val="1"/>
                <w:color w:val="auto"/>
              </w:rPr>
              <w:t>Periods Ended April 30,</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7"/>
                <w:szCs w:val="17"/>
                <w:b w:val="1"/>
                <w:bCs w:val="1"/>
                <w:color w:val="auto"/>
              </w:rPr>
              <w:t>Three Months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Six Months</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7"/>
                <w:szCs w:val="17"/>
                <w:b w:val="1"/>
                <w:bCs w:val="1"/>
                <w:color w:val="auto"/>
              </w:rPr>
              <w:t>(In millions)</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84"/>
              </w:rPr>
              <w:t>2022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7"/>
                <w:szCs w:val="17"/>
                <w:b w:val="1"/>
                <w:bCs w:val="1"/>
                <w:color w:val="auto"/>
                <w:w w:val="86"/>
              </w:rPr>
              <w:t>Derivatives designated as cash flow hedges</w:t>
            </w:r>
          </w:p>
        </w:tc>
        <w:tc>
          <w:tcPr>
            <w:tcW w:w="580" w:type="dxa"/>
            <w:vAlign w:val="bottom"/>
            <w:tcBorders>
              <w:bottom w:val="single" w:sz="8" w:color="CCEEFF"/>
            </w:tcBorders>
            <w:shd w:val="clear" w:color="auto" w:fill="CCEEFF"/>
          </w:tcPr>
          <w:p>
            <w:pPr>
              <w:spacing w:after="0"/>
              <w:rPr>
                <w:sz w:val="14"/>
                <w:szCs w:val="14"/>
                <w:color w:val="auto"/>
              </w:rPr>
            </w:pPr>
          </w:p>
        </w:tc>
        <w:tc>
          <w:tcPr>
            <w:tcW w:w="2820" w:type="dxa"/>
            <w:vAlign w:val="bottom"/>
            <w:tcBorders>
              <w:bottom w:val="single" w:sz="8" w:color="auto"/>
            </w:tcBorders>
            <w:gridSpan w:val="3"/>
            <w:shd w:val="clear" w:color="auto" w:fill="CCEEFF"/>
          </w:tcPr>
          <w:p>
            <w:pPr>
              <w:jc w:val="center"/>
              <w:spacing w:after="0" w:line="171" w:lineRule="exact"/>
              <w:rPr>
                <w:sz w:val="20"/>
                <w:szCs w:val="20"/>
                <w:color w:val="auto"/>
              </w:rPr>
            </w:pPr>
            <w:r>
              <w:rPr>
                <w:rFonts w:ascii="Arial" w:cs="Arial" w:eastAsia="Arial" w:hAnsi="Arial"/>
                <w:sz w:val="17"/>
                <w:szCs w:val="17"/>
                <w:b w:val="1"/>
                <w:bCs w:val="1"/>
                <w:color w:val="auto"/>
                <w:w w:val="89"/>
              </w:rPr>
              <w:t>Location of (Gain)/Loss Recognized on</w:t>
            </w: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CCEEFF"/>
            </w:tcBorders>
            <w:shd w:val="clear" w:color="auto" w:fill="CCEEFF"/>
          </w:tcPr>
          <w:p>
            <w:pPr>
              <w:spacing w:after="0"/>
              <w:rPr>
                <w:sz w:val="5"/>
                <w:szCs w:val="5"/>
                <w:color w:val="auto"/>
              </w:rPr>
            </w:pPr>
          </w:p>
        </w:tc>
        <w:tc>
          <w:tcPr>
            <w:tcW w:w="3100" w:type="dxa"/>
            <w:vAlign w:val="bottom"/>
            <w:tcBorders>
              <w:bottom w:val="single" w:sz="8" w:color="auto"/>
            </w:tcBorders>
            <w:vMerge w:val="continue"/>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vMerge w:val="restart"/>
            <w:shd w:val="clear" w:color="auto" w:fill="CCEEFF"/>
          </w:tcPr>
          <w:p>
            <w:pPr>
              <w:jc w:val="center"/>
              <w:spacing w:after="0" w:line="142" w:lineRule="exact"/>
              <w:rPr>
                <w:sz w:val="20"/>
                <w:szCs w:val="20"/>
                <w:color w:val="auto"/>
              </w:rPr>
            </w:pPr>
            <w:r>
              <w:rPr>
                <w:rFonts w:ascii="Arial" w:cs="Arial" w:eastAsia="Arial" w:hAnsi="Arial"/>
                <w:sz w:val="16"/>
                <w:szCs w:val="16"/>
                <w:b w:val="1"/>
                <w:bCs w:val="1"/>
                <w:color w:val="auto"/>
                <w:w w:val="95"/>
              </w:rPr>
              <w:t>Derivatives</w:t>
            </w:r>
          </w:p>
        </w:tc>
        <w:tc>
          <w:tcPr>
            <w:tcW w:w="1140" w:type="dxa"/>
            <w:vAlign w:val="bottom"/>
            <w:tcBorders>
              <w:bottom w:val="single" w:sz="8" w:color="CCEEFF"/>
            </w:tcBorders>
            <w:gridSpan w:val="2"/>
            <w:vMerge w:val="restart"/>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CCEEFF"/>
            </w:tcBorders>
            <w:shd w:val="clear" w:color="auto" w:fill="CCEEFF"/>
          </w:tcPr>
          <w:p>
            <w:pPr>
              <w:spacing w:after="0"/>
              <w:rPr>
                <w:sz w:val="8"/>
                <w:szCs w:val="8"/>
                <w:color w:val="auto"/>
              </w:rPr>
            </w:pPr>
          </w:p>
        </w:tc>
        <w:tc>
          <w:tcPr>
            <w:tcW w:w="3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vMerge w:val="continue"/>
            <w:shd w:val="clear" w:color="auto" w:fill="CCEEFF"/>
          </w:tcPr>
          <w:p>
            <w:pPr>
              <w:spacing w:after="0"/>
              <w:rPr>
                <w:sz w:val="8"/>
                <w:szCs w:val="8"/>
                <w:color w:val="auto"/>
              </w:rPr>
            </w:pPr>
          </w:p>
        </w:tc>
        <w:tc>
          <w:tcPr>
            <w:tcW w:w="1140" w:type="dxa"/>
            <w:vAlign w:val="bottom"/>
            <w:tcBorders>
              <w:bottom w:val="single" w:sz="8" w:color="CCEEFF"/>
            </w:tcBorders>
            <w:gridSpan w:val="2"/>
            <w:vMerge w:val="continue"/>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Interest rate swap contracts</w:t>
            </w:r>
          </w:p>
        </w:tc>
        <w:tc>
          <w:tcPr>
            <w:tcW w:w="3540" w:type="dxa"/>
            <w:vAlign w:val="bottom"/>
            <w:gridSpan w:val="5"/>
          </w:tcPr>
          <w:p>
            <w:pPr>
              <w:ind w:left="460"/>
              <w:spacing w:after="0"/>
              <w:rPr>
                <w:sz w:val="20"/>
                <w:szCs w:val="20"/>
                <w:color w:val="auto"/>
              </w:rPr>
            </w:pPr>
            <w:r>
              <w:rPr>
                <w:rFonts w:ascii="Arial" w:cs="Arial" w:eastAsia="Arial" w:hAnsi="Arial"/>
                <w:sz w:val="17"/>
                <w:szCs w:val="17"/>
                <w:color w:val="auto"/>
              </w:rPr>
              <w:t>Interest (income) expense</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(9.9)</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(18.2)</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Company expects that $41.1 million recorded as a component of "Accumulated other comprehensive loss" will be realized in the Consolidated Statements of Income and Comprehensive Income over the next twelve months and the amount will vary depending on prevailing interest rates.</w:t>
      </w:r>
    </w:p>
    <w:p>
      <w:pPr>
        <w:spacing w:after="0" w:line="20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Periods Ended April 30,</w:t>
            </w: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7"/>
                <w:szCs w:val="17"/>
                <w:b w:val="1"/>
                <w:bCs w:val="1"/>
                <w:color w:val="auto"/>
                <w:w w:val="98"/>
              </w:rPr>
              <w:t>Three Months</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Six Months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(In millions)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2023</w:t>
            </w:r>
          </w:p>
        </w:tc>
        <w:tc>
          <w:tcPr>
            <w:tcW w:w="540" w:type="dxa"/>
            <w:vAlign w:val="bottom"/>
          </w:tcPr>
          <w:p>
            <w:pPr>
              <w:spacing w:after="0"/>
              <w:rPr>
                <w:sz w:val="19"/>
                <w:szCs w:val="19"/>
                <w:color w:val="auto"/>
              </w:rPr>
            </w:pPr>
          </w:p>
        </w:tc>
        <w:tc>
          <w:tcPr>
            <w:tcW w:w="1180" w:type="dxa"/>
            <w:vAlign w:val="bottom"/>
            <w:gridSpan w:val="2"/>
          </w:tcPr>
          <w:p>
            <w:pPr>
              <w:jc w:val="right"/>
              <w:ind w:right="45"/>
              <w:spacing w:after="0"/>
              <w:rPr>
                <w:sz w:val="20"/>
                <w:szCs w:val="20"/>
                <w:color w:val="auto"/>
              </w:rPr>
            </w:pPr>
            <w:r>
              <w:rPr>
                <w:rFonts w:ascii="Arial" w:cs="Arial" w:eastAsia="Arial" w:hAnsi="Arial"/>
                <w:sz w:val="17"/>
                <w:szCs w:val="17"/>
                <w:b w:val="1"/>
                <w:bCs w:val="1"/>
                <w:color w:val="auto"/>
              </w:rPr>
              <w:t>2022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balance gain</w:t>
            </w:r>
          </w:p>
        </w:tc>
        <w:tc>
          <w:tcPr>
            <w:tcW w:w="1000" w:type="dxa"/>
            <w:vAlign w:val="bottom"/>
            <w:tcBorders>
              <w:top w:val="single" w:sz="8" w:color="auto"/>
            </w:tcBorders>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line="172" w:lineRule="exact"/>
              <w:rPr>
                <w:sz w:val="20"/>
                <w:szCs w:val="20"/>
                <w:color w:val="auto"/>
              </w:rPr>
            </w:pPr>
            <w:r>
              <w:rPr>
                <w:rFonts w:ascii="Arial" w:cs="Arial" w:eastAsia="Arial" w:hAnsi="Arial"/>
                <w:sz w:val="17"/>
                <w:szCs w:val="17"/>
                <w:color w:val="auto"/>
                <w:w w:val="94"/>
              </w:rPr>
              <w:t>Amount recognized in accumulated other comprehensive loss on</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7"/>
                <w:szCs w:val="17"/>
                <w:color w:val="auto"/>
              </w:rPr>
              <w:t>interest rate swap contracts, gross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66.3</w:t>
            </w:r>
          </w:p>
        </w:tc>
        <w:tc>
          <w:tcPr>
            <w:tcW w:w="0" w:type="dxa"/>
            <w:vAlign w:val="bottom"/>
          </w:tcPr>
          <w:p>
            <w:pPr>
              <w:spacing w:after="0"/>
              <w:rPr>
                <w:sz w:val="1"/>
                <w:szCs w:val="1"/>
                <w:color w:val="auto"/>
              </w:rPr>
            </w:pPr>
          </w:p>
        </w:tc>
      </w:tr>
      <w:tr>
        <w:trPr>
          <w:trHeight w:val="171"/>
        </w:trPr>
        <w:tc>
          <w:tcPr>
            <w:tcW w:w="466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4"/>
              </w:rPr>
              <w:t>Amount reclassified from accumulated other comprehensive loss</w:t>
            </w:r>
          </w:p>
        </w:tc>
        <w:tc>
          <w:tcPr>
            <w:tcW w:w="10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into earnings, gross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7"/>
                <w:szCs w:val="17"/>
                <w:color w:val="auto"/>
              </w:rPr>
              <w:t>Ending balance gain</w:t>
            </w: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amount recognized in other comprehensive income on interest rate swap contracts was $2.0 million and $(12.7) million, net of tax, for the three and six months ended April 30, 2023, respectively, and $38.3 million and $50.2 million, net of tax, for the three and six months ended April 30, 2022, respectively.</w:t>
      </w:r>
    </w:p>
    <w:p>
      <w:pPr>
        <w:spacing w:after="0" w:line="179"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The amount reclassified from other comprehensive income into earnings was $(7.5) million and $(13.8) million, net of tax, for the three and six months ended April 30, 2023, respectively, and $1.0 million and $2.5 million, net of tax, for the three and six months ended April 30, 2022, respectively.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Item 2. 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Note numbers refer to “Notes to Consolidated Condensed Financial Statements” in Item 1. Unaudited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impacts of global macroeconomic, health and political conditions; and statements regarding acquisitions (including acquired companies' financial positions, our market position based on acquisitions, product development and business strategies, anticipated cost synergies, expected timing and benefits of pending transactions, and integration of acquired entities or operations, as well as estimates of our and the acquired entities' future expenses, sales and earnings per share) that are forward-looking. In addition, all statements regarding anticipated growth in our revenues, anticipated market conditions, planned product launches, restructuring or business transition expectations, regulatory plans, and expected results of operations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16" w:lineRule="exact"/>
        <w:rPr>
          <w:sz w:val="20"/>
          <w:szCs w:val="20"/>
          <w:color w:val="auto"/>
        </w:rPr>
      </w:pPr>
    </w:p>
    <w:p>
      <w:pPr>
        <w:ind w:left="660" w:right="220" w:hanging="652"/>
        <w:spacing w:after="0" w:line="254"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ind w:left="660" w:right="80" w:hanging="652"/>
        <w:spacing w:after="0" w:line="25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Russia's invasion of Ukraine and the global response to this invasion on the global economy, European economy, financial markets, energy markets, currency rates and our ability to supply product to, or through, affected countries.</w:t>
      </w:r>
    </w:p>
    <w:p>
      <w:pPr>
        <w:spacing w:after="0" w:line="1" w:lineRule="exact"/>
        <w:rPr>
          <w:rFonts w:ascii="Arial" w:cs="Arial" w:eastAsia="Arial" w:hAnsi="Arial"/>
          <w:sz w:val="17"/>
          <w:szCs w:val="17"/>
          <w:color w:val="auto"/>
        </w:rPr>
      </w:pPr>
    </w:p>
    <w:p>
      <w:pPr>
        <w:ind w:left="660" w:right="460" w:hanging="652"/>
        <w:spacing w:after="0" w:line="24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Foreign currency exchange rate and interest rate fluctuations including the risk of fluctuations in the value of foreign currencies or interest rates that would decrease our net sales and earnings.</w:t>
      </w:r>
    </w:p>
    <w:p>
      <w:pPr>
        <w:spacing w:after="0" w:line="1" w:lineRule="exact"/>
        <w:rPr>
          <w:rFonts w:ascii="Arial" w:cs="Arial" w:eastAsia="Arial" w:hAnsi="Arial"/>
          <w:sz w:val="17"/>
          <w:szCs w:val="17"/>
          <w:color w:val="auto"/>
        </w:rPr>
      </w:pPr>
    </w:p>
    <w:p>
      <w:pPr>
        <w:ind w:left="660" w:right="40" w:hanging="652"/>
        <w:spacing w:after="0" w:line="24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existing and future variable rate indebtedness and associated interest expense is impacted by rate increases, which could adversely affect our financial health or limit our ability to borrow additional funds.</w:t>
      </w:r>
    </w:p>
    <w:p>
      <w:pPr>
        <w:spacing w:after="0" w:line="1" w:lineRule="exact"/>
        <w:rPr>
          <w:rFonts w:ascii="Arial" w:cs="Arial" w:eastAsia="Arial" w:hAnsi="Arial"/>
          <w:sz w:val="17"/>
          <w:szCs w:val="17"/>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tax laws, examinations by tax authorities, and changes in our geographic composition of income.</w:t>
      </w:r>
    </w:p>
    <w:p>
      <w:pPr>
        <w:spacing w:after="0" w:line="20" w:lineRule="exact"/>
        <w:rPr>
          <w:rFonts w:ascii="Arial" w:cs="Arial" w:eastAsia="Arial" w:hAnsi="Arial"/>
          <w:sz w:val="17"/>
          <w:szCs w:val="17"/>
          <w:color w:val="auto"/>
        </w:rPr>
      </w:pPr>
    </w:p>
    <w:p>
      <w:pPr>
        <w:ind w:left="660" w:right="160" w:hanging="652"/>
        <w:spacing w:after="0" w:line="251"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 w:lineRule="exact"/>
        <w:rPr>
          <w:rFonts w:ascii="Arial" w:cs="Arial" w:eastAsia="Arial" w:hAnsi="Arial"/>
          <w:sz w:val="17"/>
          <w:szCs w:val="17"/>
          <w:color w:val="auto"/>
        </w:rPr>
      </w:pPr>
    </w:p>
    <w:p>
      <w:pPr>
        <w:ind w:left="660" w:hanging="652"/>
        <w:spacing w:after="0" w:line="24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spacing w:after="0" w:line="1" w:lineRule="exact"/>
        <w:rPr>
          <w:rFonts w:ascii="Arial" w:cs="Arial" w:eastAsia="Arial" w:hAnsi="Arial"/>
          <w:sz w:val="17"/>
          <w:szCs w:val="17"/>
          <w:color w:val="auto"/>
        </w:rPr>
      </w:pPr>
    </w:p>
    <w:p>
      <w:pPr>
        <w:jc w:val="both"/>
        <w:ind w:left="660" w:right="320" w:hanging="652"/>
        <w:spacing w:after="0" w:line="254"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ind w:left="660" w:right="200" w:hanging="652"/>
        <w:spacing w:after="0" w:line="24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 w:lineRule="exact"/>
        <w:rPr>
          <w:rFonts w:ascii="Arial" w:cs="Arial" w:eastAsia="Arial" w:hAnsi="Arial"/>
          <w:sz w:val="17"/>
          <w:szCs w:val="17"/>
          <w:color w:val="auto"/>
        </w:rPr>
      </w:pPr>
    </w:p>
    <w:p>
      <w:pPr>
        <w:ind w:left="660" w:right="220" w:hanging="652"/>
        <w:spacing w:after="0" w:line="25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Market consolidation of large customers globally through mergers or acquisitions resulting in a larger proportion or concentration of our business being derived from fewer customers.</w:t>
      </w:r>
    </w:p>
    <w:p>
      <w:pPr>
        <w:spacing w:after="0" w:line="1" w:lineRule="exact"/>
        <w:rPr>
          <w:rFonts w:ascii="Arial" w:cs="Arial" w:eastAsia="Arial" w:hAnsi="Arial"/>
          <w:sz w:val="17"/>
          <w:szCs w:val="17"/>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Disruptions in supplies of raw materials, particularly components used to manufacture our silicone hydrogel lenses.</w:t>
      </w:r>
    </w:p>
    <w:p>
      <w:pPr>
        <w:spacing w:after="0" w:line="7" w:lineRule="exact"/>
        <w:rPr>
          <w:rFonts w:ascii="Arial" w:cs="Arial" w:eastAsia="Arial" w:hAnsi="Arial"/>
          <w:sz w:val="17"/>
          <w:szCs w:val="17"/>
          <w:color w:val="auto"/>
        </w:rPr>
      </w:pPr>
    </w:p>
    <w:p>
      <w:pPr>
        <w:ind w:left="660" w:right="120" w:hanging="652"/>
        <w:spacing w:after="0" w:line="257"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ind w:left="660" w:hanging="652"/>
        <w:spacing w:after="0" w:line="25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Legal costs, insurance expenses, settlement costs and the risk of an adverse decision, prohibitive injunction or settlement related to product liability, patent infringement, contractual disputes, or other litigation.</w:t>
      </w: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Limitations on sales following product introductions due to poor market acceptance.</w:t>
      </w:r>
    </w:p>
    <w:p>
      <w:pPr>
        <w:spacing w:after="0" w:line="7" w:lineRule="exact"/>
        <w:rPr>
          <w:rFonts w:ascii="Arial" w:cs="Arial" w:eastAsia="Arial" w:hAnsi="Arial"/>
          <w:sz w:val="17"/>
          <w:szCs w:val="17"/>
          <w:color w:val="auto"/>
        </w:rPr>
      </w:pPr>
    </w:p>
    <w:p>
      <w:pPr>
        <w:ind w:left="660" w:right="340" w:hanging="652"/>
        <w:spacing w:after="0" w:line="25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spacing w:after="0" w:line="1"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Reduced sales, loss of customers and costs and expenses related to product recalls and warning letters.</w:t>
      </w:r>
    </w:p>
    <w:p>
      <w:pPr>
        <w:spacing w:after="0" w:line="7"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receive, or delays in receiving, regulatory approvals or certifications for products.</w:t>
      </w:r>
    </w:p>
    <w:p>
      <w:pPr>
        <w:spacing w:after="0" w:line="7"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payers for our products and services.</w:t>
      </w:r>
    </w:p>
    <w:p>
      <w:pPr>
        <w:spacing w:after="0" w:line="18" w:lineRule="exact"/>
        <w:rPr>
          <w:rFonts w:ascii="Arial" w:cs="Arial" w:eastAsia="Arial" w:hAnsi="Arial"/>
          <w:sz w:val="16"/>
          <w:szCs w:val="16"/>
          <w:color w:val="auto"/>
        </w:rPr>
      </w:pPr>
    </w:p>
    <w:p>
      <w:pPr>
        <w:ind w:left="660" w:right="100" w:hanging="652"/>
        <w:spacing w:after="0" w:line="25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requirement to provide for a significant liability or to write off, or accelerate depreciation on, a significant asset, including goodwill, other intangible assets and idle manufacturing facilities and equipment.</w:t>
      </w:r>
    </w:p>
    <w:p>
      <w:pPr>
        <w:spacing w:after="0" w:line="1"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success of our research and development activities and other start-up projects.</w:t>
      </w:r>
    </w:p>
    <w:p>
      <w:pPr>
        <w:spacing w:after="0" w:line="7"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Dilution to earnings per share from acquisitions or issuing stock.</w:t>
      </w:r>
    </w:p>
    <w:p>
      <w:pPr>
        <w:spacing w:after="0" w:line="7"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Impact and costs incurred from changes in accounting standards and policies.</w:t>
      </w:r>
    </w:p>
    <w:p>
      <w:pPr>
        <w:spacing w:after="0" w:line="7" w:lineRule="exact"/>
        <w:rPr>
          <w:rFonts w:ascii="Arial" w:cs="Arial" w:eastAsia="Arial" w:hAnsi="Arial"/>
          <w:sz w:val="17"/>
          <w:szCs w:val="17"/>
          <w:color w:val="auto"/>
        </w:rPr>
      </w:pPr>
    </w:p>
    <w:p>
      <w:pPr>
        <w:ind w:left="660" w:right="580" w:hanging="652"/>
        <w:spacing w:after="0" w:line="25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environmental laws and requirements applicable to our facilities and products, including evolving regulations regarding the use of hazardous substances or chemicals in our products.</w:t>
      </w:r>
    </w:p>
    <w:p>
      <w:pPr>
        <w:spacing w:after="0" w:line="1"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environmental, social and corporate governance (ESG) issues, including those related to climate change and sustainability.</w:t>
      </w:r>
    </w:p>
    <w:p>
      <w:pPr>
        <w:spacing w:after="0" w:line="7" w:lineRule="exact"/>
        <w:rPr>
          <w:rFonts w:ascii="Arial" w:cs="Arial" w:eastAsia="Arial" w:hAnsi="Arial"/>
          <w:sz w:val="17"/>
          <w:szCs w:val="17"/>
          <w:color w:val="auto"/>
        </w:rPr>
      </w:pPr>
    </w:p>
    <w:p>
      <w:pPr>
        <w:ind w:left="660" w:right="20" w:hanging="652"/>
        <w:spacing w:after="0" w:line="323" w:lineRule="auto"/>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Other events described in our Securities and Exchange Commission filings, including the “Business” and “Risk Factors” sections in our Annual Report on Form 10-K for the fiscal year ended October 31, 2022, as such Risk Factors may be updated in quarterly filings including updates made in this filing.</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4" w:lineRule="exact"/>
        <w:rPr>
          <w:sz w:val="20"/>
          <w:szCs w:val="20"/>
          <w:color w:val="auto"/>
        </w:rPr>
      </w:pPr>
    </w:p>
    <w:p>
      <w:pPr>
        <w:ind w:right="60"/>
        <w:spacing w:after="0" w:line="321" w:lineRule="auto"/>
        <w:rPr>
          <w:sz w:val="20"/>
          <w:szCs w:val="20"/>
          <w:color w:val="auto"/>
        </w:rPr>
      </w:pPr>
      <w:r>
        <w:rPr>
          <w:rFonts w:ascii="Arial" w:cs="Arial" w:eastAsia="Arial" w:hAnsi="Arial"/>
          <w:sz w:val="15"/>
          <w:szCs w:val="15"/>
          <w:color w:val="auto"/>
        </w:rPr>
        <w:t>In this section, we discuss the results of our operations for the second quarter of fiscal 2023 ended April 30, 2023, and compare them with the same period of fiscal 2022. We also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54"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For more information on the risks associated with our global operating environment, refer to Part II, Item 1A "Risk Factors" herein. These risks and uncertainties have adversely affected our sales, cash flow and performance in the past and are likely to further adversely affect our future sales, cash flow and performance.</w:t>
      </w:r>
    </w:p>
    <w:p>
      <w:pPr>
        <w:spacing w:after="0" w:line="202" w:lineRule="exact"/>
        <w:rPr>
          <w:sz w:val="20"/>
          <w:szCs w:val="20"/>
          <w:color w:val="auto"/>
        </w:rPr>
      </w:pPr>
    </w:p>
    <w:p>
      <w:pPr>
        <w:spacing w:after="0" w:line="295" w:lineRule="auto"/>
        <w:rPr>
          <w:sz w:val="20"/>
          <w:szCs w:val="20"/>
          <w:color w:val="auto"/>
        </w:rPr>
      </w:pPr>
      <w:r>
        <w:rPr>
          <w:rFonts w:ascii="Arial" w:cs="Arial" w:eastAsia="Arial" w:hAnsi="Arial"/>
          <w:sz w:val="15"/>
          <w:szCs w:val="15"/>
          <w:i w:val="1"/>
          <w:iCs w:val="1"/>
          <w:color w:val="auto"/>
        </w:rPr>
        <w:t xml:space="preserve">Global Market and Economic Conditions </w:t>
      </w:r>
      <w:r>
        <w:rPr>
          <w:rFonts w:ascii="Arial" w:cs="Arial" w:eastAsia="Arial" w:hAnsi="Arial"/>
          <w:sz w:val="15"/>
          <w:szCs w:val="15"/>
          <w:color w:val="auto"/>
        </w:rPr>
        <w:t>- Over the last few years in the U.S. and globally, market and economic conditions have been challenging, particularly in</w:t>
      </w:r>
      <w:r>
        <w:rPr>
          <w:rFonts w:ascii="Arial" w:cs="Arial" w:eastAsia="Arial" w:hAnsi="Arial"/>
          <w:sz w:val="15"/>
          <w:szCs w:val="15"/>
          <w:i w:val="1"/>
          <w:iCs w:val="1"/>
          <w:color w:val="auto"/>
        </w:rPr>
        <w:t xml:space="preserve"> </w:t>
      </w:r>
      <w:r>
        <w:rPr>
          <w:rFonts w:ascii="Arial" w:cs="Arial" w:eastAsia="Arial" w:hAnsi="Arial"/>
          <w:sz w:val="15"/>
          <w:szCs w:val="15"/>
          <w:color w:val="auto"/>
        </w:rPr>
        <w:t>light of the COVID-19 pandemic. Foreign countries, in particular the Euro zone, have experienced recessionary pressures and face continued concerns about the systemic impacts of adverse economic conditions and geopolitical issues. In addition, changes in economic conditions, supply chain constraints, logistics challenges, labor shortages, the war in Ukraine, and steps taken by governments and central banks, particularly in response to the COVID-19 pandemic, as well as other stimulus and spending programs, have led to higher inflation, which is likely to lead to an increase in costs and may cause changes in fiscal and monetary policy, including increased interest rates. In a higher inflationary environment, we may be unable to raise the prices of our products and services sufficiently to keep up with the increase in our costs. These market and economic conditions could have a material adverse effect on our results of operations and financial condition.</w:t>
      </w:r>
    </w:p>
    <w:p>
      <w:pPr>
        <w:spacing w:after="0" w:line="109"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multifocal, and toric multifocal contact lenses offered in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including those using silicone hydrogel Aquaform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and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which is the first and only FDA-approved product indicated to slow the progression of myopia in children with treatment initiated between the ages of 8-12 . Further, CooperVision has Chinese National Medical Products Administration (NMPA)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for use in China. CooperVision is focused on greater worldwide market penetration using recently introduced products, and we continue to expand our presence in existing and emerging markets, including through acquisitions.</w:t>
      </w:r>
    </w:p>
    <w:p>
      <w:pPr>
        <w:spacing w:after="0" w:line="145" w:lineRule="exact"/>
        <w:rPr>
          <w:sz w:val="20"/>
          <w:szCs w:val="20"/>
          <w:color w:val="auto"/>
        </w:rPr>
      </w:pPr>
    </w:p>
    <w:p>
      <w:pPr>
        <w:ind w:right="120"/>
        <w:spacing w:after="0" w:line="221"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monthly and 2-week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233"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i w:val="1"/>
          <w:iCs w:val="1"/>
          <w:color w:val="auto"/>
        </w:rPr>
        <w:t xml:space="preserve">CooperSurgical - </w:t>
      </w:r>
      <w:r>
        <w:rPr>
          <w:rFonts w:ascii="Arial" w:cs="Arial" w:eastAsia="Arial" w:hAnsi="Arial"/>
          <w:sz w:val="16"/>
          <w:szCs w:val="16"/>
          <w:color w:val="auto"/>
        </w:rPr>
        <w:t>Our CooperSurgical business competes in the general health care market with a commitment to advancing the health of women, babies and</w:t>
      </w:r>
      <w:r>
        <w:rPr>
          <w:rFonts w:ascii="Arial" w:cs="Arial" w:eastAsia="Arial" w:hAnsi="Arial"/>
          <w:sz w:val="16"/>
          <w:szCs w:val="16"/>
          <w:i w:val="1"/>
          <w:iCs w:val="1"/>
          <w:color w:val="auto"/>
        </w:rPr>
        <w:t xml:space="preserve"> </w:t>
      </w:r>
      <w:r>
        <w:rPr>
          <w:rFonts w:ascii="Arial" w:cs="Arial" w:eastAsia="Arial" w:hAnsi="Arial"/>
          <w:sz w:val="16"/>
          <w:szCs w:val="16"/>
          <w:color w:val="auto"/>
        </w:rPr>
        <w:t>families through its diversified portfolio of products and services, including medical devices, fertility, genomics, diagnostics, cryogenic storage, contraception and healthcare technology services (such as cord blood and cord tissue storage and genomic testing). CooperSurgical has established its market presence and distribution system by developing products and acquiring companies, products and services that complement its business model.</w:t>
      </w:r>
    </w:p>
    <w:p>
      <w:pPr>
        <w:spacing w:after="0" w:line="11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w:t>
      </w:r>
    </w:p>
    <w:p>
      <w:pPr>
        <w:spacing w:after="0" w:line="9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We rely on trademarks to establish a market identity for our products. Trademarks registered or used by us in the United States and other countries include, but are not limited to, the following:</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spacing w:after="0" w:line="217" w:lineRule="auto"/>
        <w:rPr>
          <w:sz w:val="20"/>
          <w:szCs w:val="20"/>
          <w:color w:val="auto"/>
        </w:rPr>
      </w:pPr>
      <w:r>
        <w:rPr>
          <w:rFonts w:ascii="Arial" w:cs="Arial" w:eastAsia="Arial" w:hAnsi="Arial"/>
          <w:sz w:val="17"/>
          <w:szCs w:val="17"/>
          <w:color w:val="auto"/>
        </w:rPr>
        <w:t>ActivControl</w:t>
      </w:r>
      <w:r>
        <w:rPr>
          <w:rFonts w:ascii="Arial" w:cs="Arial" w:eastAsia="Arial" w:hAnsi="Arial"/>
          <w:sz w:val="22"/>
          <w:szCs w:val="22"/>
          <w:color w:val="auto"/>
          <w:vertAlign w:val="superscript"/>
        </w:rPr>
        <w:t>®</w:t>
      </w:r>
      <w:r>
        <w:rPr>
          <w:rFonts w:ascii="Arial" w:cs="Arial" w:eastAsia="Arial" w:hAnsi="Arial"/>
          <w:sz w:val="17"/>
          <w:szCs w:val="17"/>
          <w:color w:val="auto"/>
        </w:rPr>
        <w:t>, Aquaform</w:t>
      </w:r>
      <w:r>
        <w:rPr>
          <w:rFonts w:ascii="Arial" w:cs="Arial" w:eastAsia="Arial" w:hAnsi="Arial"/>
          <w:sz w:val="22"/>
          <w:szCs w:val="22"/>
          <w:color w:val="auto"/>
          <w:vertAlign w:val="superscript"/>
        </w:rPr>
        <w:t>®</w:t>
      </w:r>
      <w:r>
        <w:rPr>
          <w:rFonts w:ascii="Arial" w:cs="Arial" w:eastAsia="Arial" w:hAnsi="Arial"/>
          <w:sz w:val="17"/>
          <w:szCs w:val="17"/>
          <w:color w:val="auto"/>
        </w:rPr>
        <w:t>, Avaira Vitality</w:t>
      </w:r>
      <w:r>
        <w:rPr>
          <w:rFonts w:ascii="Arial" w:cs="Arial" w:eastAsia="Arial" w:hAnsi="Arial"/>
          <w:sz w:val="22"/>
          <w:szCs w:val="22"/>
          <w:color w:val="auto"/>
          <w:vertAlign w:val="superscript"/>
        </w:rPr>
        <w:t>®</w:t>
      </w:r>
      <w:r>
        <w:rPr>
          <w:rFonts w:ascii="Arial" w:cs="Arial" w:eastAsia="Arial" w:hAnsi="Arial"/>
          <w:sz w:val="17"/>
          <w:szCs w:val="17"/>
          <w:color w:val="auto"/>
        </w:rPr>
        <w:t>, Biofinity</w:t>
      </w:r>
      <w:r>
        <w:rPr>
          <w:rFonts w:ascii="Arial" w:cs="Arial" w:eastAsia="Arial" w:hAnsi="Arial"/>
          <w:sz w:val="22"/>
          <w:szCs w:val="22"/>
          <w:color w:val="auto"/>
          <w:vertAlign w:val="superscript"/>
        </w:rPr>
        <w:t>®</w:t>
      </w:r>
      <w:r>
        <w:rPr>
          <w:rFonts w:ascii="Arial" w:cs="Arial" w:eastAsia="Arial" w:hAnsi="Arial"/>
          <w:sz w:val="17"/>
          <w:szCs w:val="17"/>
          <w:color w:val="auto"/>
        </w:rPr>
        <w:t>,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Biomedics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Proclear </w:t>
      </w:r>
      <w:r>
        <w:rPr>
          <w:rFonts w:ascii="Arial" w:cs="Arial" w:eastAsia="Arial" w:hAnsi="Arial"/>
          <w:sz w:val="22"/>
          <w:szCs w:val="22"/>
          <w:color w:val="auto"/>
          <w:vertAlign w:val="superscript"/>
        </w:rPr>
        <w:t>®</w:t>
      </w:r>
      <w:r>
        <w:rPr>
          <w:rFonts w:ascii="Arial" w:cs="Arial" w:eastAsia="Arial" w:hAnsi="Arial"/>
          <w:sz w:val="17"/>
          <w:szCs w:val="17"/>
          <w:color w:val="auto"/>
        </w:rPr>
        <w:t>, MyDay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MiSight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The Cooper Companies, Inc., its affiliates and/or subsidiaries. PC Technology™ is a trademark of The Cooper Companies, Inc., its affiliates and/or subsidiaries. The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 is a registered trademark of The Cooper Companies, Inc., its affiliates and/or subsidiaries worldwide except in the United States where the use of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licensed. Endosee</w:t>
      </w:r>
      <w:r>
        <w:rPr>
          <w:rFonts w:ascii="Arial" w:cs="Arial" w:eastAsia="Arial" w:hAnsi="Arial"/>
          <w:sz w:val="22"/>
          <w:szCs w:val="22"/>
          <w:color w:val="auto"/>
          <w:vertAlign w:val="superscript"/>
        </w:rPr>
        <w:t>®</w:t>
      </w:r>
      <w:r>
        <w:rPr>
          <w:rFonts w:ascii="Arial" w:cs="Arial" w:eastAsia="Arial" w:hAnsi="Arial"/>
          <w:sz w:val="17"/>
          <w:szCs w:val="17"/>
          <w:color w:val="auto"/>
        </w:rPr>
        <w:t>, Insorb</w:t>
      </w:r>
      <w:r>
        <w:rPr>
          <w:rFonts w:ascii="Arial" w:cs="Arial" w:eastAsia="Arial" w:hAnsi="Arial"/>
          <w:sz w:val="22"/>
          <w:szCs w:val="22"/>
          <w:color w:val="auto"/>
          <w:vertAlign w:val="superscript"/>
        </w:rPr>
        <w:t>®</w:t>
      </w:r>
      <w:r>
        <w:rPr>
          <w:rFonts w:ascii="Arial" w:cs="Arial" w:eastAsia="Arial" w:hAnsi="Arial"/>
          <w:sz w:val="17"/>
          <w:szCs w:val="17"/>
          <w:color w:val="auto"/>
        </w:rPr>
        <w:t>, Paragard</w:t>
      </w:r>
      <w:r>
        <w:rPr>
          <w:rFonts w:ascii="Arial" w:cs="Arial" w:eastAsia="Arial" w:hAnsi="Arial"/>
          <w:sz w:val="22"/>
          <w:szCs w:val="22"/>
          <w:color w:val="auto"/>
          <w:vertAlign w:val="superscript"/>
        </w:rPr>
        <w:t>®</w:t>
      </w:r>
      <w:r>
        <w:rPr>
          <w:rFonts w:ascii="Arial" w:cs="Arial" w:eastAsia="Arial" w:hAnsi="Arial"/>
          <w:sz w:val="17"/>
          <w:szCs w:val="17"/>
          <w:color w:val="auto"/>
        </w:rPr>
        <w:t>, Mara</w:t>
      </w:r>
      <w:r>
        <w:rPr>
          <w:rFonts w:ascii="Arial" w:cs="Arial" w:eastAsia="Arial" w:hAnsi="Arial"/>
          <w:sz w:val="22"/>
          <w:szCs w:val="22"/>
          <w:color w:val="auto"/>
          <w:vertAlign w:val="superscript"/>
        </w:rPr>
        <w:t>®</w:t>
      </w:r>
      <w:r>
        <w:rPr>
          <w:rFonts w:ascii="Arial" w:cs="Arial" w:eastAsia="Arial" w:hAnsi="Arial"/>
          <w:sz w:val="17"/>
          <w:szCs w:val="17"/>
          <w:color w:val="auto"/>
        </w:rPr>
        <w:t>, Fetal Pillow</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Generate Life Sciences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CooperSurgical, Inc, its affiliates and/or subsidiaries.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18415</wp:posOffset>
            </wp:positionV>
            <wp:extent cx="5572125" cy="2177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21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contact lens market has two major product categories:</w:t>
      </w:r>
    </w:p>
    <w:p>
      <w:pPr>
        <w:spacing w:after="0" w:line="16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Spherical lenses, including lenses that correct near- and farsightedness uncomplicated by more complex visual defects; and</w:t>
      </w:r>
    </w:p>
    <w:p>
      <w:pPr>
        <w:spacing w:after="0" w:line="169" w:lineRule="exact"/>
        <w:rPr>
          <w:rFonts w:ascii="Arial" w:cs="Arial" w:eastAsia="Arial" w:hAnsi="Arial"/>
          <w:sz w:val="17"/>
          <w:szCs w:val="17"/>
          <w:color w:val="auto"/>
        </w:rPr>
      </w:pPr>
    </w:p>
    <w:p>
      <w:pPr>
        <w:ind w:left="340" w:right="40" w:hanging="332"/>
        <w:spacing w:after="0" w:line="29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18415</wp:posOffset>
            </wp:positionV>
            <wp:extent cx="5143500" cy="2451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Single-use spheres </w:t>
      </w:r>
      <w:r>
        <w:rPr>
          <w:rFonts w:ascii="Arial" w:cs="Arial" w:eastAsia="Arial" w:hAnsi="Arial"/>
          <w:sz w:val="17"/>
          <w:szCs w:val="17"/>
          <w:color w:val="auto"/>
        </w:rPr>
        <w:t>– This includes Biomedics 1 day, clariti 1 day, MyDay, MiSight and Proclear 1 day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Toric </w:t>
      </w:r>
      <w:r>
        <w:rPr>
          <w:rFonts w:ascii="Arial" w:cs="Arial" w:eastAsia="Arial" w:hAnsi="Arial"/>
          <w:sz w:val="17"/>
          <w:szCs w:val="17"/>
          <w:color w:val="auto"/>
        </w:rPr>
        <w:t>– This includes Avaira Vitality toric, Biomedics toric, Biofinity toric, clariti 1 day toric, MyDay toric and Proclear toric</w:t>
      </w:r>
    </w:p>
    <w:p>
      <w:pPr>
        <w:sectPr>
          <w:pgSz w:w="11900" w:h="16838" w:orient="portrait"/>
          <w:cols w:equalWidth="0" w:num="1">
            <w:col w:w="11160"/>
          </w:cols>
          <w:pgMar w:left="320" w:top="36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type w:val="continuous"/>
        </w:sectPr>
      </w:pPr>
    </w:p>
    <w:bookmarkStart w:id="19" w:name="page20"/>
    <w:bookmarkEnd w:id="19"/>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Multifocal </w:t>
      </w:r>
      <w:r>
        <w:rPr>
          <w:rFonts w:ascii="Arial" w:cs="Arial" w:eastAsia="Arial" w:hAnsi="Arial"/>
          <w:sz w:val="17"/>
          <w:szCs w:val="17"/>
          <w:color w:val="auto"/>
        </w:rPr>
        <w:t>– This includes Biofinity multifocal, Biofinity toric multifocal, clariti 1 day multifocal, MyDay multifocal and Proclear 1 day multifocal</w:t>
      </w:r>
    </w:p>
    <w:p>
      <w:pPr>
        <w:spacing w:after="0" w:line="2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color w:val="auto"/>
        </w:rPr>
        <w:t xml:space="preserve">Non single-use sphere, other </w:t>
      </w:r>
      <w:r>
        <w:rPr>
          <w:rFonts w:ascii="Arial" w:cs="Arial" w:eastAsia="Arial" w:hAnsi="Arial"/>
          <w:sz w:val="17"/>
          <w:szCs w:val="17"/>
          <w:color w:val="auto"/>
        </w:rPr>
        <w:t>– This includes our frequent replacement product (FRP) lens portfolio (Avaira Vitality spheres, Biofinity spheres, Biofinity Energys,</w:t>
      </w:r>
      <w:r>
        <w:rPr>
          <w:rFonts w:ascii="Arial" w:cs="Arial" w:eastAsia="Arial" w:hAnsi="Arial"/>
          <w:sz w:val="17"/>
          <w:szCs w:val="17"/>
          <w:b w:val="1"/>
          <w:bCs w:val="1"/>
          <w:color w:val="auto"/>
        </w:rPr>
        <w:t xml:space="preserve"> </w:t>
      </w:r>
      <w:r>
        <w:rPr>
          <w:rFonts w:ascii="Arial" w:cs="Arial" w:eastAsia="Arial" w:hAnsi="Arial"/>
          <w:sz w:val="17"/>
          <w:szCs w:val="17"/>
          <w:color w:val="auto"/>
        </w:rPr>
        <w:t>Biomedics, Proclear spheres, clariti spheres), specialty lenses (ortho-k, scleral and custom lenses) and other.</w:t>
      </w:r>
    </w:p>
    <w:p>
      <w:pPr>
        <w:sectPr>
          <w:pgSz w:w="11900" w:h="16838" w:orient="portrait"/>
          <w:cols w:equalWidth="0" w:num="1">
            <w:col w:w="11200"/>
          </w:cols>
          <w:pgMar w:left="320" w:top="368" w:right="379" w:bottom="1440" w:gutter="0" w:footer="0" w:header="0"/>
        </w:sectPr>
      </w:pPr>
    </w:p>
    <w:p>
      <w:pPr>
        <w:spacing w:after="0" w:line="10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Three Months Ended April 30,</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in millions)</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Toric</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Multifocal</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Single-use spheres</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Non single-use sphere,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315595</wp:posOffset>
            </wp:positionV>
            <wp:extent cx="2571750" cy="2451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2451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1860" w:type="dxa"/>
            <w:vAlign w:val="bottom"/>
          </w:tcPr>
          <w:p>
            <w:pPr>
              <w:jc w:val="right"/>
              <w:ind w:right="37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231"/>
        </w:trPr>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2"/>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206.3</w:t>
            </w:r>
          </w:p>
        </w:tc>
        <w:tc>
          <w:tcPr>
            <w:tcW w:w="120" w:type="dxa"/>
            <w:vAlign w:val="bottom"/>
          </w:tcPr>
          <w:p>
            <w:pPr>
              <w:spacing w:after="0"/>
              <w:rPr>
                <w:sz w:val="18"/>
                <w:szCs w:val="18"/>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185.6</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66.4</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161.1</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32"/>
        </w:trPr>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140.7</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5"/>
        </w:trPr>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553.8</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-762635</wp:posOffset>
            </wp:positionV>
            <wp:extent cx="70808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-471170</wp:posOffset>
            </wp:positionV>
            <wp:extent cx="708088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-179070</wp:posOffset>
            </wp:positionV>
            <wp:extent cx="7080885" cy="2743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0885" cy="274320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-179070</wp:posOffset>
            </wp:positionV>
            <wp:extent cx="7080885" cy="2743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0885" cy="27432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500"/>
          </w:cols>
          <w:pgMar w:left="320" w:top="36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40" w:type="dxa"/>
            <w:vAlign w:val="bottom"/>
          </w:tcPr>
          <w:p>
            <w:pPr>
              <w:ind w:left="20"/>
              <w:spacing w:after="0"/>
              <w:rPr>
                <w:sz w:val="20"/>
                <w:szCs w:val="20"/>
                <w:color w:val="auto"/>
              </w:rPr>
            </w:pPr>
            <w:r>
              <w:rPr>
                <w:rFonts w:ascii="Arial" w:cs="Arial" w:eastAsia="Arial" w:hAnsi="Arial"/>
                <w:sz w:val="17"/>
                <w:szCs w:val="17"/>
                <w:b w:val="1"/>
                <w:bCs w:val="1"/>
                <w:color w:val="auto"/>
              </w:rPr>
              <w:t>Six Months Ended April 30,</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375"/>
              <w:spacing w:after="0"/>
              <w:rPr>
                <w:sz w:val="20"/>
                <w:szCs w:val="20"/>
                <w:color w:val="auto"/>
              </w:rPr>
            </w:pPr>
            <w:r>
              <w:rPr>
                <w:rFonts w:ascii="Arial" w:cs="Arial" w:eastAsia="Arial" w:hAnsi="Arial"/>
                <w:sz w:val="17"/>
                <w:szCs w:val="17"/>
                <w:b w:val="1"/>
                <w:bCs w:val="1"/>
                <w:color w:val="auto"/>
              </w:rPr>
              <w:t>2023 vs 2022</w:t>
            </w:r>
          </w:p>
        </w:tc>
      </w:tr>
      <w:tr>
        <w:trPr>
          <w:trHeight w:val="23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 in millions)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 Change</w:t>
            </w: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Toric</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30"/>
        </w:trPr>
        <w:tc>
          <w:tcPr>
            <w:tcW w:w="5640" w:type="dxa"/>
            <w:vAlign w:val="bottom"/>
          </w:tcPr>
          <w:p>
            <w:pPr>
              <w:ind w:left="20"/>
              <w:spacing w:after="0"/>
              <w:rPr>
                <w:sz w:val="20"/>
                <w:szCs w:val="20"/>
                <w:color w:val="auto"/>
              </w:rPr>
            </w:pPr>
            <w:r>
              <w:rPr>
                <w:rFonts w:ascii="Arial" w:cs="Arial" w:eastAsia="Arial" w:hAnsi="Arial"/>
                <w:sz w:val="17"/>
                <w:szCs w:val="17"/>
                <w:color w:val="auto"/>
              </w:rPr>
              <w:t>Multifocal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132.2</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10 %</w:t>
            </w: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Single-use spheres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30"/>
        </w:trPr>
        <w:tc>
          <w:tcPr>
            <w:tcW w:w="5640" w:type="dxa"/>
            <w:vAlign w:val="bottom"/>
          </w:tcPr>
          <w:p>
            <w:pPr>
              <w:ind w:left="20"/>
              <w:spacing w:after="0"/>
              <w:rPr>
                <w:sz w:val="20"/>
                <w:szCs w:val="20"/>
                <w:color w:val="auto"/>
              </w:rPr>
            </w:pPr>
            <w:r>
              <w:rPr>
                <w:rFonts w:ascii="Arial" w:cs="Arial" w:eastAsia="Arial" w:hAnsi="Arial"/>
                <w:sz w:val="17"/>
                <w:szCs w:val="17"/>
                <w:color w:val="auto"/>
              </w:rPr>
              <w:t>Non single-use sphere, 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3 %</w:t>
            </w:r>
          </w:p>
        </w:tc>
      </w:tr>
      <w:tr>
        <w:trPr>
          <w:trHeight w:val="243"/>
        </w:trPr>
        <w:tc>
          <w:tcPr>
            <w:tcW w:w="56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1,170.6</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239" w:lineRule="exact"/>
        <w:rPr>
          <w:sz w:val="20"/>
          <w:szCs w:val="20"/>
          <w:color w:val="auto"/>
        </w:rPr>
      </w:pPr>
    </w:p>
    <w:p>
      <w:pPr>
        <w:ind w:right="800"/>
        <w:spacing w:after="0" w:line="274" w:lineRule="auto"/>
        <w:rPr>
          <w:sz w:val="20"/>
          <w:szCs w:val="20"/>
          <w:color w:val="auto"/>
        </w:rPr>
      </w:pPr>
      <w:r>
        <w:rPr>
          <w:rFonts w:ascii="Arial" w:cs="Arial" w:eastAsia="Arial" w:hAnsi="Arial"/>
          <w:sz w:val="17"/>
          <w:szCs w:val="17"/>
          <w:color w:val="auto"/>
        </w:rPr>
        <w:t>In the three and six months ended April 30, 2023, the growth experienced across all categories was partially offset by unfavorable foreign exchange rate fluctuations, which approximated $21.2 million and $64.6 million, respectively.</w:t>
      </w:r>
    </w:p>
    <w:p>
      <w:pPr>
        <w:spacing w:after="0" w:line="1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Toric and multifocal lenses grew primarily through the success of MyDay and Biofinity.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Single-use sphere lenses grew primarily through MyDay and MiSight lenses.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 single-use sphere lenses grew primarily through specialty lenses.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products represented approximately 1% of net sales in the three and six months ended April 30, 2023, and April 30, 2022.</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silicone hydrogel products increased by 9% and 11% in the three and six months ended April 30, 2023.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 by Geography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CooperVision competes in the worldwide soft contact lens market and services in three primary regions: the Americas, EMEA (Europe, Middle East and Africa) and Asia Pacific.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80" w:type="dxa"/>
            <w:vAlign w:val="bottom"/>
          </w:tcPr>
          <w:p>
            <w:pPr>
              <w:ind w:left="20"/>
              <w:spacing w:after="0"/>
              <w:rPr>
                <w:sz w:val="20"/>
                <w:szCs w:val="20"/>
                <w:color w:val="auto"/>
              </w:rPr>
            </w:pPr>
            <w:r>
              <w:rPr>
                <w:rFonts w:ascii="Arial" w:cs="Arial" w:eastAsia="Arial" w:hAnsi="Arial"/>
                <w:sz w:val="17"/>
                <w:szCs w:val="17"/>
                <w:b w:val="1"/>
                <w:bCs w:val="1"/>
                <w:color w:val="auto"/>
              </w:rPr>
              <w:t>Periods Ended April 30,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Three Months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9"/>
              </w:rPr>
              <w:t>Six Months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5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 in millions)</w:t>
            </w:r>
          </w:p>
        </w:tc>
        <w:tc>
          <w:tcPr>
            <w:tcW w:w="280" w:type="dxa"/>
            <w:vAlign w:val="bottom"/>
          </w:tcPr>
          <w:p>
            <w:pPr>
              <w:spacing w:after="0"/>
              <w:rPr>
                <w:sz w:val="13"/>
                <w:szCs w:val="13"/>
                <w:color w:val="auto"/>
              </w:rPr>
            </w:pPr>
          </w:p>
        </w:tc>
        <w:tc>
          <w:tcPr>
            <w:tcW w:w="100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3"/>
                <w:szCs w:val="13"/>
                <w:color w:val="auto"/>
              </w:rPr>
            </w:pPr>
          </w:p>
        </w:tc>
        <w:tc>
          <w:tcPr>
            <w:tcW w:w="1420" w:type="dxa"/>
            <w:vAlign w:val="bottom"/>
          </w:tcPr>
          <w:p>
            <w:pPr>
              <w:jc w:val="right"/>
              <w:ind w:right="155"/>
              <w:spacing w:after="0" w:line="158" w:lineRule="exact"/>
              <w:rPr>
                <w:sz w:val="20"/>
                <w:szCs w:val="20"/>
                <w:color w:val="auto"/>
              </w:rPr>
            </w:pPr>
            <w:r>
              <w:rPr>
                <w:rFonts w:ascii="Arial" w:cs="Arial" w:eastAsia="Arial" w:hAnsi="Arial"/>
                <w:sz w:val="17"/>
                <w:szCs w:val="17"/>
                <w:b w:val="1"/>
                <w:bCs w:val="1"/>
                <w:color w:val="auto"/>
              </w:rPr>
              <w:t>2023 vs 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3"/>
                <w:szCs w:val="13"/>
                <w:color w:val="auto"/>
              </w:rPr>
            </w:pPr>
          </w:p>
        </w:tc>
        <w:tc>
          <w:tcPr>
            <w:tcW w:w="1420" w:type="dxa"/>
            <w:vAlign w:val="bottom"/>
          </w:tcPr>
          <w:p>
            <w:pPr>
              <w:jc w:val="right"/>
              <w:ind w:right="155"/>
              <w:spacing w:after="0" w:line="158" w:lineRule="exact"/>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228"/>
        </w:trPr>
        <w:tc>
          <w:tcPr>
            <w:tcW w:w="258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42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484.8</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7"/>
                <w:szCs w:val="17"/>
                <w:color w:val="auto"/>
              </w:rPr>
              <w:t>EMEA</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205.9</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419.4</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553.8</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6 %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1,115.2</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CooperVision's growth in net sales was primarily attributable to market gains of silicone hydrogel contact lenses. Refer to CooperVision Net Sales by Category above for further discussion.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CooperSurgical Net Sales by Category</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shows the percentage of net sales of office and surgical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118745</wp:posOffset>
            </wp:positionV>
            <wp:extent cx="5657850" cy="2486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b w:val="1"/>
          <w:bCs w:val="1"/>
          <w:color w:val="auto"/>
        </w:rPr>
        <w:t xml:space="preserve">Office/Surgical </w:t>
      </w:r>
      <w:r>
        <w:rPr>
          <w:rFonts w:ascii="Arial" w:cs="Arial" w:eastAsia="Arial" w:hAnsi="Arial"/>
          <w:sz w:val="17"/>
          <w:szCs w:val="17"/>
          <w:color w:val="auto"/>
        </w:rPr>
        <w:t>– This includes Endosee endometrial imaging products, Fetal Pillow</w:t>
      </w:r>
      <w:r>
        <w:rPr>
          <w:rFonts w:ascii="Arial" w:cs="Arial" w:eastAsia="Arial" w:hAnsi="Arial"/>
          <w:sz w:val="22"/>
          <w:szCs w:val="22"/>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cephalic elevation devices for use in Cesarean sections, illuminated</w:t>
      </w:r>
      <w:r>
        <w:rPr>
          <w:rFonts w:ascii="Arial" w:cs="Arial" w:eastAsia="Arial" w:hAnsi="Arial"/>
          <w:sz w:val="17"/>
          <w:szCs w:val="17"/>
          <w:b w:val="1"/>
          <w:bCs w:val="1"/>
          <w:color w:val="auto"/>
        </w:rPr>
        <w:t xml:space="preserve"> </w:t>
      </w:r>
      <w:r>
        <w:rPr>
          <w:rFonts w:ascii="Arial" w:cs="Arial" w:eastAsia="Arial" w:hAnsi="Arial"/>
          <w:sz w:val="17"/>
          <w:szCs w:val="17"/>
          <w:color w:val="auto"/>
        </w:rPr>
        <w:t>speculum products, Lone Star retractor systems, loop electrosurgical excision procedure (LEEP) products, Mara water ablation systems, newborn stem cell storage, Paragard contraceptive IUDs, point-of-care products and uterine positioning products.</w:t>
      </w:r>
    </w:p>
    <w:p>
      <w:pPr>
        <w:ind w:right="280"/>
        <w:spacing w:after="0" w:line="273" w:lineRule="auto"/>
        <w:rPr>
          <w:sz w:val="20"/>
          <w:szCs w:val="20"/>
          <w:color w:val="auto"/>
        </w:rPr>
      </w:pPr>
      <w:r>
        <w:rPr>
          <w:rFonts w:ascii="Arial" w:cs="Arial" w:eastAsia="Arial" w:hAnsi="Arial"/>
          <w:sz w:val="17"/>
          <w:szCs w:val="17"/>
          <w:b w:val="1"/>
          <w:bCs w:val="1"/>
          <w:color w:val="auto"/>
        </w:rPr>
        <w:t xml:space="preserve">Fertility </w:t>
      </w:r>
      <w:r>
        <w:rPr>
          <w:rFonts w:ascii="Arial" w:cs="Arial" w:eastAsia="Arial" w:hAnsi="Arial"/>
          <w:sz w:val="17"/>
          <w:szCs w:val="17"/>
          <w:color w:val="auto"/>
        </w:rPr>
        <w:t>– Our significant fertility products and services include cryostorage, donor gamete services, fertility consumables and equipment and genomic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preimplantation genetic testing).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April 30,</w:t>
            </w:r>
          </w:p>
        </w:tc>
        <w:tc>
          <w:tcPr>
            <w:tcW w:w="400" w:type="dxa"/>
            <w:vAlign w:val="bottom"/>
          </w:tcPr>
          <w:p>
            <w:pPr>
              <w:spacing w:after="0"/>
              <w:rPr>
                <w:sz w:val="19"/>
                <w:szCs w:val="19"/>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1840" w:type="dxa"/>
            <w:vAlign w:val="bottom"/>
          </w:tcPr>
          <w:p>
            <w:pPr>
              <w:jc w:val="right"/>
              <w:ind w:right="37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tcPr>
          <w:p>
            <w:pPr>
              <w:spacing w:after="0" w:line="184"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ind w:right="455"/>
              <w:spacing w:after="0" w:line="184"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 and surgical</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w:t>
            </w:r>
          </w:p>
        </w:tc>
        <w:tc>
          <w:tcPr>
            <w:tcW w:w="52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Fertility</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w:t>
            </w:r>
          </w:p>
        </w:tc>
        <w:tc>
          <w:tcPr>
            <w:tcW w:w="1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520065</wp:posOffset>
            </wp:positionV>
            <wp:extent cx="5657850" cy="2486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Six Months Ended April 30,</w:t>
            </w:r>
          </w:p>
        </w:tc>
        <w:tc>
          <w:tcPr>
            <w:tcW w:w="400" w:type="dxa"/>
            <w:vAlign w:val="bottom"/>
          </w:tcPr>
          <w:p>
            <w:pPr>
              <w:spacing w:after="0"/>
              <w:rPr>
                <w:sz w:val="19"/>
                <w:szCs w:val="19"/>
                <w:color w:val="auto"/>
              </w:rPr>
            </w:pPr>
          </w:p>
        </w:tc>
        <w:tc>
          <w:tcPr>
            <w:tcW w:w="1320" w:type="dxa"/>
            <w:vAlign w:val="bottom"/>
            <w:vMerge w:val="restart"/>
          </w:tcPr>
          <w:p>
            <w:pPr>
              <w:jc w:val="right"/>
              <w:ind w:right="61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1860" w:type="dxa"/>
            <w:vAlign w:val="bottom"/>
          </w:tcPr>
          <w:p>
            <w:pPr>
              <w:jc w:val="right"/>
              <w:ind w:right="373"/>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gridSpan w:val="2"/>
          </w:tcPr>
          <w:p>
            <w:pPr>
              <w:spacing w:after="0" w:line="189"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ind w:right="453"/>
              <w:spacing w:after="0" w:line="189"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 and surgical</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Fertility</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three months ended April 30, 2023, office and surgical net sales increased primarily due to increase in sales from products such as Uterine Manipulators, Point-of-Care, Surgical Retractors and Fetal Pillow, partially offset by decrease in Paragard sales. Fertility net sales increased compared to the prior year mainly due to an increase in revenue from fertility equipment sales, preimplantation genetic testing and Embryo Options.</w:t>
      </w:r>
    </w:p>
    <w:p>
      <w:pPr>
        <w:spacing w:after="0" w:line="126"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color w:val="auto"/>
        </w:rPr>
        <w:t>In the six months ended April 30, 2023, the net sales increase in both categories was primarily due to the addition of Generate Life Sciences (Generate) on December 17, 2021.</w:t>
      </w:r>
    </w:p>
    <w:p>
      <w:pPr>
        <w:spacing w:after="0" w:line="121"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The above growth experienced across all categories was partially offset by unfavorable foreign exchange rate fluctuations, which approximated $3.8 million and $11.6 million for the three and six months ended April 30, 2023,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254"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Consolidated gross margin increased in the three and six months ended April 30, 2023, to 66% compared to 64% and 65% in the three and six months ended April 30, 2022, primarily driven by a more favorable product mix.</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0" w:type="dxa"/>
            <w:vAlign w:val="bottom"/>
            <w:gridSpan w:val="4"/>
          </w:tcPr>
          <w:p>
            <w:pPr>
              <w:spacing w:after="0"/>
              <w:rPr>
                <w:sz w:val="20"/>
                <w:szCs w:val="20"/>
                <w:color w:val="auto"/>
              </w:rPr>
            </w:pPr>
            <w:r>
              <w:rPr>
                <w:rFonts w:ascii="Arial" w:cs="Arial" w:eastAsia="Arial" w:hAnsi="Arial"/>
                <w:sz w:val="17"/>
                <w:szCs w:val="17"/>
                <w:b w:val="1"/>
                <w:bCs w:val="1"/>
                <w:color w:val="auto"/>
                <w:w w:val="96"/>
              </w:rPr>
              <w:t>Selling, General and Administrative Expense (SGA)</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April 30,</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8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00" w:type="dxa"/>
            <w:vAlign w:val="bottom"/>
          </w:tcPr>
          <w:p>
            <w:pPr>
              <w:spacing w:after="0"/>
              <w:rPr>
                <w:sz w:val="16"/>
                <w:szCs w:val="16"/>
                <w:color w:val="auto"/>
              </w:rPr>
            </w:pPr>
          </w:p>
        </w:tc>
        <w:tc>
          <w:tcPr>
            <w:tcW w:w="1200" w:type="dxa"/>
            <w:vAlign w:val="bottom"/>
            <w:vMerge w:val="restart"/>
          </w:tcPr>
          <w:p>
            <w:pPr>
              <w:jc w:val="right"/>
              <w:ind w:right="55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6"/>
                <w:szCs w:val="16"/>
                <w:color w:val="auto"/>
              </w:rPr>
            </w:pPr>
          </w:p>
        </w:tc>
        <w:tc>
          <w:tcPr>
            <w:tcW w:w="110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1100" w:type="dxa"/>
            <w:vAlign w:val="bottom"/>
            <w:vMerge w:val="restart"/>
          </w:tcPr>
          <w:p>
            <w:pPr>
              <w:ind w:left="120"/>
              <w:spacing w:after="0"/>
              <w:rPr>
                <w:sz w:val="20"/>
                <w:szCs w:val="20"/>
                <w:color w:val="auto"/>
              </w:rPr>
            </w:pPr>
            <w:r>
              <w:rPr>
                <w:rFonts w:ascii="Arial" w:cs="Arial" w:eastAsia="Arial" w:hAnsi="Arial"/>
                <w:sz w:val="17"/>
                <w:szCs w:val="17"/>
                <w:b w:val="1"/>
                <w:bCs w:val="1"/>
                <w:color w:val="auto"/>
                <w:w w:val="99"/>
              </w:rPr>
              <w:t>% Net Sales</w:t>
            </w:r>
          </w:p>
        </w:tc>
        <w:tc>
          <w:tcPr>
            <w:tcW w:w="120" w:type="dxa"/>
            <w:vAlign w:val="bottom"/>
          </w:tcPr>
          <w:p>
            <w:pPr>
              <w:spacing w:after="0"/>
              <w:rPr>
                <w:sz w:val="16"/>
                <w:szCs w:val="16"/>
                <w:color w:val="auto"/>
              </w:rPr>
            </w:pPr>
          </w:p>
        </w:tc>
        <w:tc>
          <w:tcPr>
            <w:tcW w:w="178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92"/>
              </w:rPr>
              <w:t>38 %</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188.9</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87"/>
              </w:rPr>
              <w:t>34 %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168.4</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w w:val="92"/>
              </w:rPr>
              <w:t>58 %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119.9</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w w:val="87"/>
              </w:rPr>
              <w:t>43 %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407.5</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w w:val="92"/>
              </w:rPr>
              <w:t>46 %</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322.4</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w w:val="87"/>
              </w:rPr>
              <w:t>39 %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Six Months Ended April 30,</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8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00" w:type="dxa"/>
            <w:vAlign w:val="bottom"/>
          </w:tcPr>
          <w:p>
            <w:pPr>
              <w:spacing w:after="0"/>
              <w:rPr>
                <w:sz w:val="16"/>
                <w:szCs w:val="16"/>
                <w:color w:val="auto"/>
              </w:rPr>
            </w:pPr>
          </w:p>
        </w:tc>
        <w:tc>
          <w:tcPr>
            <w:tcW w:w="1200" w:type="dxa"/>
            <w:vAlign w:val="bottom"/>
            <w:vMerge w:val="restart"/>
          </w:tcPr>
          <w:p>
            <w:pPr>
              <w:jc w:val="right"/>
              <w:ind w:right="55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6"/>
                <w:szCs w:val="16"/>
                <w:color w:val="auto"/>
              </w:rPr>
            </w:pPr>
          </w:p>
        </w:tc>
        <w:tc>
          <w:tcPr>
            <w:tcW w:w="110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1100" w:type="dxa"/>
            <w:vAlign w:val="bottom"/>
            <w:vMerge w:val="restart"/>
          </w:tcPr>
          <w:p>
            <w:pPr>
              <w:ind w:left="120"/>
              <w:spacing w:after="0"/>
              <w:rPr>
                <w:sz w:val="20"/>
                <w:szCs w:val="20"/>
                <w:color w:val="auto"/>
              </w:rPr>
            </w:pPr>
            <w:r>
              <w:rPr>
                <w:rFonts w:ascii="Arial" w:cs="Arial" w:eastAsia="Arial" w:hAnsi="Arial"/>
                <w:sz w:val="17"/>
                <w:szCs w:val="17"/>
                <w:b w:val="1"/>
                <w:bCs w:val="1"/>
                <w:color w:val="auto"/>
                <w:w w:val="99"/>
              </w:rPr>
              <w:t>% Net Sales</w:t>
            </w:r>
          </w:p>
        </w:tc>
        <w:tc>
          <w:tcPr>
            <w:tcW w:w="120" w:type="dxa"/>
            <w:vAlign w:val="bottom"/>
          </w:tcPr>
          <w:p>
            <w:pPr>
              <w:spacing w:after="0"/>
              <w:rPr>
                <w:sz w:val="16"/>
                <w:szCs w:val="16"/>
                <w:color w:val="auto"/>
              </w:rPr>
            </w:pPr>
          </w:p>
        </w:tc>
        <w:tc>
          <w:tcPr>
            <w:tcW w:w="178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409.1</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92"/>
              </w:rPr>
              <w:t>35 %</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399.7</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87"/>
              </w:rPr>
              <w:t>36 %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295.6</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w w:val="92"/>
              </w:rPr>
              <w:t>52 %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216.0</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w w:val="87"/>
              </w:rPr>
              <w:t>43 %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738.4</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w w:val="92"/>
              </w:rPr>
              <w:t>43 %</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641.5</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w w:val="87"/>
              </w:rPr>
              <w:t>40 %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440"/>
        <w:spacing w:after="0" w:line="321" w:lineRule="auto"/>
        <w:rPr>
          <w:sz w:val="20"/>
          <w:szCs w:val="20"/>
          <w:color w:val="auto"/>
        </w:rPr>
      </w:pPr>
      <w:r>
        <w:rPr>
          <w:rFonts w:ascii="Arial" w:cs="Arial" w:eastAsia="Arial" w:hAnsi="Arial"/>
          <w:sz w:val="15"/>
          <w:szCs w:val="15"/>
          <w:color w:val="auto"/>
        </w:rPr>
        <w:t>CooperVision's SGA increased in the three and six months ended April 30, 2023, compared to the three and six months ended April 30, 2022, primarily due to increases in distribution costs, general and administrative costs and selling and marketing activities. The increase in the six months ended April 30, 2023, was partially offset by $31.8 million release of contingent consideration liability associated with SightGlass Vision's regulatory approval milestone.</w:t>
      </w:r>
    </w:p>
    <w:p>
      <w:pPr>
        <w:spacing w:after="0" w:line="9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CooperSurgical's SGA increased in the three and six months ended April 30, 2023, compared to the three and six months ended April 30, 2022, primarily due to an accrual of $45.0 million associated with the probable payment in August 2023 of a termination fee under an asset purchase agreement related to Cook Medical’s reproductive health business and support for increased sales. See Note 2. Acquisitions and Joint Venture of the Consolidated Condensed Financial Statements for additional information on the probable payment of the termination fee. The increase in the six months ended April 30, 2023, was due to the addition of Generate SGA and acquisition and integration expenses.</w:t>
      </w:r>
    </w:p>
    <w:p>
      <w:pPr>
        <w:spacing w:after="0" w:line="133"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Corporate SGA increased in the three and six months ended April 30, 2023, compared to the three and six months ended April 30, 2022, primarily due to share-based compensation related expenses.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gridSpan w:val="3"/>
          </w:tcPr>
          <w:p>
            <w:pPr>
              <w:spacing w:after="0"/>
              <w:rPr>
                <w:sz w:val="20"/>
                <w:szCs w:val="20"/>
                <w:color w:val="auto"/>
              </w:rPr>
            </w:pPr>
            <w:r>
              <w:rPr>
                <w:rFonts w:ascii="Arial" w:cs="Arial" w:eastAsia="Arial" w:hAnsi="Arial"/>
                <w:sz w:val="17"/>
                <w:szCs w:val="17"/>
                <w:b w:val="1"/>
                <w:bCs w:val="1"/>
                <w:color w:val="auto"/>
                <w:w w:val="99"/>
              </w:rPr>
              <w:t>Research and Development Expense (R&amp;D)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April 30,</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7"/>
                <w:szCs w:val="17"/>
                <w:color w:val="auto"/>
              </w:rPr>
            </w:pPr>
          </w:p>
        </w:tc>
        <w:tc>
          <w:tcPr>
            <w:tcW w:w="110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restart"/>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7"/>
                <w:szCs w:val="17"/>
                <w:color w:val="auto"/>
              </w:rPr>
            </w:pPr>
          </w:p>
        </w:tc>
        <w:tc>
          <w:tcPr>
            <w:tcW w:w="110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0"/>
              </w:rPr>
              <w:t>2023 vs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500" w:type="dxa"/>
            <w:vAlign w:val="bottom"/>
            <w:gridSpan w:val="2"/>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5 %</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4 %</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Six Months Ended April 30,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34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90"/>
              </w:rPr>
              <w:t>2023 vs 2022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7"/>
                <w:szCs w:val="17"/>
                <w:color w:val="auto"/>
              </w:rPr>
            </w:pPr>
          </w:p>
        </w:tc>
        <w:tc>
          <w:tcPr>
            <w:tcW w:w="1280" w:type="dxa"/>
            <w:vAlign w:val="bottom"/>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7"/>
                <w:szCs w:val="17"/>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7"/>
                <w:szCs w:val="17"/>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500" w:type="dxa"/>
            <w:vAlign w:val="bottom"/>
            <w:gridSpan w:val="2"/>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CooperVision's R&amp;D expense for the three and six months ended April 30, 2023, increased compared to the three and six months ended April 30, 2022, primarily due to myopia management programs and the timing of R&amp;D projects. CooperVision's R&amp;D activities are primarily focused on the development of contact lenses, manufacturing technology and process enhancements.</w:t>
      </w:r>
    </w:p>
    <w:p>
      <w:pPr>
        <w:spacing w:after="0" w:line="12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CooperSurgical's R&amp;D expense increased in the three and six months ended April 30, 2023, compared to the three and six months ended April 30, 2022, mainly due to European Medical Device Regulation costs. CooperSurgical's R&amp;D activities are focused on</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developing and refining diagnostic and therapeutic products including medical interventions, surgical devices and fertility solutions.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gridSpan w:val="3"/>
          </w:tcPr>
          <w:p>
            <w:pPr>
              <w:spacing w:after="0"/>
              <w:rPr>
                <w:sz w:val="20"/>
                <w:szCs w:val="20"/>
                <w:color w:val="auto"/>
              </w:rPr>
            </w:pPr>
            <w:r>
              <w:rPr>
                <w:rFonts w:ascii="Arial" w:cs="Arial" w:eastAsia="Arial" w:hAnsi="Arial"/>
                <w:sz w:val="17"/>
                <w:szCs w:val="17"/>
                <w:b w:val="1"/>
                <w:bCs w:val="1"/>
                <w:color w:val="auto"/>
              </w:rPr>
              <w:t>Amortization Expense</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April 30,</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7"/>
                <w:szCs w:val="17"/>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7"/>
                <w:szCs w:val="17"/>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w w:val="99"/>
              </w:rPr>
              <w:t>% Net Sales</w:t>
            </w: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50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16 %</w:t>
            </w:r>
          </w:p>
        </w:tc>
        <w:tc>
          <w:tcPr>
            <w:tcW w:w="1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Six Months Ended April 30,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32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8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6"/>
                <w:szCs w:val="16"/>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6"/>
                <w:szCs w:val="16"/>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w w:val="99"/>
              </w:rPr>
              <w:t>% Net Sales</w:t>
            </w:r>
          </w:p>
        </w:tc>
        <w:tc>
          <w:tcPr>
            <w:tcW w:w="120" w:type="dxa"/>
            <w:vAlign w:val="bottom"/>
          </w:tcPr>
          <w:p>
            <w:pPr>
              <w:spacing w:after="0"/>
              <w:rPr>
                <w:sz w:val="16"/>
                <w:szCs w:val="16"/>
                <w:color w:val="auto"/>
              </w:rPr>
            </w:pPr>
          </w:p>
        </w:tc>
        <w:tc>
          <w:tcPr>
            <w:tcW w:w="184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15 %</w:t>
            </w:r>
          </w:p>
        </w:tc>
        <w:tc>
          <w:tcPr>
            <w:tcW w:w="1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CooperVision's amortization expense for the three and six months ended April 30, 2023, remained relatively flat year over year. CooperSurgical's amortization expense decreased in the three and six months ended April 30, 2023, compared to the three and six months ended April 30, 2022, primarily due to certain intangible assets becoming fully amortized.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gridSpan w:val="3"/>
          </w:tcPr>
          <w:p>
            <w:pPr>
              <w:spacing w:after="0"/>
              <w:rPr>
                <w:sz w:val="20"/>
                <w:szCs w:val="20"/>
                <w:color w:val="auto"/>
              </w:rPr>
            </w:pPr>
            <w:r>
              <w:rPr>
                <w:rFonts w:ascii="Arial" w:cs="Arial" w:eastAsia="Arial" w:hAnsi="Arial"/>
                <w:sz w:val="17"/>
                <w:szCs w:val="17"/>
                <w:b w:val="1"/>
                <w:bCs w:val="1"/>
                <w:color w:val="auto"/>
              </w:rPr>
              <w:t>Operating Income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April 30,</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6"/>
                <w:szCs w:val="16"/>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6"/>
                <w:szCs w:val="16"/>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11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6"/>
                <w:szCs w:val="16"/>
                <w:color w:val="auto"/>
              </w:rPr>
            </w:pPr>
          </w:p>
        </w:tc>
        <w:tc>
          <w:tcPr>
            <w:tcW w:w="178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10.9</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96.3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11 %</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132.7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16 %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Six Months Ended April 30,</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6"/>
                <w:szCs w:val="16"/>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6"/>
                <w:szCs w:val="16"/>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11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6"/>
                <w:szCs w:val="16"/>
                <w:color w:val="auto"/>
              </w:rPr>
            </w:pPr>
          </w:p>
        </w:tc>
        <w:tc>
          <w:tcPr>
            <w:tcW w:w="178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(18.5)</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16 %</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CooperVision's operating income increased in the three and six months ended April 30, 2023, compared to the three and six months ended April 30, 2022, primarily due to an increase in net sales partially offset by net changes in operating expenses.</w:t>
      </w:r>
    </w:p>
    <w:p>
      <w:pPr>
        <w:spacing w:after="0" w:line="202"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CooperSurgical's operating income decreased in the three and six months ended April 30, 2023, compared to the three and six months ended April 30, 2022, primarily due to an increase in SGA, partially offset by an increase in net sales.</w:t>
      </w:r>
    </w:p>
    <w:p>
      <w:pPr>
        <w:spacing w:after="0" w:line="21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Corporate operating loss increased in the three and six months ended April 30, 2023, compared to the three and six months ended April 30, 2022, primarily due to higher share-based compensation expense.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gridSpan w:val="3"/>
          </w:tcPr>
          <w:p>
            <w:pPr>
              <w:spacing w:after="0"/>
              <w:rPr>
                <w:sz w:val="20"/>
                <w:szCs w:val="20"/>
                <w:color w:val="auto"/>
              </w:rPr>
            </w:pPr>
            <w:r>
              <w:rPr>
                <w:rFonts w:ascii="Arial" w:cs="Arial" w:eastAsia="Arial" w:hAnsi="Arial"/>
                <w:sz w:val="17"/>
                <w:szCs w:val="17"/>
                <w:b w:val="1"/>
                <w:bCs w:val="1"/>
                <w:color w:val="auto"/>
              </w:rPr>
              <w:t>Interest Expense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April 30,</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2023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w w:val="99"/>
              </w:rPr>
              <w:t>% Net Sales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2022</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900" w:type="dxa"/>
            <w:vAlign w:val="bottom"/>
          </w:tcPr>
          <w:p>
            <w:pPr>
              <w:jc w:val="center"/>
              <w:ind w:left="15"/>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900" w:type="dxa"/>
            <w:vAlign w:val="bottom"/>
          </w:tcPr>
          <w:p>
            <w:pPr>
              <w:jc w:val="center"/>
              <w:ind w:left="35"/>
              <w:spacing w:after="0" w:line="184"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6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Six Months Ended April 30,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34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w w:val="99"/>
              </w:rPr>
              <w:t>% Net Sales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 Net Sales</w:t>
            </w:r>
          </w:p>
        </w:tc>
        <w:tc>
          <w:tcPr>
            <w:tcW w:w="1900" w:type="dxa"/>
            <w:vAlign w:val="bottom"/>
          </w:tcPr>
          <w:p>
            <w:pPr>
              <w:jc w:val="center"/>
              <w:ind w:left="15"/>
              <w:spacing w:after="0" w:line="193" w:lineRule="exact"/>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900" w:type="dxa"/>
            <w:vAlign w:val="bottom"/>
          </w:tcPr>
          <w:p>
            <w:pPr>
              <w:jc w:val="center"/>
              <w:ind w:left="35"/>
              <w:spacing w:after="0" w:line="176"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6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Interest expense increased during the three and six months ended April 30, 2023, compared to the three and six months ended April 30, 2022, primarily due to higher interest rates.</w:t>
      </w:r>
    </w:p>
    <w:p>
      <w:pPr>
        <w:sectPr>
          <w:pgSz w:w="11900" w:h="16838" w:orient="portrait"/>
          <w:cols w:equalWidth="0" w:num="1">
            <w:col w:w="11240"/>
          </w:cols>
          <w:pgMar w:left="320" w:top="368" w:right="3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(Income), Net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Periods Ended April 30,</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 in millions)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Investment gain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exchange (gain)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expense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w w:val="98"/>
              </w:rPr>
              <w:t>Three Months</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Six Months</w:t>
            </w:r>
          </w:p>
        </w:tc>
        <w:tc>
          <w:tcPr>
            <w:tcW w:w="1080" w:type="dxa"/>
            <w:vAlign w:val="bottom"/>
            <w:tcBorders>
              <w:bottom w:val="single" w:sz="8" w:color="auto"/>
            </w:tcBorders>
          </w:tcPr>
          <w:p>
            <w:pPr>
              <w:spacing w:after="0"/>
              <w:rPr>
                <w:sz w:val="20"/>
                <w:szCs w:val="20"/>
                <w:color w:val="auto"/>
              </w:rPr>
            </w:pPr>
          </w:p>
        </w:tc>
      </w:tr>
      <w:tr>
        <w:trPr>
          <w:trHeight w:val="225"/>
        </w:trPr>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2023</w:t>
            </w:r>
          </w:p>
        </w:tc>
        <w:tc>
          <w:tcPr>
            <w:tcW w:w="5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b w:val="1"/>
                <w:bCs w:val="1"/>
                <w:color w:val="auto"/>
              </w:rPr>
              <w:t>2023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515"/>
              <w:spacing w:after="0"/>
              <w:rPr>
                <w:sz w:val="20"/>
                <w:szCs w:val="20"/>
                <w:color w:val="auto"/>
              </w:rPr>
            </w:pPr>
            <w:r>
              <w:rPr>
                <w:rFonts w:ascii="Arial" w:cs="Arial" w:eastAsia="Arial" w:hAnsi="Arial"/>
                <w:sz w:val="17"/>
                <w:szCs w:val="17"/>
                <w:b w:val="1"/>
                <w:bCs w:val="1"/>
                <w:color w:val="auto"/>
              </w:rPr>
              <w:t>2022</w:t>
            </w:r>
          </w:p>
        </w:tc>
      </w:tr>
      <w:tr>
        <w:trPr>
          <w:trHeight w:val="210"/>
        </w:trPr>
        <w:tc>
          <w:tcPr>
            <w:tcW w:w="1020" w:type="dxa"/>
            <w:vAlign w:val="bottom"/>
            <w:tcBorders>
              <w:top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ind w:right="89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w:t>
            </w:r>
          </w:p>
        </w:tc>
      </w:tr>
      <w:tr>
        <w:trPr>
          <w:trHeight w:val="216"/>
        </w:trPr>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w:t>
            </w:r>
          </w:p>
        </w:tc>
        <w:tc>
          <w:tcPr>
            <w:tcW w:w="640" w:type="dxa"/>
            <w:vAlign w:val="bottom"/>
            <w:gridSpan w:val="2"/>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41"/>
        </w:trPr>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-616585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-325120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720"/>
            <w:col w:w="6640"/>
          </w:cols>
          <w:pgMar w:left="320" w:top="368" w:right="339" w:bottom="1440" w:gutter="0" w:footer="0" w:header="0"/>
          <w:type w:val="continuous"/>
        </w:sectPr>
      </w:pPr>
    </w:p>
    <w:p>
      <w:pPr>
        <w:spacing w:after="0" w:line="39"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color w:val="auto"/>
        </w:rPr>
        <w:t>Investment gain during the three and six months ended April 30, 2022, primarily consisted of a gain on remeasurement of the fair value of retained equity investment in SightGlass Vision, Inc. (SGV) as a result of deconsolidation. Foreign exchange loss is primarily associated with the weakening of the US dollar against foreign currencies and the effect on intercompany receivables.</w:t>
      </w:r>
    </w:p>
    <w:p>
      <w:pPr>
        <w:spacing w:after="0" w:line="18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Other expense (income), net increased in the three and six months ended April 30, 2023, compared to the three and six months ended April 30, 2022, primarily due to loss on minority investments, partially offset by defined benefit plan related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5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effective tax rates for the three months ended April 30, 2023, and April 30, 2022, were 39.3% and 22.7%, respectively. The effective tax rates for the six months ended April 30, 2023, and April 30, 2022, were 33.7% and 22.3%, respectively. The increases were primarily due to changes in the geographic composition of pre-tax earnings, an increase in the UK statutory tax rate from 19% to 25%, and capitalization of research and experimental expenditures for fiscal 2023 as required by the 2017 Tax Cuts and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 and Liquidity</w:t>
      </w:r>
    </w:p>
    <w:p>
      <w:pPr>
        <w:spacing w:after="0" w:line="254"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Working capital on April 30, 2023, and October 31, 2022, was $650.2 million and $253.4 million, respectively. The increase in working capital was primarily due to repayment of the 364-day term loan during the first six months of fiscal 2023. See Note 5. Financing Arrangements for further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40" w:type="dxa"/>
            <w:vAlign w:val="bottom"/>
            <w:gridSpan w:val="3"/>
          </w:tcPr>
          <w:p>
            <w:pPr>
              <w:spacing w:after="0"/>
              <w:rPr>
                <w:sz w:val="20"/>
                <w:szCs w:val="20"/>
                <w:color w:val="auto"/>
              </w:rPr>
            </w:pPr>
            <w:r>
              <w:rPr>
                <w:rFonts w:ascii="Arial" w:cs="Arial" w:eastAsia="Arial" w:hAnsi="Arial"/>
                <w:sz w:val="17"/>
                <w:szCs w:val="17"/>
                <w:b w:val="1"/>
                <w:bCs w:val="1"/>
                <w:color w:val="auto"/>
              </w:rPr>
              <w:t>Cash Flow</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4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Arial" w:cs="Arial" w:eastAsia="Arial" w:hAnsi="Arial"/>
                <w:sz w:val="17"/>
                <w:szCs w:val="17"/>
                <w:b w:val="1"/>
                <w:bCs w:val="1"/>
                <w:color w:val="auto"/>
              </w:rPr>
              <w:t>April 30, 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Arial" w:cs="Arial" w:eastAsia="Arial" w:hAnsi="Arial"/>
                <w:sz w:val="17"/>
                <w:szCs w:val="17"/>
                <w:b w:val="1"/>
                <w:bCs w:val="1"/>
                <w:color w:val="auto"/>
              </w:rPr>
              <w:t>April 30, 2022</w:t>
            </w: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3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297.8</w:t>
            </w:r>
          </w:p>
        </w:tc>
      </w:tr>
      <w:tr>
        <w:trPr>
          <w:trHeight w:val="241"/>
        </w:trPr>
        <w:tc>
          <w:tcPr>
            <w:tcW w:w="20" w:type="dxa"/>
            <w:vAlign w:val="bottom"/>
          </w:tcPr>
          <w:p>
            <w:pPr>
              <w:spacing w:after="0"/>
              <w:rPr>
                <w:sz w:val="20"/>
                <w:szCs w:val="20"/>
                <w:color w:val="auto"/>
              </w:rPr>
            </w:pPr>
          </w:p>
        </w:tc>
        <w:tc>
          <w:tcPr>
            <w:tcW w:w="7620" w:type="dxa"/>
            <w:vAlign w:val="bottom"/>
            <w:gridSpan w:val="2"/>
          </w:tcPr>
          <w:p>
            <w:pPr>
              <w:spacing w:after="0"/>
              <w:rPr>
                <w:sz w:val="20"/>
                <w:szCs w:val="20"/>
                <w:color w:val="auto"/>
              </w:rPr>
            </w:pPr>
            <w:r>
              <w:rPr>
                <w:rFonts w:ascii="Arial" w:cs="Arial" w:eastAsia="Arial" w:hAnsi="Arial"/>
                <w:sz w:val="17"/>
                <w:szCs w:val="17"/>
                <w:color w:val="auto"/>
              </w:rPr>
              <w:t>Investing activities</w:t>
            </w: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(195.3)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(1,685.0)</w:t>
            </w:r>
          </w:p>
        </w:tc>
      </w:tr>
      <w:tr>
        <w:trPr>
          <w:trHeight w:val="245"/>
        </w:trPr>
        <w:tc>
          <w:tcPr>
            <w:tcW w:w="20" w:type="dxa"/>
            <w:vAlign w:val="bottom"/>
            <w:shd w:val="clear" w:color="auto" w:fill="CCEEFF"/>
          </w:tcPr>
          <w:p>
            <w:pPr>
              <w:spacing w:after="0"/>
              <w:rPr>
                <w:sz w:val="21"/>
                <w:szCs w:val="21"/>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1,696.5</w:t>
            </w:r>
          </w:p>
        </w:tc>
      </w:tr>
      <w:tr>
        <w:trPr>
          <w:trHeight w:val="212"/>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7"/>
                <w:szCs w:val="17"/>
                <w:color w:val="auto"/>
              </w:rPr>
              <w:t>Effect of exchange rate changes on cash, cash equivalents, restricted</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7"/>
                <w:szCs w:val="17"/>
                <w:color w:val="auto"/>
              </w:rPr>
              <w:t>cash</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(decrease) increase in cash, cash equivalents, restricted cash</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303.0</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Cash Flow</w:t>
      </w:r>
    </w:p>
    <w:p>
      <w:pPr>
        <w:spacing w:after="0" w:line="17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Cash provided by operating activities in the first six months of fiscal 2023 decreased compared to the first six months of fiscal 2022, primarily due to the net changes in other non-cash items and operating capital, offset by the $40.7 million settlement of contingent consideration which took place in the first six months of fiscal 2022.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Cash Flow</w:t>
      </w:r>
    </w:p>
    <w:p>
      <w:pPr>
        <w:spacing w:after="0" w:line="254"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Cash used in investing activities in the first six months of fiscal 2023 was lower than cash used in the first six months of fiscal 2022, primarily attributable to $1.6 billion cash paid, net of cash acquired, for the Generate acquisition in the first six months of fiscal 2022. The decrease in cash used for acquisitions was partially offset by an increase in purchases of property, plant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Cash Flow</w:t>
      </w:r>
    </w:p>
    <w:p>
      <w:pPr>
        <w:spacing w:after="0" w:line="173"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Cash used in financing activities in the first six months of fiscal 2023 was primarily due to repayments of $338.0 million on the 2021 364-day term loan, partially offset by $215.0 million of funds drawn on the 2020 revolving credit.</w:t>
      </w:r>
    </w:p>
    <w:p>
      <w:pPr>
        <w:spacing w:after="0" w:line="121"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Cash provided by financing activities in the first six months of fiscal 2022 was primarily due to funds received from the 2021 term loan facility ($1.5 billion) and the 2021 364-day term loan facility ($840.0 million), partially offset by $549.0 million repayments of the 2021 revolving credit and $78.5 million repurchases of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5. Financing Arrangements for further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April 30, 2023:</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w w:val="94"/>
              </w:rPr>
              <w:t>Facility Limit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15"/>
              <w:spacing w:after="0"/>
              <w:rPr>
                <w:sz w:val="20"/>
                <w:szCs w:val="20"/>
                <w:color w:val="auto"/>
              </w:rPr>
            </w:pPr>
            <w:r>
              <w:rPr>
                <w:rFonts w:ascii="Arial" w:cs="Arial" w:eastAsia="Arial" w:hAnsi="Arial"/>
                <w:sz w:val="17"/>
                <w:szCs w:val="17"/>
                <w:b w:val="1"/>
                <w:bCs w:val="1"/>
                <w:color w:val="auto"/>
                <w:w w:val="93"/>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w w:val="95"/>
              </w:rPr>
              <w:t>Outstanding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b w:val="1"/>
                <w:bCs w:val="1"/>
                <w:color w:val="auto"/>
                <w:w w:val="89"/>
              </w:rPr>
              <w:t>Total Amount</w:t>
            </w:r>
          </w:p>
        </w:tc>
        <w:tc>
          <w:tcPr>
            <w:tcW w:w="21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Maturity Date</w:t>
            </w:r>
          </w:p>
        </w:tc>
        <w:tc>
          <w:tcPr>
            <w:tcW w:w="0" w:type="dxa"/>
            <w:vAlign w:val="bottom"/>
          </w:tcPr>
          <w:p>
            <w:pPr>
              <w:spacing w:after="0"/>
              <w:rPr>
                <w:sz w:val="1"/>
                <w:szCs w:val="1"/>
                <w:color w:val="auto"/>
              </w:rPr>
            </w:pPr>
          </w:p>
        </w:tc>
      </w:tr>
      <w:tr>
        <w:trPr>
          <w:trHeight w:val="131"/>
        </w:trPr>
        <w:tc>
          <w:tcPr>
            <w:tcW w:w="3440" w:type="dxa"/>
            <w:vAlign w:val="bottom"/>
            <w:gridSpan w:val="2"/>
            <w:vMerge w:val="restart"/>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ind w:right="155"/>
              <w:spacing w:after="0" w:line="176" w:lineRule="exact"/>
              <w:rPr>
                <w:sz w:val="20"/>
                <w:szCs w:val="20"/>
                <w:color w:val="auto"/>
              </w:rPr>
            </w:pPr>
            <w:r>
              <w:rPr>
                <w:rFonts w:ascii="Arial" w:cs="Arial" w:eastAsia="Arial" w:hAnsi="Arial"/>
                <w:sz w:val="17"/>
                <w:szCs w:val="17"/>
                <w:b w:val="1"/>
                <w:bCs w:val="1"/>
                <w:color w:val="auto"/>
                <w:w w:val="95"/>
              </w:rPr>
              <w:t>Borrowings</w:t>
            </w:r>
          </w:p>
        </w:tc>
        <w:tc>
          <w:tcPr>
            <w:tcW w:w="120" w:type="dxa"/>
            <w:vAlign w:val="bottom"/>
          </w:tcPr>
          <w:p>
            <w:pPr>
              <w:spacing w:after="0"/>
              <w:rPr>
                <w:sz w:val="11"/>
                <w:szCs w:val="11"/>
                <w:color w:val="auto"/>
              </w:rPr>
            </w:pPr>
          </w:p>
        </w:tc>
        <w:tc>
          <w:tcPr>
            <w:tcW w:w="1380" w:type="dxa"/>
            <w:vAlign w:val="bottom"/>
            <w:gridSpan w:val="2"/>
            <w:vMerge w:val="restart"/>
          </w:tcPr>
          <w:p>
            <w:pPr>
              <w:jc w:val="right"/>
              <w:spacing w:after="0" w:line="176" w:lineRule="exact"/>
              <w:rPr>
                <w:sz w:val="20"/>
                <w:szCs w:val="20"/>
                <w:color w:val="auto"/>
              </w:rPr>
            </w:pPr>
            <w:r>
              <w:rPr>
                <w:rFonts w:ascii="Arial" w:cs="Arial" w:eastAsia="Arial" w:hAnsi="Arial"/>
                <w:sz w:val="17"/>
                <w:szCs w:val="17"/>
                <w:b w:val="1"/>
                <w:bCs w:val="1"/>
                <w:color w:val="auto"/>
                <w:w w:val="97"/>
              </w:rPr>
              <w:t>Letters of Credit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ind w:right="175"/>
              <w:spacing w:after="0" w:line="176" w:lineRule="exact"/>
              <w:rPr>
                <w:sz w:val="20"/>
                <w:szCs w:val="20"/>
                <w:color w:val="auto"/>
              </w:rPr>
            </w:pPr>
            <w:r>
              <w:rPr>
                <w:rFonts w:ascii="Arial" w:cs="Arial" w:eastAsia="Arial" w:hAnsi="Arial"/>
                <w:sz w:val="17"/>
                <w:szCs w:val="17"/>
                <w:b w:val="1"/>
                <w:bCs w:val="1"/>
                <w:color w:val="auto"/>
              </w:rPr>
              <w:t>Available</w:t>
            </w:r>
          </w:p>
        </w:tc>
        <w:tc>
          <w:tcPr>
            <w:tcW w:w="2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4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90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Revolving Credit: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2020 Revolving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1,073.6</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2025</w:t>
            </w:r>
          </w:p>
        </w:tc>
        <w:tc>
          <w:tcPr>
            <w:tcW w:w="0" w:type="dxa"/>
            <w:vAlign w:val="bottom"/>
          </w:tcPr>
          <w:p>
            <w:pPr>
              <w:spacing w:after="0"/>
              <w:rPr>
                <w:sz w:val="1"/>
                <w:szCs w:val="1"/>
                <w:color w:val="auto"/>
              </w:rPr>
            </w:pPr>
          </w:p>
        </w:tc>
      </w:tr>
      <w:tr>
        <w:trPr>
          <w:trHeight w:val="225"/>
        </w:trPr>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Term loan:</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2020 Term Loan</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2025</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7"/>
                <w:szCs w:val="17"/>
                <w:color w:val="auto"/>
              </w:rPr>
              <w:t>2021 Term Loan</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spacing w:after="0"/>
              <w:rPr>
                <w:sz w:val="20"/>
                <w:szCs w:val="20"/>
                <w:color w:val="auto"/>
              </w:rPr>
            </w:pPr>
            <w:r>
              <w:rPr>
                <w:rFonts w:ascii="Arial" w:cs="Arial" w:eastAsia="Arial" w:hAnsi="Arial"/>
                <w:sz w:val="17"/>
                <w:szCs w:val="17"/>
                <w:color w:val="auto"/>
              </w:rPr>
              <w:t>December 17, 2026</w:t>
            </w: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1,073.6</w:t>
            </w: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As of April 30, 2023, the Company was in compliance with all debt covenants. See Note 5. Financing Arrangements of the Consolidated Condensed Financial Statements for additional information.</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Considering recent market conditions and the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w:t>
      </w:r>
    </w:p>
    <w:p>
      <w:pPr>
        <w:spacing w:after="0" w:line="173"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In December 2011, our Board of Directors authorized the 2012 Program and through subsequent amendments, the most recent in March 2017, the total repurchase authorization was increased from $500.0 million to $1.0 billion of the Company's common stock. The program has no expiration date and may be discontinued at any time. Purchases under the 2012 Program are subject to a review of the circumstances in place at the time and may be made from time to time as permitted by securities laws and other legal requirements. As of April 30, 2023, $256.4 million remains authorized for repurchase under the 2012 Program.</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During the six months ended April 30, 2023, there were no share repurchases under the 2012 Program. During the six months ended April 30, 2022, the Company repurchased 191.2 thousand shares of its common stock for $78.5 million, at an average purchase price of $410.41 per share.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9, 2023, to stockholders of record on January 20, 2023.</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from LIBOR</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 xml:space="preserve">The UK’s Financial Conduct Authority (FCA),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Arial" w:cs="Arial" w:eastAsia="Arial" w:hAnsi="Arial"/>
          <w:sz w:val="17"/>
          <w:szCs w:val="17"/>
          <w:i w:val="1"/>
          <w:iCs w:val="1"/>
          <w:color w:val="auto"/>
        </w:rPr>
        <w:t>Reference Rate Reform (Topic 848): Facilitation of the Effects of Reference Rate Reform on Financial Reporting</w:t>
      </w:r>
      <w:r>
        <w:rPr>
          <w:rFonts w:ascii="Arial" w:cs="Arial" w:eastAsia="Arial" w:hAnsi="Arial"/>
          <w:sz w:val="17"/>
          <w:szCs w:val="17"/>
          <w:color w:val="auto"/>
        </w:rPr>
        <w:t>. This guidance provides optional expedients and exceptions for applying GAAP to contracts, hedging relationships, and other transactions affected by reference rate reform if certain criteria are met. Effective February 1, 2023, the Company transitioned its credit agreements from LIBOR to the Secured Overnight Financing Rate ("SOFR").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 and Critical Accounting Policies</w:t>
      </w:r>
    </w:p>
    <w:p>
      <w:pPr>
        <w:spacing w:after="0" w:line="254"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Information regarding estimates and critical accounting policies is included in Management's Discussion and Analysis in our Form 10-K for the fiscal year ended October 31, 2022. There have been no material changes in our policies from those previously discussed in our Form 10-K for the fiscal year ended October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w:t>
      </w:r>
    </w:p>
    <w:p>
      <w:pPr>
        <w:spacing w:after="0" w:line="17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Information regarding new accounting pronouncements is included in Note 1. General of the Consolidated Condensed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 About Market Risk</w:t>
      </w:r>
    </w:p>
    <w:p>
      <w:pPr>
        <w:spacing w:after="0" w:line="169"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are exposed to risks caused by changes in foreign exchange, principally our British pound sterling, euro and Japanese yen denominated debt and receivables denominated in currencies other than the United States dollar, and from operations in other foreign currencies. We did not have any cross-currency swaps or foreign currency forward contracts as of April 30, 2023.</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are exposed to risks associated with changes in interest rates, as the interest rates on our revolving lines of credit and term loans may vary with the federal funds rate and SOFR (and, previously, LIBOR). As of April 30, 2023, we had outstanding debt for an aggregate carrying amount of $2.6 billion. We have entered, and in the future may enter, into interest rate swaps to manage interest rate risk. Effective February 1, 2023, the base interest rate on our credit agreements was converted from LIBOR to SOFR.</w:t>
      </w:r>
    </w:p>
    <w:p>
      <w:pPr>
        <w:spacing w:after="0" w:line="13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have increased or decreased by approximately $4.0 million based on average debt outstanding, after consideration of our interest rate swap contracts, during the second quarter of fiscal 2023. See Note 5. Financing Arrangements of the Consolidated Condensed Financial Statements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3"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required by Rule 13a-15(d) and 15d-15(d) of the Exchange Act that occurred during our second quarter of fiscal 2023, that have materially affected, or are reasonably likely to materially affect, our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250"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Information regarding legal proceedings is included in Note 10. Contingencies of the Consolidated Condensed Financial Statements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50"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78"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Risk factors describing the major risks to our business can be found under Item 1A. Risk Factors in our Annual Report on Form 10-K for the fiscal year ended October 31, 2022. There have been no material changes to the risk factors previously disclosed in our Annual Report on Form 10-K for the fiscal year ended October 31, 2022.</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Unregistered Sales of Equity Securities and Use of Proceeds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p>
      <w:pPr>
        <w:jc w:val="both"/>
        <w:ind w:right="300"/>
        <w:spacing w:after="0" w:line="269" w:lineRule="auto"/>
        <w:rPr>
          <w:sz w:val="20"/>
          <w:szCs w:val="20"/>
          <w:color w:val="auto"/>
        </w:rPr>
      </w:pPr>
      <w:r>
        <w:rPr>
          <w:rFonts w:ascii="Arial" w:cs="Arial" w:eastAsia="Arial" w:hAnsi="Arial"/>
          <w:sz w:val="17"/>
          <w:szCs w:val="17"/>
          <w:color w:val="auto"/>
        </w:rPr>
        <w:t>The share repurchase program was approved by the Company’s Board of Directors in December 2011 (2012 Program). The program as amended in December 2012, December 2013 and March 2017 provides authorization to repurchase up to a total of $1.0 billion of the Company’s common stock. As of April 30, 2023, $256.4 million remains authorized for repurchase under the 2012 Program.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April 30, 2023, there were no share repurchases under the 2012 Program.</w:t>
      </w:r>
    </w:p>
    <w:p>
      <w:pPr>
        <w:spacing w:after="0" w:line="16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During the three months ended April 30, 2022, there were no share repurchases under the 2012 Program. During the six months ended April 30, 2022, the Company repurchased 191.2 thousand shares of its common stock for $78.5 million, at an average purchase price of $410.41 per share.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Defaults Upon Senior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Mine Safety Disclosures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w:t>
      </w:r>
    </w:p>
    <w:p>
      <w:pPr>
        <w:ind w:left="20"/>
        <w:spacing w:after="0"/>
        <w:tabs>
          <w:tab w:leader="none" w:pos="880" w:val="left"/>
        </w:tabs>
        <w:rPr>
          <w:sz w:val="20"/>
          <w:szCs w:val="20"/>
          <w:color w:val="auto"/>
        </w:rPr>
      </w:pPr>
      <w:r>
        <w:rPr>
          <w:rFonts w:ascii="Arial" w:cs="Arial" w:eastAsia="Arial" w:hAnsi="Arial"/>
          <w:sz w:val="17"/>
          <w:szCs w:val="17"/>
          <w:u w:val="single" w:color="auto"/>
          <w:color w:val="auto"/>
        </w:rPr>
        <w:t>Number</w:t>
      </w:r>
      <w:r>
        <w:rPr>
          <w:sz w:val="20"/>
          <w:szCs w:val="20"/>
          <w:color w:val="auto"/>
        </w:rPr>
        <w:tab/>
      </w:r>
      <w:r>
        <w:rPr>
          <w:rFonts w:ascii="Arial" w:cs="Arial" w:eastAsia="Arial" w:hAnsi="Arial"/>
          <w:sz w:val="17"/>
          <w:szCs w:val="17"/>
          <w:u w:val="single" w:color="auto"/>
          <w:color w:val="auto"/>
        </w:rPr>
        <w:t>Description</w:t>
      </w:r>
    </w:p>
    <w:p>
      <w:pPr>
        <w:spacing w:after="0" w:line="101" w:lineRule="exact"/>
        <w:rPr>
          <w:sz w:val="20"/>
          <w:szCs w:val="20"/>
          <w:color w:val="auto"/>
        </w:rPr>
      </w:pPr>
    </w:p>
    <w:p>
      <w:pPr>
        <w:ind w:left="900" w:hanging="718"/>
        <w:spacing w:after="0" w:line="241" w:lineRule="auto"/>
        <w:tabs>
          <w:tab w:leader="none" w:pos="880" w:val="left"/>
        </w:tabs>
        <w:rPr>
          <w:rFonts w:ascii="Arial" w:cs="Arial" w:eastAsia="Arial" w:hAnsi="Arial"/>
          <w:sz w:val="17"/>
          <w:szCs w:val="17"/>
          <w:u w:val="single" w:color="auto"/>
          <w:color w:val="0000FF"/>
        </w:rPr>
      </w:pPr>
      <w:r>
        <w:rPr>
          <w:rFonts w:ascii="Arial" w:cs="Arial" w:eastAsia="Arial" w:hAnsi="Arial"/>
          <w:sz w:val="17"/>
          <w:szCs w:val="17"/>
          <w:color w:val="auto"/>
        </w:rPr>
        <w:t>10.1</w:t>
      </w:r>
      <w:r>
        <w:rPr>
          <w:sz w:val="20"/>
          <w:szCs w:val="20"/>
          <w:color w:val="auto"/>
        </w:rPr>
        <w:tab/>
      </w:r>
      <w:hyperlink r:id="rId48">
        <w:r>
          <w:rPr>
            <w:rFonts w:ascii="Arial" w:cs="Arial" w:eastAsia="Arial" w:hAnsi="Arial"/>
            <w:sz w:val="17"/>
            <w:szCs w:val="17"/>
            <w:u w:val="single" w:color="auto"/>
            <w:color w:val="0000FF"/>
          </w:rPr>
          <w:t>The Cooper Companies, Inc. 2023 Long-Term Incentive Plan, incorporated by reference to Exhibit A to the Company's Definitive Proxy Statement on</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Schedule 14A filed on January 30, 2023</w:t>
        </w:r>
      </w:hyperlink>
    </w:p>
    <w:p>
      <w:pPr>
        <w:spacing w:after="0" w:line="93"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u w:val="single" w:color="auto"/>
          <w:color w:val="0000FF"/>
        </w:rPr>
        <w:t>Form of Stock Option Agreement for the 2023 Long-Term Incentive Plan</w:t>
      </w:r>
    </w:p>
    <w:p>
      <w:pPr>
        <w:spacing w:after="0" w:line="115"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u w:val="single" w:color="auto"/>
          <w:color w:val="0000FF"/>
        </w:rPr>
        <w:t>Form of Restricted Stock Unit Agreement for the 2023 Long-Term Incentive Plan</w:t>
      </w:r>
    </w:p>
    <w:p>
      <w:pPr>
        <w:spacing w:after="0" w:line="129"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u w:val="single" w:color="auto"/>
          <w:color w:val="0000FF"/>
        </w:rPr>
        <w:t>Form of Performance Stock Unit Agreement for the 2023 Long-Term Incentive Plan</w:t>
      </w:r>
    </w:p>
    <w:p>
      <w:pPr>
        <w:spacing w:after="0" w:line="115"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u w:val="single" w:color="auto"/>
          <w:color w:val="0000FF"/>
        </w:rPr>
        <w:t>Certification of the Chief Executive Officer, pursuant to Rule 13a-14(a) under the Securities Exchange Act of 1934</w:t>
      </w:r>
    </w:p>
    <w:p>
      <w:pPr>
        <w:spacing w:after="0" w:line="115"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u w:val="single" w:color="auto"/>
          <w:color w:val="0000FF"/>
        </w:rPr>
        <w:t>Certification of the Chief Financial Officer, pursuant to Rule 13a-14(a) under the Securities Exchange Act of 1934</w:t>
      </w:r>
    </w:p>
    <w:p>
      <w:pPr>
        <w:spacing w:after="0" w:line="129"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u w:val="single" w:color="auto"/>
          <w:color w:val="0000FF"/>
        </w:rPr>
        <w:t>Certification of the Chief Executive Officer, pursuant to 18 U.S.C. Section 1350</w:t>
      </w:r>
    </w:p>
    <w:p>
      <w:pPr>
        <w:spacing w:after="0" w:line="115"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u w:val="single" w:color="auto"/>
          <w:color w:val="0000FF"/>
        </w:rPr>
        <w:t>Certification of the Chief Financial Officer, pursuant to 18 U.S.C. Section 1350</w:t>
      </w:r>
    </w:p>
    <w:p>
      <w:pPr>
        <w:spacing w:after="0" w:line="115" w:lineRule="exact"/>
        <w:rPr>
          <w:sz w:val="20"/>
          <w:szCs w:val="20"/>
          <w:color w:val="auto"/>
        </w:rPr>
      </w:pPr>
    </w:p>
    <w:p>
      <w:pPr>
        <w:ind w:left="900" w:right="180" w:hanging="718"/>
        <w:spacing w:after="0" w:line="253" w:lineRule="auto"/>
        <w:tabs>
          <w:tab w:leader="none" w:pos="88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5"/>
          <w:szCs w:val="15"/>
          <w:color w:val="auto"/>
        </w:rPr>
        <w:t>The following materials from the Company's Quarterly Report on Form 10-Q for the three and six months period ended April 30, 2023 formatted in Inline XBRL (Extensible Business Reporting Language): (i) Consolidated Condensed Statements of Income and Comprehensive Income, (ii)</w:t>
      </w:r>
    </w:p>
    <w:p>
      <w:pPr>
        <w:spacing w:after="0" w:line="1" w:lineRule="exact"/>
        <w:rPr>
          <w:sz w:val="20"/>
          <w:szCs w:val="20"/>
          <w:color w:val="auto"/>
        </w:rPr>
      </w:pPr>
    </w:p>
    <w:p>
      <w:pPr>
        <w:ind w:left="900" w:right="100"/>
        <w:spacing w:after="0" w:line="223" w:lineRule="auto"/>
        <w:rPr>
          <w:sz w:val="20"/>
          <w:szCs w:val="20"/>
          <w:color w:val="auto"/>
        </w:rPr>
      </w:pPr>
      <w:r>
        <w:rPr>
          <w:rFonts w:ascii="Arial" w:cs="Arial" w:eastAsia="Arial" w:hAnsi="Arial"/>
          <w:sz w:val="17"/>
          <w:szCs w:val="17"/>
          <w:color w:val="auto"/>
        </w:rPr>
        <w:t>Consolidated Condensed Balance Sheets, (iii) Consolidated Condensed Statements of Stockholders' Equity, (iv) Consolidated Condensed Statements of Cash Flows and (v) related Notes to Consolidated Condensed Financial Statements.</w:t>
      </w:r>
    </w:p>
    <w:p>
      <w:pPr>
        <w:spacing w:after="0" w:line="109"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5"/>
          <w:szCs w:val="15"/>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30" w:name="page31"/>
    <w:bookmarkEnd w:id="30"/>
    <w:p>
      <w:pPr>
        <w:ind w:left="348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00"/>
        <w:spacing w:after="0"/>
        <w:rPr>
          <w:sz w:val="20"/>
          <w:szCs w:val="20"/>
          <w:color w:val="auto"/>
        </w:rPr>
      </w:pPr>
      <w:r>
        <w:rPr>
          <w:rFonts w:ascii="Arial" w:cs="Arial" w:eastAsia="Arial" w:hAnsi="Arial"/>
          <w:sz w:val="17"/>
          <w:szCs w:val="17"/>
          <w:u w:val="single" w:color="auto"/>
          <w:color w:val="auto"/>
        </w:rPr>
        <w:t>SIGNATURES</w:t>
      </w:r>
    </w:p>
    <w:p>
      <w:pPr>
        <w:spacing w:after="0" w:line="16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The Cooper Companies, Inc.</w:t>
            </w:r>
          </w:p>
        </w:tc>
      </w:tr>
      <w:tr>
        <w:trPr>
          <w:trHeight w:val="216"/>
        </w:trPr>
        <w:tc>
          <w:tcPr>
            <w:tcW w:w="52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w w:val="90"/>
              </w:rPr>
              <w:t>(Registrant)</w:t>
            </w:r>
          </w:p>
        </w:tc>
      </w:tr>
      <w:tr>
        <w:trPr>
          <w:trHeight w:val="497"/>
        </w:trPr>
        <w:tc>
          <w:tcPr>
            <w:tcW w:w="5260" w:type="dxa"/>
            <w:vAlign w:val="bottom"/>
          </w:tcPr>
          <w:p>
            <w:pPr>
              <w:spacing w:after="0"/>
              <w:rPr>
                <w:sz w:val="20"/>
                <w:szCs w:val="20"/>
                <w:color w:val="auto"/>
              </w:rPr>
            </w:pPr>
            <w:r>
              <w:rPr>
                <w:rFonts w:ascii="Arial" w:cs="Arial" w:eastAsia="Arial" w:hAnsi="Arial"/>
                <w:sz w:val="17"/>
                <w:szCs w:val="17"/>
                <w:color w:val="auto"/>
              </w:rPr>
              <w:t>Date: June 2, 2023</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Brian G. Andrews</w:t>
            </w:r>
          </w:p>
        </w:tc>
      </w:tr>
      <w:tr>
        <w:trPr>
          <w:trHeight w:val="212"/>
        </w:trPr>
        <w:tc>
          <w:tcPr>
            <w:tcW w:w="52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w w:val="93"/>
              </w:rPr>
              <w:t>Brian G. Andrews</w:t>
            </w:r>
          </w:p>
        </w:tc>
      </w:tr>
      <w:tr>
        <w:trPr>
          <w:trHeight w:val="184"/>
        </w:trPr>
        <w:tc>
          <w:tcPr>
            <w:tcW w:w="5260" w:type="dxa"/>
            <w:vAlign w:val="bottom"/>
          </w:tcPr>
          <w:p>
            <w:pPr>
              <w:spacing w:after="0"/>
              <w:rPr>
                <w:sz w:val="16"/>
                <w:szCs w:val="16"/>
                <w:color w:val="auto"/>
              </w:rPr>
            </w:pPr>
          </w:p>
        </w:tc>
        <w:tc>
          <w:tcPr>
            <w:tcW w:w="5260" w:type="dxa"/>
            <w:vAlign w:val="bottom"/>
          </w:tcPr>
          <w:p>
            <w:pPr>
              <w:jc w:val="center"/>
              <w:spacing w:after="0" w:line="185" w:lineRule="exact"/>
              <w:rPr>
                <w:sz w:val="20"/>
                <w:szCs w:val="20"/>
                <w:color w:val="auto"/>
              </w:rPr>
            </w:pPr>
            <w:r>
              <w:rPr>
                <w:rFonts w:ascii="Arial" w:cs="Arial" w:eastAsia="Arial" w:hAnsi="Arial"/>
                <w:sz w:val="17"/>
                <w:szCs w:val="17"/>
                <w:color w:val="auto"/>
                <w:w w:val="91"/>
              </w:rPr>
              <w:t>Executive Vice President, Chief Financial Officer and Treasurer</w:t>
            </w:r>
          </w:p>
        </w:tc>
      </w:tr>
      <w:tr>
        <w:trPr>
          <w:trHeight w:val="216"/>
        </w:trPr>
        <w:tc>
          <w:tcPr>
            <w:tcW w:w="52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w w:val="96"/>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60" w:type="dxa"/>
            <w:vAlign w:val="bottom"/>
          </w:tcPr>
          <w:p>
            <w:pPr>
              <w:spacing w:after="0"/>
              <w:rPr>
                <w:sz w:val="20"/>
                <w:szCs w:val="20"/>
                <w:color w:val="auto"/>
              </w:rPr>
            </w:pPr>
            <w:r>
              <w:rPr>
                <w:rFonts w:ascii="Arial" w:cs="Arial" w:eastAsia="Arial" w:hAnsi="Arial"/>
                <w:sz w:val="17"/>
                <w:szCs w:val="17"/>
                <w:color w:val="auto"/>
              </w:rPr>
              <w:t>Date: June 2, 2023</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Agostino Ricupati</w:t>
            </w:r>
          </w:p>
        </w:tc>
      </w:tr>
      <w:tr>
        <w:trPr>
          <w:trHeight w:val="212"/>
        </w:trPr>
        <w:tc>
          <w:tcPr>
            <w:tcW w:w="52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w w:val="93"/>
              </w:rPr>
              <w:t>Agostino Ricupati</w:t>
            </w:r>
          </w:p>
        </w:tc>
      </w:tr>
      <w:tr>
        <w:trPr>
          <w:trHeight w:val="175"/>
        </w:trPr>
        <w:tc>
          <w:tcPr>
            <w:tcW w:w="5260" w:type="dxa"/>
            <w:vAlign w:val="bottom"/>
          </w:tcPr>
          <w:p>
            <w:pPr>
              <w:spacing w:after="0"/>
              <w:rPr>
                <w:sz w:val="15"/>
                <w:szCs w:val="15"/>
                <w:color w:val="auto"/>
              </w:rPr>
            </w:pPr>
          </w:p>
        </w:tc>
        <w:tc>
          <w:tcPr>
            <w:tcW w:w="5260" w:type="dxa"/>
            <w:vAlign w:val="bottom"/>
          </w:tcPr>
          <w:p>
            <w:pPr>
              <w:jc w:val="center"/>
              <w:spacing w:after="0" w:line="176" w:lineRule="exact"/>
              <w:rPr>
                <w:sz w:val="20"/>
                <w:szCs w:val="20"/>
                <w:color w:val="auto"/>
              </w:rPr>
            </w:pPr>
            <w:r>
              <w:rPr>
                <w:rFonts w:ascii="Arial" w:cs="Arial" w:eastAsia="Arial" w:hAnsi="Arial"/>
                <w:sz w:val="17"/>
                <w:szCs w:val="17"/>
                <w:color w:val="auto"/>
                <w:w w:val="92"/>
              </w:rPr>
              <w:t>Senior Vice President and Chief Accounting Officer (Principal Accounting</w:t>
            </w:r>
          </w:p>
        </w:tc>
      </w:tr>
      <w:tr>
        <w:trPr>
          <w:trHeight w:val="216"/>
        </w:trPr>
        <w:tc>
          <w:tcPr>
            <w:tcW w:w="52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80"/>
          </w:cols>
          <w:pgMar w:left="320" w:top="800" w:right="899" w:bottom="1440" w:gutter="0" w:footer="0" w:header="0"/>
        </w:sectPr>
      </w:pPr>
    </w:p>
    <w:bookmarkStart w:id="31" w:name="page32"/>
    <w:bookmarkEnd w:id="31"/>
    <w:p>
      <w:pPr>
        <w:ind w:left="4360"/>
        <w:spacing w:after="0"/>
        <w:rPr>
          <w:sz w:val="20"/>
          <w:szCs w:val="20"/>
          <w:color w:val="auto"/>
        </w:rPr>
      </w:pPr>
      <w:r>
        <w:rPr>
          <w:rFonts w:ascii="Arial" w:cs="Arial" w:eastAsia="Arial" w:hAnsi="Arial"/>
          <w:sz w:val="20"/>
          <w:szCs w:val="20"/>
          <w:b w:val="1"/>
          <w:bCs w:val="1"/>
          <w:color w:val="auto"/>
        </w:rPr>
        <w:t>THE COOPER COMPANIES, INC.</w:t>
      </w:r>
    </w:p>
    <w:p>
      <w:pPr>
        <w:ind w:left="4200"/>
        <w:spacing w:after="0" w:line="222" w:lineRule="auto"/>
        <w:rPr>
          <w:sz w:val="20"/>
          <w:szCs w:val="20"/>
          <w:color w:val="auto"/>
        </w:rPr>
      </w:pPr>
      <w:r>
        <w:rPr>
          <w:rFonts w:ascii="Arial" w:cs="Arial" w:eastAsia="Arial" w:hAnsi="Arial"/>
          <w:sz w:val="20"/>
          <w:szCs w:val="20"/>
          <w:b w:val="1"/>
          <w:bCs w:val="1"/>
          <w:color w:val="auto"/>
        </w:rPr>
        <w:t>2023 LONG-TERM INCENTIVE PLAN</w:t>
      </w:r>
    </w:p>
    <w:p>
      <w:pPr>
        <w:jc w:val="center"/>
        <w:spacing w:after="0" w:line="209" w:lineRule="auto"/>
        <w:rPr>
          <w:sz w:val="20"/>
          <w:szCs w:val="20"/>
          <w:color w:val="auto"/>
        </w:rPr>
      </w:pPr>
      <w:r>
        <w:rPr>
          <w:rFonts w:ascii="Arial" w:cs="Arial" w:eastAsia="Arial" w:hAnsi="Arial"/>
          <w:sz w:val="20"/>
          <w:szCs w:val="20"/>
          <w:b w:val="1"/>
          <w:bCs w:val="1"/>
          <w:color w:val="auto"/>
        </w:rPr>
        <w:t>STOCK OPTION GRANT NOTICE</w:t>
      </w:r>
    </w:p>
    <w:p>
      <w:pPr>
        <w:spacing w:after="0" w:line="167"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The Cooper Companies, Inc., a Delaware corporaton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2023 Long-Term Incentve Plan, as may be amended from tme to tme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holder listed below (“</w:t>
      </w:r>
      <w:r>
        <w:rPr>
          <w:rFonts w:ascii="Arial" w:cs="Arial" w:eastAsia="Arial" w:hAnsi="Arial"/>
          <w:sz w:val="20"/>
          <w:szCs w:val="20"/>
          <w:u w:val="single" w:color="auto"/>
          <w:color w:val="auto"/>
        </w:rPr>
        <w:t>Partcipant</w:t>
      </w:r>
      <w:r>
        <w:rPr>
          <w:rFonts w:ascii="Arial" w:cs="Arial" w:eastAsia="Arial" w:hAnsi="Arial"/>
          <w:sz w:val="20"/>
          <w:szCs w:val="20"/>
          <w:color w:val="auto"/>
        </w:rPr>
        <w:t>”), an opton to purchase the number of shares of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set forth below (the “</w:t>
      </w:r>
      <w:r>
        <w:rPr>
          <w:rFonts w:ascii="Arial" w:cs="Arial" w:eastAsia="Arial" w:hAnsi="Arial"/>
          <w:sz w:val="20"/>
          <w:szCs w:val="20"/>
          <w:u w:val="single" w:color="auto"/>
          <w:color w:val="auto"/>
        </w:rPr>
        <w:t>Opton</w:t>
      </w:r>
      <w:r>
        <w:rPr>
          <w:rFonts w:ascii="Arial" w:cs="Arial" w:eastAsia="Arial" w:hAnsi="Arial"/>
          <w:sz w:val="20"/>
          <w:szCs w:val="20"/>
          <w:color w:val="auto"/>
        </w:rPr>
        <w:t>”). The Opton is subject to all of the terms and conditons set forth in this Stock Opton Grant Notce (“</w:t>
      </w:r>
      <w:r>
        <w:rPr>
          <w:rFonts w:ascii="Arial" w:cs="Arial" w:eastAsia="Arial" w:hAnsi="Arial"/>
          <w:sz w:val="20"/>
          <w:szCs w:val="20"/>
          <w:u w:val="single" w:color="auto"/>
          <w:color w:val="auto"/>
        </w:rPr>
        <w:t>Grant Notce</w:t>
      </w:r>
      <w:r>
        <w:rPr>
          <w:rFonts w:ascii="Arial" w:cs="Arial" w:eastAsia="Arial" w:hAnsi="Arial"/>
          <w:sz w:val="20"/>
          <w:szCs w:val="20"/>
          <w:color w:val="auto"/>
        </w:rPr>
        <w:t xml:space="preserve">”), as well as in the Plan and the Stock Opton Agreement atached hereto as </w:t>
      </w:r>
      <w:r>
        <w:rPr>
          <w:rFonts w:ascii="Arial" w:cs="Arial" w:eastAsia="Arial" w:hAnsi="Arial"/>
          <w:sz w:val="20"/>
          <w:szCs w:val="20"/>
          <w:b w:val="1"/>
          <w:bCs w:val="1"/>
          <w:color w:val="auto"/>
        </w:rPr>
        <w:t>Exhibit A</w:t>
      </w:r>
      <w:r>
        <w:rPr>
          <w:rFonts w:ascii="Arial" w:cs="Arial" w:eastAsia="Arial" w:hAnsi="Arial"/>
          <w:sz w:val="20"/>
          <w:szCs w:val="20"/>
          <w:color w:val="auto"/>
        </w:rPr>
        <w:t>, including any additonal provisions for Partcipant’s country of residence, if any, set forth in the Appendix for Partcipant’s country (the “</w:t>
      </w:r>
      <w:r>
        <w:rPr>
          <w:rFonts w:ascii="Arial" w:cs="Arial" w:eastAsia="Arial" w:hAnsi="Arial"/>
          <w:sz w:val="20"/>
          <w:szCs w:val="20"/>
          <w:u w:val="single" w:color="auto"/>
          <w:color w:val="auto"/>
        </w:rPr>
        <w:t>Country</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Provisions</w:t>
      </w:r>
      <w:r>
        <w:rPr>
          <w:rFonts w:ascii="Arial" w:cs="Arial" w:eastAsia="Arial" w:hAnsi="Arial"/>
          <w:sz w:val="20"/>
          <w:szCs w:val="20"/>
          <w:color w:val="auto"/>
        </w:rPr>
        <w:t xml:space="preserve"> ,” and collectvely, the “</w:t>
      </w:r>
      <w:r>
        <w:rPr>
          <w:rFonts w:ascii="Arial" w:cs="Arial" w:eastAsia="Arial" w:hAnsi="Arial"/>
          <w:sz w:val="20"/>
          <w:szCs w:val="20"/>
          <w:u w:val="single" w:color="auto"/>
          <w:color w:val="auto"/>
        </w:rPr>
        <w:t>Agreement</w:t>
      </w:r>
      <w:r>
        <w:rPr>
          <w:rFonts w:ascii="Arial" w:cs="Arial" w:eastAsia="Arial" w:hAnsi="Arial"/>
          <w:sz w:val="20"/>
          <w:szCs w:val="20"/>
          <w:color w:val="auto"/>
        </w:rPr>
        <w:t>”), each of which are incorporated herein by reference. Unless otherwise defned herein, the terms defned in the Plan shall have the same defned meanings in this Grant Notce, the Country Provisions and the Stock Opton Agreement.</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4560" w:type="dxa"/>
            <w:vAlign w:val="bottom"/>
          </w:tcPr>
          <w:p>
            <w:pPr>
              <w:spacing w:after="0"/>
              <w:rPr>
                <w:sz w:val="20"/>
                <w:szCs w:val="20"/>
                <w:color w:val="auto"/>
              </w:rPr>
            </w:pPr>
            <w:r>
              <w:rPr>
                <w:rFonts w:ascii="Arial" w:cs="Arial" w:eastAsia="Arial" w:hAnsi="Arial"/>
                <w:sz w:val="20"/>
                <w:szCs w:val="20"/>
                <w:b w:val="1"/>
                <w:bCs w:val="1"/>
                <w:color w:val="auto"/>
              </w:rPr>
              <w:t>Partcipant:</w:t>
            </w:r>
          </w:p>
        </w:tc>
        <w:tc>
          <w:tcPr>
            <w:tcW w:w="5840" w:type="dxa"/>
            <w:vAlign w:val="bottom"/>
          </w:tcPr>
          <w:p>
            <w:pPr>
              <w:ind w:left="780"/>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310"/>
        </w:trPr>
        <w:tc>
          <w:tcPr>
            <w:tcW w:w="4560" w:type="dxa"/>
            <w:vAlign w:val="bottom"/>
          </w:tcPr>
          <w:p>
            <w:pPr>
              <w:ind w:left="20"/>
              <w:spacing w:after="0"/>
              <w:rPr>
                <w:sz w:val="20"/>
                <w:szCs w:val="20"/>
                <w:color w:val="auto"/>
              </w:rPr>
            </w:pPr>
            <w:r>
              <w:rPr>
                <w:rFonts w:ascii="Arial" w:cs="Arial" w:eastAsia="Arial" w:hAnsi="Arial"/>
                <w:sz w:val="20"/>
                <w:szCs w:val="20"/>
                <w:b w:val="1"/>
                <w:bCs w:val="1"/>
                <w:color w:val="auto"/>
              </w:rPr>
              <w:t>Grant Date:</w:t>
            </w:r>
          </w:p>
        </w:tc>
        <w:tc>
          <w:tcPr>
            <w:tcW w:w="5840" w:type="dxa"/>
            <w:vAlign w:val="bottom"/>
          </w:tcPr>
          <w:p>
            <w:pPr>
              <w:ind w:left="780"/>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247"/>
        </w:trPr>
        <w:tc>
          <w:tcPr>
            <w:tcW w:w="4560" w:type="dxa"/>
            <w:vAlign w:val="bottom"/>
          </w:tcPr>
          <w:p>
            <w:pPr>
              <w:ind w:left="20"/>
              <w:spacing w:after="0"/>
              <w:rPr>
                <w:sz w:val="20"/>
                <w:szCs w:val="20"/>
                <w:color w:val="auto"/>
              </w:rPr>
            </w:pPr>
            <w:r>
              <w:rPr>
                <w:rFonts w:ascii="Arial" w:cs="Arial" w:eastAsia="Arial" w:hAnsi="Arial"/>
                <w:sz w:val="20"/>
                <w:szCs w:val="20"/>
                <w:b w:val="1"/>
                <w:bCs w:val="1"/>
                <w:color w:val="auto"/>
              </w:rPr>
              <w:t>Vestng Commencement Date:</w:t>
            </w:r>
          </w:p>
        </w:tc>
        <w:tc>
          <w:tcPr>
            <w:tcW w:w="5840" w:type="dxa"/>
            <w:vAlign w:val="bottom"/>
          </w:tcPr>
          <w:p>
            <w:pPr>
              <w:ind w:left="780"/>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252"/>
        </w:trPr>
        <w:tc>
          <w:tcPr>
            <w:tcW w:w="4560" w:type="dxa"/>
            <w:vAlign w:val="bottom"/>
          </w:tcPr>
          <w:p>
            <w:pPr>
              <w:ind w:left="20"/>
              <w:spacing w:after="0"/>
              <w:rPr>
                <w:sz w:val="20"/>
                <w:szCs w:val="20"/>
                <w:color w:val="auto"/>
              </w:rPr>
            </w:pPr>
            <w:r>
              <w:rPr>
                <w:rFonts w:ascii="Arial" w:cs="Arial" w:eastAsia="Arial" w:hAnsi="Arial"/>
                <w:sz w:val="20"/>
                <w:szCs w:val="20"/>
                <w:b w:val="1"/>
                <w:bCs w:val="1"/>
                <w:color w:val="auto"/>
              </w:rPr>
              <w:t>Exercise Price per Share:</w:t>
            </w:r>
          </w:p>
        </w:tc>
        <w:tc>
          <w:tcPr>
            <w:tcW w:w="5840" w:type="dxa"/>
            <w:vAlign w:val="bottom"/>
          </w:tcPr>
          <w:p>
            <w:pPr>
              <w:ind w:left="780"/>
              <w:spacing w:after="0"/>
              <w:rPr>
                <w:sz w:val="20"/>
                <w:szCs w:val="20"/>
                <w:color w:val="auto"/>
              </w:rPr>
            </w:pPr>
            <w:r>
              <w:rPr>
                <w:rFonts w:ascii="Arial" w:cs="Arial" w:eastAsia="Arial" w:hAnsi="Arial"/>
                <w:sz w:val="20"/>
                <w:szCs w:val="20"/>
                <w:color w:val="auto"/>
              </w:rPr>
              <w:t>$[___________]</w:t>
            </w:r>
          </w:p>
        </w:tc>
        <w:tc>
          <w:tcPr>
            <w:tcW w:w="0" w:type="dxa"/>
            <w:vAlign w:val="bottom"/>
          </w:tcPr>
          <w:p>
            <w:pPr>
              <w:spacing w:after="0"/>
              <w:rPr>
                <w:sz w:val="1"/>
                <w:szCs w:val="1"/>
                <w:color w:val="auto"/>
              </w:rPr>
            </w:pPr>
          </w:p>
        </w:tc>
      </w:tr>
      <w:tr>
        <w:trPr>
          <w:trHeight w:val="310"/>
        </w:trPr>
        <w:tc>
          <w:tcPr>
            <w:tcW w:w="4560" w:type="dxa"/>
            <w:vAlign w:val="bottom"/>
          </w:tcPr>
          <w:p>
            <w:pPr>
              <w:spacing w:after="0"/>
              <w:rPr>
                <w:sz w:val="20"/>
                <w:szCs w:val="20"/>
                <w:color w:val="auto"/>
              </w:rPr>
            </w:pPr>
            <w:r>
              <w:rPr>
                <w:rFonts w:ascii="Arial" w:cs="Arial" w:eastAsia="Arial" w:hAnsi="Arial"/>
                <w:sz w:val="20"/>
                <w:szCs w:val="20"/>
                <w:b w:val="1"/>
                <w:bCs w:val="1"/>
                <w:color w:val="auto"/>
              </w:rPr>
              <w:t>Total Number of Shares Subject to the Opton:</w:t>
            </w:r>
          </w:p>
        </w:tc>
        <w:tc>
          <w:tcPr>
            <w:tcW w:w="5840" w:type="dxa"/>
            <w:vAlign w:val="bottom"/>
          </w:tcPr>
          <w:p>
            <w:pPr>
              <w:ind w:left="780"/>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365"/>
        </w:trPr>
        <w:tc>
          <w:tcPr>
            <w:tcW w:w="4560" w:type="dxa"/>
            <w:vAlign w:val="bottom"/>
          </w:tcPr>
          <w:p>
            <w:pPr>
              <w:spacing w:after="0"/>
              <w:rPr>
                <w:sz w:val="20"/>
                <w:szCs w:val="20"/>
                <w:color w:val="auto"/>
              </w:rPr>
            </w:pPr>
            <w:r>
              <w:rPr>
                <w:rFonts w:ascii="Arial" w:cs="Arial" w:eastAsia="Arial" w:hAnsi="Arial"/>
                <w:sz w:val="20"/>
                <w:szCs w:val="20"/>
                <w:b w:val="1"/>
                <w:bCs w:val="1"/>
                <w:color w:val="auto"/>
              </w:rPr>
              <w:t>Expiraton Date:</w:t>
            </w:r>
          </w:p>
        </w:tc>
        <w:tc>
          <w:tcPr>
            <w:tcW w:w="5840" w:type="dxa"/>
            <w:vAlign w:val="bottom"/>
          </w:tcPr>
          <w:p>
            <w:pPr>
              <w:ind w:left="780"/>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247"/>
        </w:trPr>
        <w:tc>
          <w:tcPr>
            <w:tcW w:w="4560" w:type="dxa"/>
            <w:vAlign w:val="bottom"/>
            <w:vMerge w:val="restart"/>
          </w:tcPr>
          <w:p>
            <w:pPr>
              <w:spacing w:after="0"/>
              <w:rPr>
                <w:sz w:val="20"/>
                <w:szCs w:val="20"/>
                <w:color w:val="auto"/>
              </w:rPr>
            </w:pPr>
            <w:r>
              <w:rPr>
                <w:rFonts w:ascii="Arial" w:cs="Arial" w:eastAsia="Arial" w:hAnsi="Arial"/>
                <w:sz w:val="20"/>
                <w:szCs w:val="20"/>
                <w:b w:val="1"/>
                <w:bCs w:val="1"/>
                <w:color w:val="auto"/>
              </w:rPr>
              <w:t>Vestng Schedule:</w:t>
            </w:r>
          </w:p>
        </w:tc>
        <w:tc>
          <w:tcPr>
            <w:tcW w:w="5840" w:type="dxa"/>
            <w:vAlign w:val="bottom"/>
          </w:tcPr>
          <w:p>
            <w:pPr>
              <w:ind w:left="780"/>
              <w:spacing w:after="0"/>
              <w:rPr>
                <w:sz w:val="20"/>
                <w:szCs w:val="20"/>
                <w:color w:val="auto"/>
              </w:rPr>
            </w:pPr>
            <w:r>
              <w:rPr>
                <w:rFonts w:ascii="Arial" w:cs="Arial" w:eastAsia="Arial" w:hAnsi="Arial"/>
                <w:sz w:val="20"/>
                <w:szCs w:val="20"/>
                <w:color w:val="auto"/>
                <w:w w:val="91"/>
              </w:rPr>
              <w:t>The Opton will vest in accordance with the following schedule:</w:t>
            </w:r>
          </w:p>
        </w:tc>
        <w:tc>
          <w:tcPr>
            <w:tcW w:w="0" w:type="dxa"/>
            <w:vAlign w:val="bottom"/>
          </w:tcPr>
          <w:p>
            <w:pPr>
              <w:spacing w:after="0"/>
              <w:rPr>
                <w:sz w:val="1"/>
                <w:szCs w:val="1"/>
                <w:color w:val="auto"/>
              </w:rPr>
            </w:pPr>
          </w:p>
        </w:tc>
      </w:tr>
      <w:tr>
        <w:trPr>
          <w:trHeight w:val="250"/>
        </w:trPr>
        <w:tc>
          <w:tcPr>
            <w:tcW w:w="4560" w:type="dxa"/>
            <w:vAlign w:val="bottom"/>
            <w:vMerge w:val="continue"/>
          </w:tcPr>
          <w:p>
            <w:pPr>
              <w:spacing w:after="0"/>
              <w:rPr>
                <w:sz w:val="21"/>
                <w:szCs w:val="21"/>
                <w:color w:val="auto"/>
              </w:rPr>
            </w:pPr>
          </w:p>
        </w:tc>
        <w:tc>
          <w:tcPr>
            <w:tcW w:w="5840" w:type="dxa"/>
            <w:vAlign w:val="bottom"/>
          </w:tcPr>
          <w:p>
            <w:pPr>
              <w:ind w:left="780"/>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Type of Opton:</w:t>
      </w:r>
      <w:r>
        <w:rPr>
          <w:sz w:val="20"/>
          <w:szCs w:val="20"/>
          <w:color w:val="auto"/>
        </w:rPr>
        <w:tab/>
      </w:r>
      <w:r>
        <w:rPr>
          <w:rFonts w:ascii="Arial" w:cs="Arial" w:eastAsia="Arial" w:hAnsi="Arial"/>
          <w:sz w:val="18"/>
          <w:szCs w:val="18"/>
          <w:color w:val="auto"/>
        </w:rPr>
        <w:t>Incentve Stock Opton Non-Qualifed Stock Opton</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If the Company uses an electronic capitalizaton table system (such as Shareworks, Carta, or Equity Edge) and the felds in the this Grant Notce are blank or the informaton is otherwise provided in a diferent format electronically, the blank felds and other informaton will be deemed to come from the electronic capitalizaton system and is considered part of the Opton and the Agreement. In additon, the Company’s signature below shall be deemed to have occurred by the Company’s input of the Opton in such electronic capitalizaton table system and Partcipant’s signature below shall be deemed to have occurred by Partcipant’s online acceptance of the Opton through such</w:t>
      </w:r>
    </w:p>
    <w:p>
      <w:pPr>
        <w:spacing w:after="0" w:line="216" w:lineRule="auto"/>
        <w:rPr>
          <w:sz w:val="20"/>
          <w:szCs w:val="20"/>
          <w:color w:val="auto"/>
        </w:rPr>
      </w:pPr>
      <w:r>
        <w:rPr>
          <w:rFonts w:ascii="Arial" w:cs="Arial" w:eastAsia="Arial" w:hAnsi="Arial"/>
          <w:sz w:val="20"/>
          <w:szCs w:val="20"/>
          <w:color w:val="auto"/>
        </w:rPr>
        <w:t xml:space="preserve">electronic capitalizaton table system, </w:t>
      </w:r>
      <w:r>
        <w:rPr>
          <w:rFonts w:ascii="Arial" w:cs="Arial" w:eastAsia="Arial" w:hAnsi="Arial"/>
          <w:sz w:val="20"/>
          <w:szCs w:val="20"/>
          <w:b w:val="1"/>
          <w:bCs w:val="1"/>
          <w:color w:val="auto"/>
        </w:rPr>
        <w:t>including any acceptance through a prior electronic capitalizaton system</w:t>
      </w:r>
      <w:r>
        <w:rPr>
          <w:rFonts w:ascii="Arial" w:cs="Arial" w:eastAsia="Arial" w:hAnsi="Arial"/>
          <w:sz w:val="20"/>
          <w:szCs w:val="20"/>
          <w:color w:val="auto"/>
        </w:rPr>
        <w:t>.</w:t>
      </w:r>
    </w:p>
    <w:p>
      <w:pPr>
        <w:spacing w:after="0" w:line="16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By Partcipant’s acceptance of the Opton through the online acceptance procedure established by the Company, or by Partcipant’s signature and the Company’s signature below, Partcipant agrees to be bound by the terms and conditons of the Plan and the Agreement (including this Grant Notce). Partcipant has reviewed the Plan and the Agreement (including this Grant Notce) in their entrety, has had an opportunity to obtain the advice of counsel prior to executng this Grant Notce and fully understands all provisions of the Plan and the Agreement (including this Grant Notce). Partcipant hereby agrees to accept as binding, conclusive and fnal all decisions or interpretatons of the Administrator upon any questons arising under the Plan and the Agreement (including this Grant Notce).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Cooper Companies, Inc.</w:t>
      </w:r>
    </w:p>
    <w:p>
      <w:pPr>
        <w:spacing w:after="0" w:line="236" w:lineRule="auto"/>
        <w:rPr>
          <w:sz w:val="20"/>
          <w:szCs w:val="20"/>
          <w:color w:val="auto"/>
        </w:rPr>
      </w:pPr>
      <w:r>
        <w:rPr>
          <w:rFonts w:ascii="Arial" w:cs="Arial" w:eastAsia="Arial" w:hAnsi="Arial"/>
          <w:sz w:val="16"/>
          <w:szCs w:val="16"/>
          <w:i w:val="1"/>
          <w:iCs w:val="1"/>
          <w:color w:val="auto"/>
        </w:rPr>
        <w:t>STOCK OPTION GRANT NOTICE</w:t>
      </w:r>
    </w:p>
    <w:p>
      <w:pPr>
        <w:sectPr>
          <w:pgSz w:w="11900" w:h="16838" w:orient="portrait"/>
          <w:cols w:equalWidth="0" w:num="1">
            <w:col w:w="11240"/>
          </w:cols>
          <w:pgMar w:left="320" w:top="1370" w:right="339" w:bottom="1440" w:gutter="0" w:footer="0" w:header="0"/>
        </w:sectPr>
      </w:pPr>
    </w:p>
    <w:bookmarkStart w:id="32" w:name="page33"/>
    <w:bookmarkEnd w:id="32"/>
    <w:p>
      <w:pPr>
        <w:ind w:left="80"/>
        <w:spacing w:after="0"/>
        <w:rPr>
          <w:sz w:val="20"/>
          <w:szCs w:val="20"/>
          <w:color w:val="auto"/>
        </w:rPr>
      </w:pPr>
      <w:r>
        <w:rPr>
          <w:rFonts w:ascii="Arial" w:cs="Arial" w:eastAsia="Arial" w:hAnsi="Arial"/>
          <w:sz w:val="16"/>
          <w:szCs w:val="16"/>
          <w:b w:val="1"/>
          <w:bCs w:val="1"/>
          <w:color w:val="auto"/>
        </w:rPr>
        <w:t>THE COOPER COMPANIES, INC.:</w:t>
      </w:r>
    </w:p>
    <w:p>
      <w:pPr>
        <w:spacing w:after="0" w:line="20" w:lineRule="exact"/>
        <w:rPr>
          <w:sz w:val="20"/>
          <w:szCs w:val="20"/>
          <w:color w:val="auto"/>
        </w:rPr>
      </w:pPr>
      <w:r>
        <w:rPr>
          <w:sz w:val="20"/>
          <w:szCs w:val="20"/>
          <w:color w:val="auto"/>
        </w:rPr>
        <w:br w:type="column"/>
      </w:r>
    </w:p>
    <w:p>
      <w:pPr>
        <w:jc w:val="center"/>
        <w:ind w:right="3319"/>
        <w:spacing w:after="0"/>
        <w:rPr>
          <w:sz w:val="20"/>
          <w:szCs w:val="20"/>
          <w:color w:val="auto"/>
        </w:rPr>
      </w:pPr>
      <w:r>
        <w:rPr>
          <w:rFonts w:ascii="Arial" w:cs="Arial" w:eastAsia="Arial" w:hAnsi="Arial"/>
          <w:sz w:val="15"/>
          <w:szCs w:val="15"/>
          <w:b w:val="1"/>
          <w:bCs w:val="1"/>
          <w:color w:val="auto"/>
        </w:rPr>
        <w:t>PARTICIPANT</w:t>
      </w:r>
      <w:r>
        <w:rPr>
          <w:rFonts w:ascii="Arial" w:cs="Arial" w:eastAsia="Arial" w:hAnsi="Arial"/>
          <w:sz w:val="15"/>
          <w:szCs w:val="15"/>
          <w:color w:val="auto"/>
        </w:rPr>
        <w:t>:</w:t>
      </w:r>
    </w:p>
    <w:p>
      <w:pPr>
        <w:spacing w:after="0" w:line="211" w:lineRule="exact"/>
        <w:rPr>
          <w:sz w:val="20"/>
          <w:szCs w:val="20"/>
          <w:color w:val="auto"/>
        </w:rPr>
      </w:pPr>
    </w:p>
    <w:p>
      <w:pPr>
        <w:sectPr>
          <w:pgSz w:w="11900" w:h="16838" w:orient="portrait"/>
          <w:cols w:equalWidth="0" w:num="2">
            <w:col w:w="4980" w:space="720"/>
            <w:col w:w="4439"/>
          </w:cols>
          <w:pgMar w:left="320" w:top="1424" w:right="1440" w:bottom="1440" w:gutter="0" w:footer="0" w:header="0"/>
        </w:sect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42" w:lineRule="exact"/>
        <w:rPr>
          <w:sz w:val="20"/>
          <w:szCs w:val="20"/>
          <w:color w:val="auto"/>
        </w:rPr>
      </w:pPr>
    </w:p>
    <w:p>
      <w:pPr>
        <w:sectPr>
          <w:pgSz w:w="11900" w:h="16838" w:orient="portrait"/>
          <w:cols w:equalWidth="0" w:num="2">
            <w:col w:w="4920" w:space="720"/>
            <w:col w:w="4499"/>
          </w:cols>
          <w:pgMar w:left="320" w:top="1424"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39"/>
          </w:cols>
          <w:pgMar w:left="320" w:top="1424" w:right="1440" w:bottom="1440" w:gutter="0" w:footer="0" w:header="0"/>
          <w:type w:val="continuous"/>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ectPr>
          <w:pgSz w:w="11900" w:h="16838" w:orient="portrait"/>
          <w:cols w:equalWidth="0" w:num="2">
            <w:col w:w="4920" w:space="720"/>
            <w:col w:w="4499"/>
          </w:cols>
          <w:pgMar w:left="320" w:top="14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Cooper Companies, Inc.</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STOCK OPTION GRANT NOTICE</w:t>
      </w:r>
    </w:p>
    <w:p>
      <w:pPr>
        <w:sectPr>
          <w:pgSz w:w="11900" w:h="16838" w:orient="portrait"/>
          <w:cols w:equalWidth="0" w:num="1">
            <w:col w:w="10139"/>
          </w:cols>
          <w:pgMar w:left="320" w:top="1424" w:right="1440"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EXHIBIT A</w:t>
      </w:r>
    </w:p>
    <w:p>
      <w:pPr>
        <w:jc w:val="center"/>
        <w:spacing w:after="0" w:line="234" w:lineRule="auto"/>
        <w:rPr>
          <w:sz w:val="20"/>
          <w:szCs w:val="20"/>
          <w:color w:val="auto"/>
        </w:rPr>
      </w:pPr>
      <w:r>
        <w:rPr>
          <w:rFonts w:ascii="Arial" w:cs="Arial" w:eastAsia="Arial" w:hAnsi="Arial"/>
          <w:sz w:val="20"/>
          <w:szCs w:val="20"/>
          <w:b w:val="1"/>
          <w:bCs w:val="1"/>
          <w:color w:val="auto"/>
        </w:rPr>
        <w:t>TO STOCK OPTION GRANT NOTICE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Pursuant to the Stock Opton Grant Notce (the “</w:t>
      </w:r>
      <w:r>
        <w:rPr>
          <w:rFonts w:ascii="Arial" w:cs="Arial" w:eastAsia="Arial" w:hAnsi="Arial"/>
          <w:sz w:val="18"/>
          <w:szCs w:val="18"/>
          <w:u w:val="single" w:color="auto"/>
          <w:color w:val="auto"/>
        </w:rPr>
        <w:t>Grant Notce</w:t>
      </w:r>
      <w:r>
        <w:rPr>
          <w:rFonts w:ascii="Arial" w:cs="Arial" w:eastAsia="Arial" w:hAnsi="Arial"/>
          <w:sz w:val="18"/>
          <w:szCs w:val="18"/>
          <w:color w:val="auto"/>
        </w:rPr>
        <w:t>”) to which this Stock Opton Agreement, including any additonal non-U.S. and country-specifc terms and conditons set forth in any appendices atached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atached, The Cooper Companies, Inc., a Delaware corporaton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to Partcipant an Opton under the Company’s 2023 Long-Term Incentve Plan, as may be amended from tme to tme (the “</w:t>
      </w:r>
      <w:r>
        <w:rPr>
          <w:rFonts w:ascii="Arial" w:cs="Arial" w:eastAsia="Arial" w:hAnsi="Arial"/>
          <w:sz w:val="18"/>
          <w:szCs w:val="18"/>
          <w:u w:val="single" w:color="auto"/>
          <w:color w:val="auto"/>
        </w:rPr>
        <w:t>Plan</w:t>
      </w:r>
      <w:r>
        <w:rPr>
          <w:rFonts w:ascii="Arial" w:cs="Arial" w:eastAsia="Arial" w:hAnsi="Arial"/>
          <w:sz w:val="18"/>
          <w:szCs w:val="18"/>
          <w:color w:val="auto"/>
        </w:rPr>
        <w:t>”), to purchase the number of Shares indicated in the Grant Notce.</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Defned Terms</w:t>
      </w:r>
      <w:r>
        <w:rPr>
          <w:rFonts w:ascii="Arial" w:cs="Arial" w:eastAsia="Arial" w:hAnsi="Arial"/>
          <w:sz w:val="18"/>
          <w:szCs w:val="18"/>
          <w:color w:val="auto"/>
        </w:rPr>
        <w:t>. Capitalized terms not specifcally defned herein shall have the meanings specifed in the Plan and the Grant Notce.</w:t>
      </w:r>
    </w:p>
    <w:p>
      <w:pPr>
        <w:spacing w:after="0" w:line="212"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Incorporaton of Terms of Plan</w:t>
      </w:r>
      <w:r>
        <w:rPr>
          <w:rFonts w:ascii="Arial" w:cs="Arial" w:eastAsia="Arial" w:hAnsi="Arial"/>
          <w:sz w:val="20"/>
          <w:szCs w:val="20"/>
          <w:color w:val="auto"/>
        </w:rPr>
        <w:t>. The Opton is subject to the terms and conditons of the Plan which are incorporated herein by reference. In the event of any inconsistency between the Plan and this Agreement, the terms of the Plan shall control. If the Country Provisions apply to Partcipant, in the event of a confict between the terms of this Agreement, the Grant Notce and the Country Provisions, the terms of the Country Provisions shall control.</w:t>
      </w:r>
    </w:p>
    <w:p>
      <w:pPr>
        <w:spacing w:after="0" w:line="304"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OPTION</w:t>
      </w:r>
    </w:p>
    <w:p>
      <w:pPr>
        <w:spacing w:after="0" w:line="94"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 of Opton</w:t>
      </w:r>
      <w:r>
        <w:rPr>
          <w:rFonts w:ascii="Arial" w:cs="Arial" w:eastAsia="Arial" w:hAnsi="Arial"/>
          <w:sz w:val="20"/>
          <w:szCs w:val="20"/>
          <w:color w:val="auto"/>
        </w:rPr>
        <w:t>. Efectve as of the Grant Date set forth in the Grant Notce (the “</w:t>
      </w:r>
      <w:r>
        <w:rPr>
          <w:rFonts w:ascii="Arial" w:cs="Arial" w:eastAsia="Arial" w:hAnsi="Arial"/>
          <w:sz w:val="20"/>
          <w:szCs w:val="20"/>
          <w:u w:val="single" w:color="auto"/>
          <w:color w:val="auto"/>
        </w:rPr>
        <w:t>Grant Date</w:t>
      </w:r>
      <w:r>
        <w:rPr>
          <w:rFonts w:ascii="Arial" w:cs="Arial" w:eastAsia="Arial" w:hAnsi="Arial"/>
          <w:sz w:val="20"/>
          <w:szCs w:val="20"/>
          <w:color w:val="auto"/>
        </w:rPr>
        <w:t xml:space="preserve"> ”), the Company irrevocably grants to Partcipant the Opton to purchase any part or all of an aggregate of the number of Shares set forth in the Grant Notce, upon the terms and conditons set forth in the Plan, this Agreement, and the Country Provisions (if applicable), subject to adjustments as provided in Secton 12.2 of the Plan. Unless designated as a Non-Qualifed Stock Opton in the Grant Notce, the Opton shall be an Incentve Stock Opton to the maximum extent permited by law.</w:t>
      </w:r>
    </w:p>
    <w:p>
      <w:pPr>
        <w:spacing w:after="0" w:line="171"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Exercise Price</w:t>
      </w:r>
      <w:r>
        <w:rPr>
          <w:rFonts w:ascii="Arial" w:cs="Arial" w:eastAsia="Arial" w:hAnsi="Arial"/>
          <w:sz w:val="19"/>
          <w:szCs w:val="19"/>
          <w:color w:val="auto"/>
        </w:rPr>
        <w:t xml:space="preserve">. The exercise price of the Shares subject to the Opton shall be as set forth in the Grant Notce, without commission or other charge;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exercise price per share of the Shares subject to the Opton shall not be less than 100% of the Fair Market Value of a Share on the Grant Date. Notwithstanding the foregoing, if the Opton is designated as an Incentve Stock Opton and Partcipant is a Greater Than 10% Stockholder as of the Grant Date, the exercise price per share of the Shares subject to the Opton shall not be less than 110% of the Fair Market Value of a Share on the Grant Date.</w:t>
      </w:r>
    </w:p>
    <w:p>
      <w:pPr>
        <w:spacing w:after="0" w:line="290"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Commencement of Exercisability</w:t>
      </w:r>
      <w:r>
        <w:rPr>
          <w:rFonts w:ascii="Arial" w:cs="Arial" w:eastAsia="Arial" w:hAnsi="Arial"/>
          <w:sz w:val="20"/>
          <w:szCs w:val="20"/>
          <w:color w:val="auto"/>
        </w:rPr>
        <w:t>.</w:t>
      </w:r>
    </w:p>
    <w:p>
      <w:pPr>
        <w:spacing w:after="0" w:line="189" w:lineRule="exact"/>
        <w:rPr>
          <w:sz w:val="20"/>
          <w:szCs w:val="20"/>
          <w:color w:val="auto"/>
        </w:rPr>
      </w:pPr>
    </w:p>
    <w:p>
      <w:pPr>
        <w:ind w:firstLine="332"/>
        <w:spacing w:after="0" w:line="23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Subject to this Secton 3.1 and Sectons 3.2, 3.3, 5.13 and 5.20 hereof, the Opton shall become vested and exercisable in such amounts and at such tmes as are set forth in the Grant Notce.</w:t>
      </w:r>
    </w:p>
    <w:p>
      <w:pPr>
        <w:spacing w:after="0" w:line="155" w:lineRule="exact"/>
        <w:rPr>
          <w:rFonts w:ascii="Arial" w:cs="Arial" w:eastAsia="Arial" w:hAnsi="Arial"/>
          <w:sz w:val="20"/>
          <w:szCs w:val="20"/>
          <w:color w:val="auto"/>
        </w:rPr>
      </w:pPr>
    </w:p>
    <w:p>
      <w:pPr>
        <w:ind w:firstLine="332"/>
        <w:spacing w:after="0" w:line="23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No porton of the Opton which has not become vested and exercisable at the date of Partcipant’s Terminaton of Service shall thereafer become vested and exercisable, except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70" w:right="339" w:bottom="1440" w:gutter="0" w:footer="0" w:header="0"/>
        </w:sectPr>
      </w:pPr>
    </w:p>
    <w:bookmarkStart w:id="34" w:name="page35"/>
    <w:bookmarkEnd w:id="34"/>
    <w:p>
      <w:pPr>
        <w:spacing w:after="0" w:line="236" w:lineRule="auto"/>
        <w:rPr>
          <w:sz w:val="20"/>
          <w:szCs w:val="20"/>
          <w:color w:val="auto"/>
        </w:rPr>
      </w:pPr>
      <w:r>
        <w:rPr>
          <w:rFonts w:ascii="Arial" w:cs="Arial" w:eastAsia="Arial" w:hAnsi="Arial"/>
          <w:sz w:val="20"/>
          <w:szCs w:val="20"/>
          <w:color w:val="auto"/>
        </w:rPr>
        <w:t>otherwise provided by the Administrator or as set forth in a writen agreement between the Company (or any Subsidiary that is the employer of Partcipant) and Partcipant.</w:t>
      </w:r>
    </w:p>
    <w:p>
      <w:pPr>
        <w:spacing w:after="0" w:line="155" w:lineRule="exact"/>
        <w:rPr>
          <w:sz w:val="20"/>
          <w:szCs w:val="20"/>
          <w:color w:val="auto"/>
        </w:rPr>
      </w:pPr>
    </w:p>
    <w:p>
      <w:pPr>
        <w:ind w:firstLine="332"/>
        <w:spacing w:after="0" w:line="23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Notwithstanding Secton 3.1(a) hereof and the Grant Notce, but subject to Secton 3.1(b) hereof, in the event of a Change in Control, the Opton shall be treated pursuant to Secton 12.2 of the Plan.</w:t>
      </w:r>
    </w:p>
    <w:p>
      <w:pPr>
        <w:spacing w:after="0" w:line="169"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Duraton of Exercisability</w:t>
      </w:r>
      <w:r>
        <w:rPr>
          <w:rFonts w:ascii="Arial" w:cs="Arial" w:eastAsia="Arial" w:hAnsi="Arial"/>
          <w:sz w:val="20"/>
          <w:szCs w:val="20"/>
          <w:color w:val="auto"/>
        </w:rPr>
        <w:t>. The installments provided for in the vestng schedule set forth in the Grant Notce are cumulatve. Each such installment which becomes vested and exercisable pursuant to the vestng schedule set forth in the Grant Notce shall remain vested and exercisable untl it becomes unexercisable under Secton 3.3 hereof.</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Expiraton of Opton</w:t>
      </w:r>
      <w:r>
        <w:rPr>
          <w:rFonts w:ascii="Arial" w:cs="Arial" w:eastAsia="Arial" w:hAnsi="Arial"/>
          <w:sz w:val="19"/>
          <w:szCs w:val="19"/>
          <w:color w:val="auto"/>
        </w:rPr>
        <w:t>. The Opton may not be exercised to any extent by anyone afer the frst to occur of the following events:</w:t>
      </w:r>
    </w:p>
    <w:p>
      <w:pPr>
        <w:spacing w:after="0" w:line="187"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Expiraton Date set forth in the Grant Notce, which shall in no event be more than ten years from the Grant Date;</w:t>
      </w:r>
    </w:p>
    <w:p>
      <w:pPr>
        <w:spacing w:after="0" w:line="200" w:lineRule="exact"/>
        <w:rPr>
          <w:rFonts w:ascii="Arial" w:cs="Arial" w:eastAsia="Arial" w:hAnsi="Arial"/>
          <w:sz w:val="19"/>
          <w:szCs w:val="19"/>
          <w:color w:val="auto"/>
        </w:rPr>
      </w:pPr>
    </w:p>
    <w:p>
      <w:pPr>
        <w:ind w:firstLine="656"/>
        <w:spacing w:after="0" w:line="236" w:lineRule="auto"/>
        <w:tabs>
          <w:tab w:leader="none" w:pos="1296" w:val="left"/>
        </w:tabs>
        <w:numPr>
          <w:ilvl w:val="1"/>
          <w:numId w:val="7"/>
        </w:numPr>
        <w:rPr>
          <w:rFonts w:ascii="Arial" w:cs="Arial" w:eastAsia="Arial" w:hAnsi="Arial"/>
          <w:sz w:val="20"/>
          <w:szCs w:val="20"/>
          <w:color w:val="auto"/>
        </w:rPr>
      </w:pPr>
      <w:r>
        <w:rPr>
          <w:rFonts w:ascii="Arial" w:cs="Arial" w:eastAsia="Arial" w:hAnsi="Arial"/>
          <w:sz w:val="20"/>
          <w:szCs w:val="20"/>
          <w:color w:val="auto"/>
        </w:rPr>
        <w:t>If the Opton is designated as an Incentve Stock Opton and Partcipant, at the tme the Opton was granted, was a Greater Than 10% Stockholder, the expiraton of fve years from the Grant Date;</w:t>
      </w:r>
    </w:p>
    <w:p>
      <w:pPr>
        <w:spacing w:after="0" w:line="155" w:lineRule="exact"/>
        <w:rPr>
          <w:rFonts w:ascii="Arial" w:cs="Arial" w:eastAsia="Arial" w:hAnsi="Arial"/>
          <w:sz w:val="20"/>
          <w:szCs w:val="20"/>
          <w:color w:val="auto"/>
        </w:rPr>
      </w:pPr>
    </w:p>
    <w:p>
      <w:pPr>
        <w:ind w:firstLine="656"/>
        <w:spacing w:after="0" w:line="236" w:lineRule="auto"/>
        <w:tabs>
          <w:tab w:leader="none" w:pos="1296"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expiraton of three months from the date of Partcipant’s Terminaton of Service, unless such terminaton occurs by reason of Partcipant’s death, Disability, Retrement or Cause;</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expiraton of one year from the date of Partcipant’s Terminaton of Service by reason of Partcipant’s death;</w:t>
      </w:r>
    </w:p>
    <w:p>
      <w:pPr>
        <w:spacing w:after="0" w:line="175" w:lineRule="exact"/>
        <w:rPr>
          <w:rFonts w:ascii="Arial" w:cs="Arial" w:eastAsia="Arial" w:hAnsi="Arial"/>
          <w:sz w:val="20"/>
          <w:szCs w:val="20"/>
          <w:color w:val="auto"/>
        </w:rPr>
      </w:pPr>
    </w:p>
    <w:p>
      <w:pPr>
        <w:jc w:val="both"/>
        <w:ind w:firstLine="656"/>
        <w:spacing w:after="0" w:line="223" w:lineRule="auto"/>
        <w:tabs>
          <w:tab w:leader="none" w:pos="1296" w:val="left"/>
        </w:tabs>
        <w:numPr>
          <w:ilvl w:val="1"/>
          <w:numId w:val="7"/>
        </w:numPr>
        <w:rPr>
          <w:rFonts w:ascii="Arial" w:cs="Arial" w:eastAsia="Arial" w:hAnsi="Arial"/>
          <w:sz w:val="19"/>
          <w:szCs w:val="19"/>
          <w:color w:val="auto"/>
        </w:rPr>
      </w:pPr>
      <w:r>
        <w:rPr>
          <w:rFonts w:ascii="Arial" w:cs="Arial" w:eastAsia="Arial" w:hAnsi="Arial"/>
          <w:sz w:val="19"/>
          <w:szCs w:val="19"/>
          <w:color w:val="auto"/>
        </w:rPr>
        <w:t xml:space="preserve">The expiraton of three years from Partcipant’s Terminaton of Service by reason of Partcipant’s Disability or Retrement; </w:t>
      </w:r>
      <w:r>
        <w:rPr>
          <w:rFonts w:ascii="Arial" w:cs="Arial" w:eastAsia="Arial" w:hAnsi="Arial"/>
          <w:sz w:val="19"/>
          <w:szCs w:val="19"/>
          <w:i w:val="1"/>
          <w:iCs w:val="1"/>
          <w:color w:val="auto"/>
        </w:rPr>
        <w:t>provided</w:t>
      </w:r>
      <w:r>
        <w:rPr>
          <w:rFonts w:ascii="Arial" w:cs="Arial" w:eastAsia="Arial" w:hAnsi="Arial"/>
          <w:sz w:val="19"/>
          <w:szCs w:val="19"/>
          <w:color w:val="auto"/>
        </w:rPr>
        <w:t>, that if during such three-year period, Partcipant owns more than fve percent (5%) of the shares of outstanding common stock of</w:t>
      </w:r>
      <w:r>
        <w:rPr>
          <w:rFonts w:ascii="Arial" w:cs="Arial" w:eastAsia="Arial" w:hAnsi="Arial"/>
          <w:sz w:val="19"/>
          <w:szCs w:val="19"/>
          <w:i w:val="1"/>
          <w:iCs w:val="1"/>
          <w:color w:val="auto"/>
        </w:rPr>
        <w:t xml:space="preserve"> </w:t>
      </w:r>
      <w:r>
        <w:rPr>
          <w:rFonts w:ascii="Arial" w:cs="Arial" w:eastAsia="Arial" w:hAnsi="Arial"/>
          <w:sz w:val="19"/>
          <w:szCs w:val="19"/>
          <w:color w:val="auto"/>
        </w:rPr>
        <w:t>a compettor of the Company or provides services to such compettor, whether directly or indirectly as an employee, contractor, consultant, director, partner, member, or otherwise, then the Opton shall be forfeited and shall terminate and no longer be exercisable. For this purpose, a “compettor” of the Company shall mean any entty, trade or business that provides similar products or services as those provided by the Company and in the same markets as those provided by the Company at the tme of Partcipant’s Terminaton of Service and/or in which the Company had plans to provide products or services at the tme of Partcipant’s Terminaton of Service. In the event that Partcipant dies during the period in which the Opton remains exercisable under this Secton 3.3(e) afer Partcipant’s Terminaton of Service, the Opton may be exercised for a period of one (1) year afer the date of Partcipant’s death; or</w:t>
      </w:r>
    </w:p>
    <w:p>
      <w:pPr>
        <w:spacing w:after="0" w:line="170" w:lineRule="exact"/>
        <w:rPr>
          <w:rFonts w:ascii="Arial" w:cs="Arial" w:eastAsia="Arial" w:hAnsi="Arial"/>
          <w:sz w:val="19"/>
          <w:szCs w:val="19"/>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Partcipant’s Terminaton of Service for Cause.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Terminaton of Service</w:t>
      </w:r>
      <w:r>
        <w:rPr>
          <w:rFonts w:ascii="Arial" w:cs="Arial" w:eastAsia="Arial" w:hAnsi="Arial"/>
          <w:sz w:val="20"/>
          <w:szCs w:val="20"/>
          <w:color w:val="auto"/>
        </w:rPr>
        <w:t>.</w:t>
      </w:r>
    </w:p>
    <w:p>
      <w:pPr>
        <w:spacing w:after="0" w:line="175" w:lineRule="exact"/>
        <w:rPr>
          <w:sz w:val="20"/>
          <w:szCs w:val="20"/>
          <w:color w:val="auto"/>
        </w:rPr>
      </w:pPr>
    </w:p>
    <w:p>
      <w:pPr>
        <w:jc w:val="both"/>
        <w:ind w:firstLine="656"/>
        <w:spacing w:after="0" w:line="237"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Notwithstanding any contrary provision of this Agreement or the Plan, except as otherwise provided by the Administrator, upon Partcipant’s Terminaton of Service for any or no reason (and whether or not later found to be invalid or in breach of employment laws in the jurisdicton where Partcipant is employed), any porton of the Opton that has not vested and become exercisable prior to or in connecton with such Terminaton of Service shall automatcally be forfeited, terminated and cancelled as of the applicable terminaton date without payment of any consideraton by the Company, and Partcipant, or Partcipant’s benefciary or personal representatve, as the case may be, shall have no further rights under this Agreement. No porton of the Opton that has not become vested as of the date on which Partcipant incurs a Terminaton of Service shall thereafer become vested, except as may otherwise be provided by the Administrator or as set forth in a writen agreement between the Company (or any Subsidiary that is the employer of Partcipant) and Partcipant.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370" w:right="339" w:bottom="1440" w:gutter="0" w:footer="0" w:header="0"/>
        </w:sectPr>
      </w:pPr>
    </w:p>
    <w:bookmarkStart w:id="35" w:name="page36"/>
    <w:bookmarkEnd w:id="35"/>
    <w:p>
      <w:pPr>
        <w:jc w:val="both"/>
        <w:ind w:firstLine="656"/>
        <w:spacing w:after="0" w:line="225" w:lineRule="auto"/>
        <w:tabs>
          <w:tab w:leader="none" w:pos="1296" w:val="left"/>
        </w:tabs>
        <w:numPr>
          <w:ilvl w:val="0"/>
          <w:numId w:val="10"/>
        </w:numPr>
        <w:rPr>
          <w:rFonts w:ascii="Arial" w:cs="Arial" w:eastAsia="Arial" w:hAnsi="Arial"/>
          <w:sz w:val="19"/>
          <w:szCs w:val="19"/>
          <w:color w:val="auto"/>
        </w:rPr>
      </w:pPr>
      <w:r>
        <w:rPr>
          <w:rFonts w:ascii="Arial" w:cs="Arial" w:eastAsia="Arial" w:hAnsi="Arial"/>
          <w:sz w:val="19"/>
          <w:szCs w:val="19"/>
          <w:color w:val="auto"/>
        </w:rPr>
        <w:t>For purposes of the Opton, Partcipant’s Terminaton of Service will be considered to occur on the date Partcipant is no longer actvely providing services to the Company or any Subsidiary, and unless otherwise expressly provided in this Agreement or determined by the Administrator, Partcipant’s right to vest in the Opton under the Plan, if any, will terminate as of such date and will not be extended by any notce period (e.g., Partcipant’s period of service would not include any contractual notce period or any period of “garden leave” or similar period mandated under employment laws in the jurisdicton where Partcipant is employed). The Company shall have the discreton to determine when Partcipant is no longer actvely providing services for purposes of Partcipant’s Opton (including whether Partcipant may stll be considered to be providing services while on a leave of absence).</w:t>
      </w:r>
    </w:p>
    <w:p>
      <w:pPr>
        <w:spacing w:after="0" w:line="17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Special Tax Consequences</w:t>
      </w:r>
      <w:r>
        <w:rPr>
          <w:rFonts w:ascii="Arial" w:cs="Arial" w:eastAsia="Arial" w:hAnsi="Arial"/>
          <w:sz w:val="18"/>
          <w:szCs w:val="18"/>
          <w:color w:val="auto"/>
        </w:rPr>
        <w:t>. Partcipant acknowledges that, to the extent that the aggregate Fair Market Value (determined as of the tme the Opton is granted) of all Shares with respect to which Incentve Stock Optons, including the Opton (if applicable), are exercisable for the frst tme by Partcipant in any calendar year exceeds $100,000, the Opton and such other optons shall be Non-Qualifed Stock Optons to the extent necessary to comply with the limitatons imposed by Secton 422(d) of the Code. Partcipant further acknowledges that the rule set forth in the preceding sentence shall be applied by taking the Opton and other “incentve stock optons” into account in the order in which they were granted, as determined under Secton 422(d) of the Code and the Treasury Regulatons thereunder. Partcipant also acknowledges that an Incentve Stock Opton exercised more than three months afer Partcipant’s terminaton of employment with the Company and its Subsidiaries, other than by reason of death or Disability, will be taxed as a Non-Qualifed Stock Opton.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Taxes</w:t>
      </w:r>
      <w:r>
        <w:rPr>
          <w:rFonts w:ascii="Arial" w:cs="Arial" w:eastAsia="Arial" w:hAnsi="Arial"/>
          <w:sz w:val="20"/>
          <w:szCs w:val="20"/>
          <w:color w:val="auto"/>
        </w:rPr>
        <w:t>.</w:t>
      </w:r>
    </w:p>
    <w:p>
      <w:pPr>
        <w:spacing w:after="0" w:line="189" w:lineRule="exact"/>
        <w:rPr>
          <w:sz w:val="20"/>
          <w:szCs w:val="20"/>
          <w:color w:val="auto"/>
        </w:rPr>
      </w:pPr>
    </w:p>
    <w:p>
      <w:pPr>
        <w:jc w:val="both"/>
        <w:ind w:firstLine="656"/>
        <w:spacing w:after="0" w:line="235"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Partcipant acknowledges that, regardless of any acton taken by the Company or, if diferent, Partcipant’s employer (the “</w:t>
      </w:r>
      <w:r>
        <w:rPr>
          <w:rFonts w:ascii="Arial" w:cs="Arial" w:eastAsia="Arial" w:hAnsi="Arial"/>
          <w:sz w:val="18"/>
          <w:szCs w:val="18"/>
          <w:u w:val="single" w:color="auto"/>
          <w:color w:val="auto"/>
        </w:rPr>
        <w:t>Employer</w:t>
      </w:r>
      <w:r>
        <w:rPr>
          <w:rFonts w:ascii="Arial" w:cs="Arial" w:eastAsia="Arial" w:hAnsi="Arial"/>
          <w:sz w:val="18"/>
          <w:szCs w:val="18"/>
          <w:color w:val="auto"/>
        </w:rPr>
        <w:t>”), the ultmate liability for all Tax-Related Items is and remains Partcipant’s responsibility and may exceed the amount (if any) actually withheld by the Company or the Employer. Partcipant further acknowledges that the Company and/or the Employer (i) make no representatons or undertakings regarding the treatment of any Tax-Related Items in connecton with any aspect of the Opton, including, but not limited to, the grant, vestng, exercise or setlement of the Opton, the subsequent sale or disposal of Shares and the receipt of any dividends; and (ii) do not commit to and are under no obligaton to structure the terms of the grant of the Opton or any aspect of the Opton to reduce or eliminate Partcipant’s liability for Tax-Related Items or achieve any partcular tax result. Further, if Partcipant is subject to Tax-Related Items in more than one jurisdicton, Partcipant acknowledges that the Company and/or the Employer (or former employer, as applicable) may be required to withhold or account for Tax-Related Items in more than one jurisdicton.</w:t>
      </w:r>
    </w:p>
    <w:p>
      <w:pPr>
        <w:spacing w:after="0" w:line="160" w:lineRule="exact"/>
        <w:rPr>
          <w:rFonts w:ascii="Arial" w:cs="Arial" w:eastAsia="Arial" w:hAnsi="Arial"/>
          <w:sz w:val="18"/>
          <w:szCs w:val="18"/>
          <w:color w:val="auto"/>
        </w:rPr>
      </w:pPr>
    </w:p>
    <w:p>
      <w:pPr>
        <w:jc w:val="both"/>
        <w:ind w:firstLine="656"/>
        <w:spacing w:after="0" w:line="235"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Prior to any relevant taxable or tax withholding event, as applicable, Partcipant will pay or make adequate arrangements satsfactory to the Company and/or the Employer to satsfy all Tax-Related Items. In this regard, Partcipant authorizes the Company and/or the Employer, or their respectve agents, at their discreton, to withhold any and all Tax-Related Items by one or a combinaton of the following: (i) deductng an amount sufcient to satsfy such withholding obligaton from any payment of any kind otherwise due to Partcipant; (ii) acceptng a payment from Partcipant in cash, by wire transfer of immediately available funds, or by check made payable to the order of the Company or a Subsidiary, as applicable; (iii) acceptng the delivery of Shares, including Shares delivered by atestaton; (iv) retaining Shares from setlement of the Opton; (v) if there is a public market for Shares at the tme the withholding obligaton for Tax-Related Items is to be satsfed, selling Shares issued pursuant to the Opton, either voluntarily by Partcipant or mandatorily by the Company; (vi) acceptng delivery of a promissory note or any other lawful consideraton; and/or (vii) any other method of withholding determined by the Company and to the extent required by Applicable Law or the Plan, approved by the Administrator.</w:t>
      </w:r>
    </w:p>
    <w:p>
      <w:pPr>
        <w:spacing w:after="0" w:line="173" w:lineRule="exact"/>
        <w:rPr>
          <w:rFonts w:ascii="Arial" w:cs="Arial" w:eastAsia="Arial" w:hAnsi="Arial"/>
          <w:sz w:val="18"/>
          <w:szCs w:val="18"/>
          <w:color w:val="auto"/>
        </w:rPr>
      </w:pPr>
    </w:p>
    <w:p>
      <w:pPr>
        <w:jc w:val="both"/>
        <w:ind w:firstLine="656"/>
        <w:spacing w:after="0" w:line="231" w:lineRule="auto"/>
        <w:tabs>
          <w:tab w:leader="none" w:pos="129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Withholding Rates</w:t>
      </w:r>
      <w:r>
        <w:rPr>
          <w:rFonts w:ascii="Arial" w:cs="Arial" w:eastAsia="Arial" w:hAnsi="Arial"/>
          <w:sz w:val="19"/>
          <w:szCs w:val="19"/>
          <w:color w:val="auto"/>
        </w:rPr>
        <w:t>. The Company may withhold or account for Tax-Related Items by considering statutory or other withholding rates, including minimum or maximum rates applicable in Partcipant’s jurisdicton(s). In the event of over-withholding, Partcipant may be able to receive a refund of any over-withheld amount in cash (with no enttlement to the equivalent in Common Stock), or if not refunded, Partcipant may be able to seek a refund from the local tax authorites. In the event of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370" w:right="339" w:bottom="1440" w:gutter="0" w:footer="0" w:header="0"/>
        </w:sectPr>
      </w:pPr>
    </w:p>
    <w:bookmarkStart w:id="36" w:name="page37"/>
    <w:bookmarkEnd w:id="36"/>
    <w:p>
      <w:pPr>
        <w:jc w:val="both"/>
        <w:spacing w:after="0" w:line="220" w:lineRule="auto"/>
        <w:rPr>
          <w:sz w:val="20"/>
          <w:szCs w:val="20"/>
          <w:color w:val="auto"/>
        </w:rPr>
      </w:pPr>
      <w:r>
        <w:rPr>
          <w:rFonts w:ascii="Arial" w:cs="Arial" w:eastAsia="Arial" w:hAnsi="Arial"/>
          <w:sz w:val="20"/>
          <w:szCs w:val="20"/>
          <w:color w:val="auto"/>
        </w:rPr>
        <w:t>withholding, Partcipant may be required to pay any additonal Tax-Related Items directly to the applicable tax authority or to the Company and/or the Employer. If the obligaton for Tax-Related Items is satsfed by withholding in Shares, for tax purposes, Partcipant will be deemed to have been issued the full number of Shares subject to the Opton, notwithstanding that a number of the Shares is held back solely for the purpose of paying the Tax-Related Items.</w:t>
      </w:r>
    </w:p>
    <w:p>
      <w:pPr>
        <w:spacing w:after="0" w:line="169" w:lineRule="exact"/>
        <w:rPr>
          <w:sz w:val="20"/>
          <w:szCs w:val="20"/>
          <w:color w:val="auto"/>
        </w:rPr>
      </w:pPr>
    </w:p>
    <w:p>
      <w:pPr>
        <w:jc w:val="both"/>
        <w:ind w:firstLine="656"/>
        <w:spacing w:after="0" w:line="220"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Company’s Obligaton to Deliver Shares</w:t>
      </w:r>
      <w:r>
        <w:rPr>
          <w:rFonts w:ascii="Arial" w:cs="Arial" w:eastAsia="Arial" w:hAnsi="Arial"/>
          <w:sz w:val="20"/>
          <w:szCs w:val="20"/>
          <w:color w:val="auto"/>
        </w:rPr>
        <w:t>. The Company shall not be obligated to deliver any Shares to Partcipant or Partcipant’s legal representatve unless and untl Partcipant or Partcipant’s legal representatve shall have paid or otherwise satsfed in full the amount of all Tax-Related Items applicable to the taxable income of Partcipant resultng from the grant, vestng or exercise of the Opton or the issuance of Shares.</w:t>
      </w:r>
    </w:p>
    <w:p>
      <w:pPr>
        <w:spacing w:after="0" w:line="291"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94"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Except as provided in Secton 5.3 hereof, during the lifetme of Partcipant, only Partcipant may exercise the Opton or any porton thereof, unless it has been disposed of pursuant to a DRO. Afer the death of Partcipant, any exercisable porton of the Opton may, prior to the tme when the Opton becomes unexercisable under Secton 3.3 hereof, be exercised by the deceased Partcipant’s personal representatve or by any person empowered to do so under the deceased Partcipant’s will or under the then applicable laws of descent and distributon.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Exercise</w:t>
      </w:r>
      <w:r>
        <w:rPr>
          <w:rFonts w:ascii="Arial" w:cs="Arial" w:eastAsia="Arial" w:hAnsi="Arial"/>
          <w:sz w:val="20"/>
          <w:szCs w:val="20"/>
          <w:color w:val="auto"/>
        </w:rPr>
        <w:t>.</w:t>
      </w:r>
    </w:p>
    <w:p>
      <w:pPr>
        <w:spacing w:after="0" w:line="175" w:lineRule="exact"/>
        <w:rPr>
          <w:sz w:val="20"/>
          <w:szCs w:val="20"/>
          <w:color w:val="auto"/>
        </w:rPr>
      </w:pPr>
    </w:p>
    <w:p>
      <w:pPr>
        <w:jc w:val="both"/>
        <w:ind w:left="180" w:firstLine="638"/>
        <w:spacing w:after="0" w:line="227" w:lineRule="auto"/>
        <w:tabs>
          <w:tab w:leader="none" w:pos="1314"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Any exercisable porton of the Opton or the entre Opton, if then wholly exercisable, may be exercised in whole or in part at any tme prior to the tme when the Opton or porton thereof becomes unexercisable under Secton 3.3 hereof. However, the Opton shall not be exercisable with respect to fractonal Shares.</w:t>
      </w:r>
    </w:p>
    <w:p>
      <w:pPr>
        <w:spacing w:after="0" w:line="157" w:lineRule="exact"/>
        <w:rPr>
          <w:rFonts w:ascii="Arial" w:cs="Arial" w:eastAsia="Arial" w:hAnsi="Arial"/>
          <w:sz w:val="20"/>
          <w:szCs w:val="20"/>
          <w:color w:val="auto"/>
        </w:rPr>
      </w:pPr>
    </w:p>
    <w:p>
      <w:pPr>
        <w:ind w:left="180" w:firstLine="638"/>
        <w:spacing w:after="0" w:line="236" w:lineRule="auto"/>
        <w:tabs>
          <w:tab w:leader="none" w:pos="1314" w:val="left"/>
        </w:tabs>
        <w:numPr>
          <w:ilvl w:val="0"/>
          <w:numId w:val="13"/>
        </w:numPr>
        <w:rPr>
          <w:rFonts w:ascii="Arial" w:cs="Arial" w:eastAsia="Arial" w:hAnsi="Arial"/>
          <w:sz w:val="20"/>
          <w:szCs w:val="20"/>
          <w:color w:val="auto"/>
        </w:rPr>
      </w:pPr>
      <w:r>
        <w:rPr>
          <w:rFonts w:ascii="Arial" w:cs="Arial" w:eastAsia="Arial" w:hAnsi="Arial"/>
          <w:sz w:val="20"/>
          <w:szCs w:val="20"/>
          <w:color w:val="auto"/>
        </w:rPr>
        <w:t>Except as otherwise provided in the Appendix or as determined by the Administrator, the Opton may be exercised automatcally on the Automatc Exercise Date in accordance with Secton 6.3 of the Plan.</w:t>
      </w:r>
    </w:p>
    <w:p>
      <w:pPr>
        <w:spacing w:after="0" w:line="169"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Manner of Exercise</w:t>
      </w:r>
      <w:r>
        <w:rPr>
          <w:rFonts w:ascii="Arial" w:cs="Arial" w:eastAsia="Arial" w:hAnsi="Arial"/>
          <w:sz w:val="20"/>
          <w:szCs w:val="20"/>
          <w:color w:val="auto"/>
        </w:rPr>
        <w:t>. The Opton, or any exercisable porton thereof, may be exercised solely by delivery to the Secretary of the Company (or any third party administrator or other person or entty designated by the Company; for the avoidance of doubt, delivery shall include electronic delivery), during regular business hours, of all of the following prior to the tme when the Opton or such porton thereof becomes unexercisable under Secton 3.3 hereof:</w:t>
      </w:r>
    </w:p>
    <w:p>
      <w:pPr>
        <w:spacing w:after="0" w:line="171" w:lineRule="exact"/>
        <w:rPr>
          <w:sz w:val="20"/>
          <w:szCs w:val="20"/>
          <w:color w:val="auto"/>
        </w:rPr>
      </w:pPr>
    </w:p>
    <w:p>
      <w:pPr>
        <w:jc w:val="both"/>
        <w:ind w:firstLine="656"/>
        <w:spacing w:after="0" w:line="223" w:lineRule="auto"/>
        <w:tabs>
          <w:tab w:leader="none" w:pos="12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 exercise notce in a form specifed by the Administrator, statng that the Opton or porton thereof is thereby exercised, such notce complying with all applicable rules established by the Administrator. The notce shall be signed by Partcipant or other person then enttled to exercise the Opton or such porton of the Opton;</w:t>
      </w:r>
    </w:p>
    <w:p>
      <w:pPr>
        <w:spacing w:after="0" w:line="168" w:lineRule="exact"/>
        <w:rPr>
          <w:rFonts w:ascii="Arial" w:cs="Arial" w:eastAsia="Arial" w:hAnsi="Arial"/>
          <w:sz w:val="20"/>
          <w:szCs w:val="20"/>
          <w:color w:val="auto"/>
        </w:rPr>
      </w:pPr>
    </w:p>
    <w:p>
      <w:pPr>
        <w:jc w:val="both"/>
        <w:ind w:firstLine="656"/>
        <w:spacing w:after="0" w:line="235" w:lineRule="auto"/>
        <w:tabs>
          <w:tab w:leader="none" w:pos="129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receipt by the Company of full payment for the Shares with respect to which the Opton or porton thereof is exercised, including payment of any applicable Tax-Related Items, which shall be made by deducton from other compensaton payable to Partcipant or in such other form of consideraton permited under Secton 4.4 hereof that is acceptable to the Company;</w:t>
      </w:r>
    </w:p>
    <w:p>
      <w:pPr>
        <w:spacing w:after="0" w:line="168" w:lineRule="exact"/>
        <w:rPr>
          <w:rFonts w:ascii="Arial" w:cs="Arial" w:eastAsia="Arial" w:hAnsi="Arial"/>
          <w:sz w:val="19"/>
          <w:szCs w:val="19"/>
          <w:color w:val="auto"/>
        </w:rPr>
      </w:pPr>
    </w:p>
    <w:p>
      <w:pPr>
        <w:ind w:firstLine="656"/>
        <w:spacing w:after="0" w:line="236" w:lineRule="auto"/>
        <w:tabs>
          <w:tab w:leader="none" w:pos="12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other writen representatons or documents as may be required in the Administrator’s sole discreton to evidence compliance with the Securites Act, the Exchange Act or any other Applicable Law; and</w:t>
      </w:r>
    </w:p>
    <w:p>
      <w:pPr>
        <w:spacing w:after="0" w:line="155" w:lineRule="exact"/>
        <w:rPr>
          <w:rFonts w:ascii="Arial" w:cs="Arial" w:eastAsia="Arial" w:hAnsi="Arial"/>
          <w:sz w:val="20"/>
          <w:szCs w:val="20"/>
          <w:color w:val="auto"/>
        </w:rPr>
      </w:pPr>
    </w:p>
    <w:p>
      <w:pPr>
        <w:ind w:firstLine="656"/>
        <w:spacing w:after="0" w:line="236" w:lineRule="auto"/>
        <w:tabs>
          <w:tab w:leader="none" w:pos="12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the event the Opton or porton thereof shall be exercised pursuant to Secton 4.1 hereof by any person or persons other than Partcipant, appropriate proof of the right of such person or persons to exercise the Opton.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370" w:right="339" w:bottom="1440" w:gutter="0" w:footer="0" w:header="0"/>
        </w:sectPr>
      </w:pPr>
    </w:p>
    <w:bookmarkStart w:id="37" w:name="page38"/>
    <w:bookmarkEnd w:id="37"/>
    <w:p>
      <w:pPr>
        <w:spacing w:after="0" w:line="236" w:lineRule="auto"/>
        <w:rPr>
          <w:sz w:val="20"/>
          <w:szCs w:val="20"/>
          <w:color w:val="auto"/>
        </w:rPr>
      </w:pPr>
      <w:r>
        <w:rPr>
          <w:rFonts w:ascii="Arial" w:cs="Arial" w:eastAsia="Arial" w:hAnsi="Arial"/>
          <w:sz w:val="20"/>
          <w:szCs w:val="20"/>
          <w:color w:val="auto"/>
        </w:rPr>
        <w:t>Notwithstanding any of the foregoing, the Company shall have the right to specify all conditons of the manner of exercise, which conditons may vary by country and which may be subject to change from tme to tme.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Method of Payment</w:t>
      </w:r>
      <w:r>
        <w:rPr>
          <w:rFonts w:ascii="Arial" w:cs="Arial" w:eastAsia="Arial" w:hAnsi="Arial"/>
          <w:sz w:val="19"/>
          <w:szCs w:val="19"/>
          <w:color w:val="auto"/>
        </w:rPr>
        <w:t>. Payment of the exercise price shall be by any of the following, or a combinaton thereof, at the electon of</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Partcipant:</w:t>
      </w:r>
    </w:p>
    <w:p>
      <w:pPr>
        <w:spacing w:after="0" w:line="16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Cash or check;</w:t>
      </w:r>
    </w:p>
    <w:p>
      <w:pPr>
        <w:spacing w:after="0" w:line="175" w:lineRule="exact"/>
        <w:rPr>
          <w:rFonts w:ascii="Arial" w:cs="Arial" w:eastAsia="Arial" w:hAnsi="Arial"/>
          <w:sz w:val="20"/>
          <w:szCs w:val="20"/>
          <w:color w:val="auto"/>
        </w:rPr>
      </w:pPr>
    </w:p>
    <w:p>
      <w:pPr>
        <w:jc w:val="both"/>
        <w:ind w:firstLine="656"/>
        <w:spacing w:after="0" w:line="220" w:lineRule="auto"/>
        <w:tabs>
          <w:tab w:leader="none" w:pos="1296" w:val="left"/>
        </w:tabs>
        <w:numPr>
          <w:ilvl w:val="0"/>
          <w:numId w:val="15"/>
        </w:numPr>
        <w:rPr>
          <w:rFonts w:ascii="Arial" w:cs="Arial" w:eastAsia="Arial" w:hAnsi="Arial"/>
          <w:sz w:val="20"/>
          <w:szCs w:val="20"/>
          <w:color w:val="auto"/>
        </w:rPr>
      </w:pPr>
      <w:r>
        <w:rPr>
          <w:rFonts w:ascii="Arial" w:cs="Arial" w:eastAsia="Arial" w:hAnsi="Arial"/>
          <w:sz w:val="20"/>
          <w:szCs w:val="20"/>
          <w:color w:val="auto"/>
        </w:rPr>
        <w:t>With the consent of the Administrator, surrender of Shares (including, without limitaton, Shares otherwise issuable upon exercise of the Opton) held for such period of tme as may be required by the Administrator in order to avoid adverse accountng consequences and having a Fair Market Value on the date of delivery equal to the aggregate exercise price of the Opton or exercised porton thereof; or</w:t>
      </w:r>
    </w:p>
    <w:p>
      <w:pPr>
        <w:spacing w:after="0" w:line="169" w:lineRule="exact"/>
        <w:rPr>
          <w:rFonts w:ascii="Arial" w:cs="Arial" w:eastAsia="Arial" w:hAnsi="Arial"/>
          <w:sz w:val="20"/>
          <w:szCs w:val="20"/>
          <w:color w:val="auto"/>
        </w:rPr>
      </w:pPr>
    </w:p>
    <w:p>
      <w:pPr>
        <w:jc w:val="both"/>
        <w:ind w:firstLine="656"/>
        <w:spacing w:after="0" w:line="218" w:lineRule="auto"/>
        <w:tabs>
          <w:tab w:leader="none" w:pos="1296"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Other legal consideraton acceptable to the Administrator (including, without limitaton, through the delivery of a notce that Partcipant has placed a market sell order with a broker with respect to Shares then issuable upon exercise of the Opton, and that the broker has been directed to pay a sufcient porton of the net proceeds of the sale to the Company in satsfacton of the Opton exercise price;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at such tme as may be required by the Company, but in any event not later than the setlement of such sale).</w:t>
      </w:r>
    </w:p>
    <w:p>
      <w:pPr>
        <w:spacing w:after="0" w:line="157"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Conditons to Issuance of Shares</w:t>
      </w:r>
      <w:r>
        <w:rPr>
          <w:rFonts w:ascii="Arial" w:cs="Arial" w:eastAsia="Arial" w:hAnsi="Arial"/>
          <w:sz w:val="19"/>
          <w:szCs w:val="19"/>
          <w:color w:val="auto"/>
        </w:rPr>
        <w:t>. The Shares deliverable upon the exercise of the Opton, or any porton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Opton or porton thereof prior to fulfllment of all of the conditons in Secton 10.4 of the Plan and the following conditons:</w:t>
      </w:r>
    </w:p>
    <w:p>
      <w:pPr>
        <w:spacing w:after="0" w:line="17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admission of such Shares to listng on all stock exchanges on which such Shares are then listed;</w:t>
      </w:r>
    </w:p>
    <w:p>
      <w:pPr>
        <w:spacing w:after="0" w:line="175" w:lineRule="exact"/>
        <w:rPr>
          <w:rFonts w:ascii="Arial" w:cs="Arial" w:eastAsia="Arial" w:hAnsi="Arial"/>
          <w:sz w:val="20"/>
          <w:szCs w:val="20"/>
          <w:color w:val="auto"/>
        </w:rPr>
      </w:pPr>
    </w:p>
    <w:p>
      <w:pPr>
        <w:jc w:val="both"/>
        <w:ind w:firstLine="656"/>
        <w:spacing w:after="0" w:line="227" w:lineRule="auto"/>
        <w:tabs>
          <w:tab w:leader="none" w:pos="129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completon of any registraton or other qualifcaton of such Shares under any U.S. or non-U.S. state or federal law or under rulings or regulatons of the U.S. Securites and Exchange Commission or of any other governmental regulatory body, which the Administrator shall, in its absolute discreton, deem necessary or advisable;</w:t>
      </w:r>
    </w:p>
    <w:p>
      <w:pPr>
        <w:spacing w:after="0" w:line="157" w:lineRule="exact"/>
        <w:rPr>
          <w:rFonts w:ascii="Arial" w:cs="Arial" w:eastAsia="Arial" w:hAnsi="Arial"/>
          <w:sz w:val="20"/>
          <w:szCs w:val="20"/>
          <w:color w:val="auto"/>
        </w:rPr>
      </w:pPr>
    </w:p>
    <w:p>
      <w:pPr>
        <w:ind w:firstLine="656"/>
        <w:spacing w:after="0" w:line="236" w:lineRule="auto"/>
        <w:tabs>
          <w:tab w:leader="none" w:pos="129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obtaining of any approval or other clearance from any U.S. or non-U.S. state or federal governmental agency which the Administrator shall, in its absolute discreton, determine to be necessary or advisable;</w:t>
      </w:r>
    </w:p>
    <w:p>
      <w:pPr>
        <w:spacing w:after="0" w:line="168" w:lineRule="exact"/>
        <w:rPr>
          <w:rFonts w:ascii="Arial" w:cs="Arial" w:eastAsia="Arial" w:hAnsi="Arial"/>
          <w:sz w:val="20"/>
          <w:szCs w:val="20"/>
          <w:color w:val="auto"/>
        </w:rPr>
      </w:pPr>
    </w:p>
    <w:p>
      <w:pPr>
        <w:ind w:firstLine="656"/>
        <w:spacing w:after="0" w:line="229" w:lineRule="auto"/>
        <w:tabs>
          <w:tab w:leader="none" w:pos="129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receipt by the Company of full payment for such Shares, including payment of any applicable Tax-Related Items, which may be in one or more of the forms of consideraton permited under Secton 4.4 hereof; and</w:t>
      </w:r>
    </w:p>
    <w:p>
      <w:pPr>
        <w:spacing w:after="0" w:line="168" w:lineRule="exact"/>
        <w:rPr>
          <w:rFonts w:ascii="Arial" w:cs="Arial" w:eastAsia="Arial" w:hAnsi="Arial"/>
          <w:sz w:val="20"/>
          <w:szCs w:val="20"/>
          <w:color w:val="auto"/>
        </w:rPr>
      </w:pPr>
    </w:p>
    <w:p>
      <w:pPr>
        <w:ind w:firstLine="656"/>
        <w:spacing w:after="0" w:line="236" w:lineRule="auto"/>
        <w:tabs>
          <w:tab w:leader="none" w:pos="129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lapse of such reasonable period of tme following the exercise of the Opton as the Administrator may from tme to tme establish for reasons of administratve convenience.</w:t>
      </w:r>
    </w:p>
    <w:p>
      <w:pPr>
        <w:spacing w:after="0" w:line="1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Partcipant’s Representatons</w:t>
      </w:r>
      <w:r>
        <w:rPr>
          <w:rFonts w:ascii="Arial" w:cs="Arial" w:eastAsia="Arial" w:hAnsi="Arial"/>
          <w:sz w:val="18"/>
          <w:szCs w:val="18"/>
          <w:color w:val="auto"/>
        </w:rPr>
        <w:t>. If the Shares issuable hereunder have not been registered under the Securites Act or any applicable state laws on an efectve registraton statement at the tme of exercise, Partcipant shall, if required by the Company, concurrently with such exercise, make such writen representatons as are deemed necessary or appropriate by the Company or its counsel.</w:t>
      </w:r>
    </w:p>
    <w:p>
      <w:pPr>
        <w:spacing w:after="0" w:line="14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The holder of the Opton shall not be, nor have any of the rights or privileges of, a stockholder of the Company, including, without limitaton, votng rights and rights to dividends, in respect of any Shares purchasable upon the exercise of any part of the Opton unless and untl such Shares shall have been issued by the Company and held of record by such holder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370" w:right="339" w:bottom="1440" w:gutter="0" w:footer="0" w:header="0"/>
        </w:sectPr>
      </w:pPr>
    </w:p>
    <w:bookmarkStart w:id="38" w:name="page39"/>
    <w:bookmarkEnd w:id="38"/>
    <w:p>
      <w:pPr>
        <w:jc w:val="both"/>
        <w:spacing w:after="0" w:line="223" w:lineRule="auto"/>
        <w:rPr>
          <w:sz w:val="20"/>
          <w:szCs w:val="20"/>
          <w:color w:val="auto"/>
        </w:rPr>
      </w:pPr>
      <w:r>
        <w:rPr>
          <w:rFonts w:ascii="Arial" w:cs="Arial" w:eastAsia="Arial" w:hAnsi="Arial"/>
          <w:sz w:val="20"/>
          <w:szCs w:val="20"/>
          <w:color w:val="auto"/>
        </w:rPr>
        <w:t>evidenced by the appropriate entry on the books of the Company or of a duly authorized transfer agent of the Company). No adjustment will be made for a dividend or other right for which the record date is prior to the date the Shares are issued, except as provided in Secton 12.2 of the Plan.</w:t>
      </w:r>
    </w:p>
    <w:p>
      <w:pPr>
        <w:spacing w:after="0" w:line="304"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OTHER PROVISIONS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Nature of Grant</w:t>
      </w:r>
      <w:r>
        <w:rPr>
          <w:rFonts w:ascii="Arial" w:cs="Arial" w:eastAsia="Arial" w:hAnsi="Arial"/>
          <w:sz w:val="20"/>
          <w:szCs w:val="20"/>
          <w:color w:val="auto"/>
        </w:rPr>
        <w:t>. By acceptng the Opton, Partcipant acknowledges, understands, and agrees that:</w:t>
      </w:r>
    </w:p>
    <w:p>
      <w:pPr>
        <w:spacing w:after="0" w:line="189" w:lineRule="exact"/>
        <w:rPr>
          <w:sz w:val="20"/>
          <w:szCs w:val="20"/>
          <w:color w:val="auto"/>
        </w:rPr>
      </w:pPr>
    </w:p>
    <w:p>
      <w:pPr>
        <w:ind w:firstLine="656"/>
        <w:spacing w:after="0" w:line="229"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discretonary in nature, and may be amended, suspended or terminated by the Company at any tme, to the extent permited by the Plan;</w:t>
      </w:r>
    </w:p>
    <w:p>
      <w:pPr>
        <w:spacing w:after="0" w:line="168" w:lineRule="exact"/>
        <w:rPr>
          <w:rFonts w:ascii="Arial" w:cs="Arial" w:eastAsia="Arial" w:hAnsi="Arial"/>
          <w:sz w:val="20"/>
          <w:szCs w:val="20"/>
          <w:color w:val="auto"/>
        </w:rPr>
      </w:pPr>
    </w:p>
    <w:p>
      <w:pPr>
        <w:ind w:firstLine="656"/>
        <w:spacing w:after="0" w:line="236"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grant of the Opton is exceptonal, voluntary and occasional and does not create any contractual or other right to receive future grants of optons, or benefts in lieu of optons, even if optons have been granted in the past;</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all decisions with respect to future opton or other grants, if any, will be at the sole discreton of the Company;</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Partcipant is voluntarily partcipatng in the Plan;</w:t>
      </w:r>
    </w:p>
    <w:p>
      <w:pPr>
        <w:spacing w:after="0" w:line="188" w:lineRule="exact"/>
        <w:rPr>
          <w:rFonts w:ascii="Arial" w:cs="Arial" w:eastAsia="Arial" w:hAnsi="Arial"/>
          <w:sz w:val="20"/>
          <w:szCs w:val="20"/>
          <w:color w:val="auto"/>
        </w:rPr>
      </w:pPr>
    </w:p>
    <w:p>
      <w:pPr>
        <w:ind w:firstLine="656"/>
        <w:spacing w:after="0" w:line="229"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Opton and any Shares acquired under the Plan, and the income from and value of same, are not intended to replace any pension rights or compensaton;</w:t>
      </w:r>
    </w:p>
    <w:p>
      <w:pPr>
        <w:spacing w:after="0" w:line="168" w:lineRule="exact"/>
        <w:rPr>
          <w:rFonts w:ascii="Arial" w:cs="Arial" w:eastAsia="Arial" w:hAnsi="Arial"/>
          <w:sz w:val="20"/>
          <w:szCs w:val="20"/>
          <w:color w:val="auto"/>
        </w:rPr>
      </w:pPr>
    </w:p>
    <w:p>
      <w:pPr>
        <w:jc w:val="both"/>
        <w:ind w:firstLine="656"/>
        <w:spacing w:after="0" w:line="220" w:lineRule="auto"/>
        <w:tabs>
          <w:tab w:leader="none" w:pos="1299"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Opton and any Shares acquired under the Plan, and the income from and value of same, are not part of normal or expected compensaton for any purposes, including for purposes of calculatng any severance, resignaton, terminaton, redundancy, dismissal, end-of-service payments, bonuses, long-service awards, holiday pay, pension or retrement or welfare benefts or similar payments;</w:t>
      </w:r>
    </w:p>
    <w:p>
      <w:pPr>
        <w:spacing w:after="0" w:line="169"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future value of the Shares underlying the Opton is unknown, indeterminable, and cannot be predicted with certainty;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if the underlying Shares do not increase in value, the Opton will have no value;</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Partcipant exercises the Opton and acquires Shares, the value of such Shares may increase or decrease, even below the</w:t>
      </w:r>
    </w:p>
    <w:p>
      <w:pPr>
        <w:spacing w:after="0" w:line="43" w:lineRule="exact"/>
        <w:rPr>
          <w:rFonts w:ascii="Arial" w:cs="Arial" w:eastAsia="Arial" w:hAnsi="Arial"/>
          <w:sz w:val="18"/>
          <w:szCs w:val="18"/>
          <w:color w:val="auto"/>
        </w:rPr>
      </w:pPr>
    </w:p>
    <w:p>
      <w:pPr>
        <w:spacing w:after="0" w:line="211" w:lineRule="auto"/>
        <w:rPr>
          <w:rFonts w:ascii="Arial" w:cs="Arial" w:eastAsia="Arial" w:hAnsi="Arial"/>
          <w:sz w:val="18"/>
          <w:szCs w:val="18"/>
          <w:color w:val="auto"/>
        </w:rPr>
      </w:pPr>
      <w:r>
        <w:rPr>
          <w:rFonts w:ascii="Arial" w:cs="Arial" w:eastAsia="Arial" w:hAnsi="Arial"/>
          <w:sz w:val="20"/>
          <w:szCs w:val="20"/>
          <w:color w:val="auto"/>
        </w:rPr>
        <w:t>exercise price;</w:t>
      </w:r>
    </w:p>
    <w:p>
      <w:pPr>
        <w:spacing w:after="0" w:line="154" w:lineRule="exact"/>
        <w:rPr>
          <w:rFonts w:ascii="Arial" w:cs="Arial" w:eastAsia="Arial" w:hAnsi="Arial"/>
          <w:sz w:val="18"/>
          <w:szCs w:val="18"/>
          <w:color w:val="auto"/>
        </w:rPr>
      </w:pPr>
    </w:p>
    <w:p>
      <w:pPr>
        <w:jc w:val="both"/>
        <w:ind w:firstLine="656"/>
        <w:spacing w:after="0" w:line="235" w:lineRule="auto"/>
        <w:tabs>
          <w:tab w:leader="none" w:pos="1302"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 claim or enttlement to compensaton or damages shall arise from forfeiture of the Opton resultng from Partcipant’s Terminaton of Service (for any reason whatsoever, whether or not later found to be invalid or in breach of Applicable Laws in the jurisdicton where Partcipant is providing service or the terms of Partcipant’s employment or other service agreement, if any);</w:t>
      </w:r>
    </w:p>
    <w:p>
      <w:pPr>
        <w:spacing w:after="0" w:line="168"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unless otherwise agreed with the Company, the Opton and the Shares subject to the Opton, and the income from and value of same, are not granted as consideraton for, or in connecton with, the service Partcipant may provide as a director of a Subsidiary or other afliate of the Company;</w:t>
      </w:r>
    </w:p>
    <w:p>
      <w:pPr>
        <w:spacing w:after="0" w:line="168" w:lineRule="exact"/>
        <w:rPr>
          <w:rFonts w:ascii="Arial" w:cs="Arial" w:eastAsia="Arial" w:hAnsi="Arial"/>
          <w:sz w:val="20"/>
          <w:szCs w:val="20"/>
          <w:color w:val="auto"/>
        </w:rPr>
      </w:pPr>
    </w:p>
    <w:p>
      <w:pPr>
        <w:jc w:val="both"/>
        <w:ind w:firstLine="656"/>
        <w:spacing w:after="0" w:line="223"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discreton, the Opton and the benefts evidenced by this Agreement do not create any enttlement to have the Opton or any such benefts transferred to, or assumed by, another company nor be exchanged, cashed out or substtuted for, in connecton with any corporate transacton afectng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370" w:right="339" w:bottom="1440" w:gutter="0" w:footer="0" w:header="0"/>
        </w:sectPr>
      </w:pPr>
    </w:p>
    <w:bookmarkStart w:id="39" w:name="page40"/>
    <w:bookmarkEnd w:id="39"/>
    <w:p>
      <w:pPr>
        <w:jc w:val="both"/>
        <w:ind w:firstLine="656"/>
        <w:spacing w:after="0" w:line="235" w:lineRule="auto"/>
        <w:tabs>
          <w:tab w:leader="none" w:pos="1296" w:val="left"/>
        </w:tabs>
        <w:numPr>
          <w:ilvl w:val="0"/>
          <w:numId w:val="18"/>
        </w:numPr>
        <w:rPr>
          <w:rFonts w:ascii="Arial" w:cs="Arial" w:eastAsia="Arial" w:hAnsi="Arial"/>
          <w:sz w:val="19"/>
          <w:szCs w:val="19"/>
          <w:color w:val="auto"/>
        </w:rPr>
      </w:pPr>
      <w:r>
        <w:rPr>
          <w:rFonts w:ascii="Arial" w:cs="Arial" w:eastAsia="Arial" w:hAnsi="Arial"/>
          <w:sz w:val="19"/>
          <w:szCs w:val="19"/>
          <w:color w:val="auto"/>
        </w:rPr>
        <w:t>neither the Company, the Employer nor any other Subsidiary or other afliate of the Company shall be liable for any foreign exchange rate fuctuaton between Partcipant’s local currency and the U.S. dollar that may afect the value of the Opton or of any amounts due to Partcipant pursuant to the exercise of the Opton or the subsequent sale of any Shares acquired upon exercise.</w:t>
      </w:r>
    </w:p>
    <w:p>
      <w:pPr>
        <w:spacing w:after="0" w:line="168"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Administraton</w:t>
      </w:r>
      <w:r>
        <w:rPr>
          <w:rFonts w:ascii="Arial" w:cs="Arial" w:eastAsia="Arial" w:hAnsi="Arial"/>
          <w:sz w:val="19"/>
          <w:szCs w:val="19"/>
          <w:color w:val="auto"/>
        </w:rPr>
        <w:t>. The Administrator shall have the power to interpret the Plan and this Agreement and to adopt such rules for the administraton, interpretaton and applicaton of the Plan as are consistent therewith and to interpret, amend or revoke any such rules. All actons taken and all interpretatons and determinatons made by the Administrator in good faith shall be fnal and binding upon Partcipant, the Company and all other interested persons. No member of the Commitee or the Board shall be personally liable for any acton, determinaton or interpretaton made in good faith with respect to the Plan, this Agreement or the Opton.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Whole Shares</w:t>
      </w:r>
      <w:r>
        <w:rPr>
          <w:rFonts w:ascii="Arial" w:cs="Arial" w:eastAsia="Arial" w:hAnsi="Arial"/>
          <w:sz w:val="20"/>
          <w:szCs w:val="20"/>
          <w:color w:val="auto"/>
        </w:rPr>
        <w:t>. The Opton may only be exercised for whole Shares.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Transferability</w:t>
      </w:r>
      <w:r>
        <w:rPr>
          <w:rFonts w:ascii="Arial" w:cs="Arial" w:eastAsia="Arial" w:hAnsi="Arial"/>
          <w:sz w:val="20"/>
          <w:szCs w:val="20"/>
          <w:color w:val="auto"/>
        </w:rPr>
        <w:t>. The Opton shall be subject to the restrictons on transferability set forth in Secton 10.3 of the Plan.</w:t>
      </w:r>
    </w:p>
    <w:p>
      <w:pPr>
        <w:spacing w:after="0" w:line="189"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Tax Consultaton</w:t>
      </w:r>
      <w:r>
        <w:rPr>
          <w:rFonts w:ascii="Arial" w:cs="Arial" w:eastAsia="Arial" w:hAnsi="Arial"/>
          <w:sz w:val="20"/>
          <w:szCs w:val="20"/>
          <w:color w:val="auto"/>
        </w:rPr>
        <w:t>. Partcipant understands that Partcipant may sufer adverse tax consequences in connecton with the Opton granted pursuant to this Agreement (and the Shares issuable with respect thereto). The Company is not providing any tax, legal or fnancial advice, nor is the Company making any recommendaton regarding Partcipant’s partcipaton in the Plan or the Agreement or any receipt of the Opton or sale of Shares acquired upon setlement of the Opton. Partcipant represents that Partcipant has consulted with any tax consultants Partcipant deems advisable in connecton with the Opton and the issuance of Shares with respect thereto and that Partcipant is not relying on the Company for any tax advice.</w:t>
      </w:r>
    </w:p>
    <w:p>
      <w:pPr>
        <w:spacing w:after="0" w:line="174"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Binding Agreement</w:t>
      </w:r>
      <w:r>
        <w:rPr>
          <w:rFonts w:ascii="Arial" w:cs="Arial" w:eastAsia="Arial" w:hAnsi="Arial"/>
          <w:sz w:val="20"/>
          <w:szCs w:val="20"/>
          <w:color w:val="auto"/>
        </w:rPr>
        <w:t>. Subject to the limitaton on the transferability of the Opton contained herein, this Agreement will be binding upon and inure to the beneft of the heirs, legatees, legal representatves, successors and assigns of the partes hereto.</w:t>
      </w:r>
    </w:p>
    <w:p>
      <w:pPr>
        <w:spacing w:after="0" w:line="169"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Adjustments Upon Specifed Events</w:t>
      </w:r>
      <w:r>
        <w:rPr>
          <w:rFonts w:ascii="Arial" w:cs="Arial" w:eastAsia="Arial" w:hAnsi="Arial"/>
          <w:sz w:val="20"/>
          <w:szCs w:val="20"/>
          <w:color w:val="auto"/>
        </w:rPr>
        <w:t>. The Administrator may accelerate the vestng of the Opton in such circumstances as it, in its sole discreton, may determine. Partcipant acknowledges that the Opton is subject to adjustment, modifcaton and terminaton in certain events as provided in this Agreement and Secton 12.2 of the Plan.</w:t>
      </w:r>
    </w:p>
    <w:p>
      <w:pPr>
        <w:spacing w:after="0" w:line="169"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u w:val="single" w:color="auto"/>
          <w:color w:val="auto"/>
        </w:rPr>
        <w:t>Notces</w:t>
      </w:r>
      <w:r>
        <w:rPr>
          <w:rFonts w:ascii="Arial" w:cs="Arial" w:eastAsia="Arial" w:hAnsi="Arial"/>
          <w:sz w:val="20"/>
          <w:szCs w:val="20"/>
          <w:color w:val="auto"/>
        </w:rPr>
        <w:t>. Any notce to be given under the terms of this Agreement to the Company shall be addressed to the Company in care of the Secretary of the Company at the Company’s principal ofce, and any notce to be given to Partcipant shall be addressed to Partcipant at Partcipant’s last address refected on the Company’s records. By a notce given pursuant to this Secton 5.8, either party may hereafer designate a diferent address for notces to be given to that party. Any notce which is required to be given to Partcipant shall, if Partcipant is then deceased, be given to the person enttled to exercise Partcipant’s Opton pursuant to Secton 4.1 hereof by writen notce under this Secton 5.8. Any notce shall be deemed duly given when sent via email or when sent by certfed mail (return receipt requested) and deposited (with postage prepaid) in a post ofce or branch post ofce regularly maintained by the United States Postal Service or comparable non-U.S. postal service.</w:t>
      </w:r>
    </w:p>
    <w:p>
      <w:pPr>
        <w:spacing w:after="0" w:line="170" w:lineRule="exact"/>
        <w:rPr>
          <w:sz w:val="20"/>
          <w:szCs w:val="20"/>
          <w:color w:val="auto"/>
        </w:rPr>
      </w:pPr>
    </w:p>
    <w:p>
      <w:pPr>
        <w:ind w:firstLine="324"/>
        <w:spacing w:after="0" w:line="218"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discreton, decide to deliver any documents related to the Opton awarded under the Plan or future Opton that may be awarded under the Plan by electronic means or require Partcipant to partcipate in the Plan by electronic means. Partcipant hereby consents to receive such documents by electronic delivery and agrees to partcipate in the Plan through any on-line or electronic system established and maintained by the Company or a third party designated by the Company.</w:t>
      </w:r>
    </w:p>
    <w:p>
      <w:pPr>
        <w:spacing w:after="0" w:line="15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interpretaton or constructon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370" w:right="339" w:bottom="1440" w:gutter="0" w:footer="0" w:header="0"/>
        </w:sectPr>
      </w:pPr>
    </w:p>
    <w:bookmarkStart w:id="40" w:name="page41"/>
    <w:bookmarkEnd w:id="40"/>
    <w:p>
      <w:pPr>
        <w:jc w:val="both"/>
        <w:ind w:firstLine="324"/>
        <w:spacing w:after="0" w:line="221"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Governing Law and Venue</w:t>
      </w:r>
      <w:r>
        <w:rPr>
          <w:rFonts w:ascii="Arial" w:cs="Arial" w:eastAsia="Arial" w:hAnsi="Arial"/>
          <w:sz w:val="19"/>
          <w:szCs w:val="19"/>
          <w:color w:val="auto"/>
        </w:rPr>
        <w:t>. Except as required by Delaware corporate law, the laws of the State of California shall govern the interpretaton, validity, administraton, enforcement and performance of the terms of this Agreement regardless of the law that might be applied under principles of conficts of laws. By entering into this Agreement, Partcipant irrevocably and unconditonally consents to submit to the exclusive jurisdicton of the courts of the State of California and of the United States of America, in each case located in the State of California, for any acton arising out of or relatng to this Agreement and the Plan (and agrees not to commence any litgaton relatng thereto except in such courts), and further agrees that service of any process, summons, notce or document by U.S. registered mail to the address contained in the records of the Company shall be efectve service of process for any litgaton brought against it in any such court. By entering into this Agreement, Partcipant irrevocably and unconditonally waives any objecton to the laying of venue of any litgaton arising out of the Plan or this Agreement in the courts of the State of California or the United States of America, in each case located in the State of California, and further irrevocably and unconditonally waives and agrees not to plead or claim in any such court that any such litgaton brought in any such court has been brought in an inconvenient forum. By entering into this Agreement, Partcipant irrevocably and unconditonally waives, to the fullest extent permited by applicable law, any and all rights to trial by jury in connecton with any litgaton arising out of or relatng to the Plan or this Agreement.</w:t>
      </w:r>
    </w:p>
    <w:p>
      <w:pPr>
        <w:spacing w:after="0" w:line="179"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Conformity to Applicable Law</w:t>
      </w:r>
      <w:r>
        <w:rPr>
          <w:rFonts w:ascii="Arial" w:cs="Arial" w:eastAsia="Arial" w:hAnsi="Arial"/>
          <w:sz w:val="20"/>
          <w:szCs w:val="20"/>
          <w:color w:val="auto"/>
        </w:rPr>
        <w:t>. Partcipant acknowledges that the Plan and this Agreement are intended to conform to the extent necessary with all provisions of the Securites Act and the Exchange Act and any other Applicable Law. Notwithstanding anything herein to the contrary, the Plan shall be administered, and the Opton is granted and may be exercised, only in such a manner as to conform to Applicable Law. To the extent permited by Applicable Law, the Plan and this Agreement shall be deemed amended to the extent necessary to conform to such Applicable Law.</w:t>
      </w:r>
    </w:p>
    <w:p>
      <w:pPr>
        <w:spacing w:after="0" w:line="171"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Amendment, Suspension and Terminaton</w:t>
      </w:r>
      <w:r>
        <w:rPr>
          <w:rFonts w:ascii="Arial" w:cs="Arial" w:eastAsia="Arial" w:hAnsi="Arial"/>
          <w:sz w:val="20"/>
          <w:szCs w:val="20"/>
          <w:color w:val="auto"/>
        </w:rPr>
        <w:t xml:space="preserve">. To the extent permited by the Plan, this Agreement may be wholly or partally amended or otherwise modifed, suspended or terminated at any tme or from tme to tme by the Administrator or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except as may otherwise be provided by the Plan, no amendment, modifcaton, suspension or terminaton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shall adversely afect the Opton in any material way without the prior writen consent of Partcipant, unless such acton is necessary to ensure or facilitate compliance with Applicable Law, as determined by the Administrator.</w:t>
      </w:r>
    </w:p>
    <w:p>
      <w:pPr>
        <w:spacing w:after="0" w:line="171"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and delegate any of its obligatons under this Agreement to single or multple assignees, and this Agreement shall inure to the beneft of the successors and assigns of the Company. Subject to the restrictons on transfer herein set forth in Secton 5.4 hereof, this Agreement shall be binding upon Partcipant and Partcipant’s heirs, executors, administrators, successors and assigns.</w:t>
      </w:r>
    </w:p>
    <w:p>
      <w:pPr>
        <w:spacing w:after="0" w:line="169"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Notfcaton of Dispositon</w:t>
      </w:r>
      <w:r>
        <w:rPr>
          <w:rFonts w:ascii="Arial" w:cs="Arial" w:eastAsia="Arial" w:hAnsi="Arial"/>
          <w:sz w:val="20"/>
          <w:szCs w:val="20"/>
          <w:color w:val="auto"/>
        </w:rPr>
        <w:t>. If this Opton is designated as an Incentve Stock Opton, Partcipant shall give prompt notce to the Company of any dispositon or other transfer of any Shares acquired under this Agreement if such dispositon or transfer is made (a) within two years from the Grant Date with respect to such Shares or (b) within one year afer the transfer of such Shares to Partcipant. Such notce shall specify the date of such dispositon or other transfer and the amount realized, in cash, other property, assumpton of indebtedness or other consideraton, by Partcipant in such dispositon or other transfer.</w:t>
      </w:r>
    </w:p>
    <w:p>
      <w:pPr>
        <w:spacing w:after="0" w:line="171"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Limitatons Applicable to Secton 16 Persons</w:t>
      </w:r>
      <w:r>
        <w:rPr>
          <w:rFonts w:ascii="Arial" w:cs="Arial" w:eastAsia="Arial" w:hAnsi="Arial"/>
          <w:sz w:val="19"/>
          <w:szCs w:val="19"/>
          <w:color w:val="auto"/>
        </w:rPr>
        <w:t>. Notwithstanding any other provision of the Plan or this Agreement, if Partcipant is subject to Secton 16 of the Exchange Act, then the Plan, the Opton and this Agreement shall be subject to any additonal limitatons set forth in any applicable exemptve rule under Secton 16 of the Exchange Act (including any amendment to Rule 16b-3 of the Exchange Act) that are requirements for the applicaton of such exemptve rule. To the extent permited by Applicable Law, this Agreement shall be deemed amended to the extent necessary to conform to such applicable exemptve rule.</w:t>
      </w:r>
    </w:p>
    <w:p>
      <w:pPr>
        <w:spacing w:after="0" w:line="15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Not a Contract of Service Relatonship</w:t>
      </w:r>
      <w:r>
        <w:rPr>
          <w:rFonts w:ascii="Arial" w:cs="Arial" w:eastAsia="Arial" w:hAnsi="Arial"/>
          <w:sz w:val="20"/>
          <w:szCs w:val="20"/>
          <w:color w:val="auto"/>
        </w:rPr>
        <w:t>. Nothing in this Agreement or in the Plan shall (i) be interpreted as forming or amending an employment or service contract, (ii) confer upon Partcipant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240"/>
          </w:cols>
          <w:pgMar w:left="320" w:top="1370" w:right="339" w:bottom="1440" w:gutter="0" w:footer="0" w:header="0"/>
        </w:sectPr>
      </w:pPr>
    </w:p>
    <w:bookmarkStart w:id="41" w:name="page42"/>
    <w:bookmarkEnd w:id="41"/>
    <w:p>
      <w:pPr>
        <w:jc w:val="both"/>
        <w:spacing w:after="0" w:line="218" w:lineRule="auto"/>
        <w:rPr>
          <w:sz w:val="20"/>
          <w:szCs w:val="20"/>
          <w:color w:val="auto"/>
        </w:rPr>
      </w:pPr>
      <w:r>
        <w:rPr>
          <w:rFonts w:ascii="Arial" w:cs="Arial" w:eastAsia="Arial" w:hAnsi="Arial"/>
          <w:sz w:val="20"/>
          <w:szCs w:val="20"/>
          <w:color w:val="auto"/>
        </w:rPr>
        <w:t>any right to commence or contnue to serve as an Employee, Consultant or other service provider of the Company or any of its Subsidiaries or (iii) interfere with or restrict in any way the rights of the Company and its Subsidiaries, which rights are hereby expressly reserved, to discharge or terminate the services of Partcipant at any tme for any reason whatsoever, with or without cause, except to the extent expressly provided otherwise by Applicable Law or in a writen agreement between the Company or a Subsidiary (as applicable) and Partcipant.</w:t>
      </w:r>
    </w:p>
    <w:p>
      <w:pPr>
        <w:spacing w:after="0" w:line="157"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u w:val="single" w:color="auto"/>
          <w:color w:val="auto"/>
        </w:rPr>
        <w:t>Entre Agreement</w:t>
      </w:r>
      <w:r>
        <w:rPr>
          <w:rFonts w:ascii="Arial" w:cs="Arial" w:eastAsia="Arial" w:hAnsi="Arial"/>
          <w:sz w:val="20"/>
          <w:szCs w:val="20"/>
          <w:color w:val="auto"/>
        </w:rPr>
        <w:t xml:space="preserve">. The Plan, the Grant Notce and this Agreement (including the Country Provisions) consttute the entre agreement of the partes and supersede in their entrety all prior undertakings and agreements of the Company and Partcipant with respect to the subject mater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Opton shall be subject to any accelerated vestng provisions in any writen agreement between Partcipant and the Company (or any Subsidiary that is the employer of Partcipant) or a Company plan pursuant to which Partcipant is eligible to partcipate, in each case, in accordance with the terms therein.</w:t>
      </w:r>
    </w:p>
    <w:p>
      <w:pPr>
        <w:spacing w:after="0" w:line="171"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1.19 </w:t>
      </w:r>
      <w:r>
        <w:rPr>
          <w:rFonts w:ascii="Arial" w:cs="Arial" w:eastAsia="Arial" w:hAnsi="Arial"/>
          <w:sz w:val="20"/>
          <w:szCs w:val="20"/>
          <w:u w:val="single" w:color="auto"/>
          <w:color w:val="auto"/>
        </w:rPr>
        <w:t>Waiver</w:t>
      </w:r>
      <w:r>
        <w:rPr>
          <w:rFonts w:ascii="Arial" w:cs="Arial" w:eastAsia="Arial" w:hAnsi="Arial"/>
          <w:sz w:val="20"/>
          <w:szCs w:val="20"/>
          <w:color w:val="auto"/>
        </w:rPr>
        <w:t>. Either party’s failure to enforce any provision or provisions of this Agreement shall not in any way be construed as a waiver of any such provision or provisions, nor prevent that party from thereafer enforcing each and every other provision of this Agreement. The rights granted both partes herein are cumulatve and shall not consttute a waiver of either party’s right to assert all other legal remedies available to it under the circumstances.</w:t>
      </w:r>
    </w:p>
    <w:p>
      <w:pPr>
        <w:spacing w:after="0" w:line="156"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9"/>
          <w:szCs w:val="19"/>
          <w:color w:val="auto"/>
        </w:rPr>
        <w:t xml:space="preserve">1.20 </w:t>
      </w:r>
      <w:r>
        <w:rPr>
          <w:rFonts w:ascii="Arial" w:cs="Arial" w:eastAsia="Arial" w:hAnsi="Arial"/>
          <w:sz w:val="19"/>
          <w:szCs w:val="19"/>
          <w:u w:val="single" w:color="auto"/>
          <w:color w:val="auto"/>
        </w:rPr>
        <w:t>Secton 409A</w:t>
      </w:r>
      <w:r>
        <w:rPr>
          <w:rFonts w:ascii="Arial" w:cs="Arial" w:eastAsia="Arial" w:hAnsi="Arial"/>
          <w:sz w:val="19"/>
          <w:szCs w:val="19"/>
          <w:color w:val="auto"/>
        </w:rPr>
        <w:t>. The Opton is not intended to consttute “nonqualifed deferred compensaton” within the meaning of Secton 409A. However, notwithstanding any other provision of the Plan, the Grant Notce or this Agreement, if at any tme the Administrator determines that the Opton (or any porton thereof) may be subject to Secton 409A, the Administrator shall have the right in its sole discreton (without any obligaton to do so or to indemnify Partcipant or any other person for failure to do so) to adopt such amendments to the Plan, the Grant Notce or this Agreement, or adopt other policies and procedures (including amendments, policies and procedures with retroactve efect), or take any other actons, as the Administrator determines are necessary or appropriate for the Opton either to be exempt from the applicaton of Secton 409A or to comply with the requirements of Secton 409A.</w:t>
      </w:r>
    </w:p>
    <w:p>
      <w:pPr>
        <w:spacing w:after="0" w:line="173"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Limitaton on Partcipant’s Rights</w:t>
      </w:r>
      <w:r>
        <w:rPr>
          <w:rFonts w:ascii="Arial" w:cs="Arial" w:eastAsia="Arial" w:hAnsi="Arial"/>
          <w:sz w:val="20"/>
          <w:szCs w:val="20"/>
          <w:color w:val="auto"/>
        </w:rPr>
        <w:t>. Partcipaton in the Plan confers no rights or interests other than as herein provided. This Agreement creates only a contractual obligaton on the part of the Company as to amounts payable and shall not be construed as creatng a trust. Neither the Plan nor any underlying program, in and of itself, has any assets. Partcipant shall have only the rights of a general unsecured creditor of the Company and its Subsidiaries with respect to amounts credited and benefts payable, if any, with respect to the Opton, and rights no greater than the right to receive the Shares as a general unsecured creditor with respect to the Opton, as and when exercised pursuant to the terms hereof.</w:t>
      </w:r>
    </w:p>
    <w:p>
      <w:pPr>
        <w:spacing w:after="0" w:line="174"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hereof becomes or is declared by a court of competent jurisdicton to be illegal, unenforceable or void, such provision shall be severed from this Agreement and the remainder of the Agreement shall contnue in full force and efect.</w:t>
      </w:r>
    </w:p>
    <w:p>
      <w:pPr>
        <w:spacing w:after="0" w:line="16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Country-Specifc Provisions</w:t>
      </w:r>
      <w:r>
        <w:rPr>
          <w:rFonts w:ascii="Arial" w:cs="Arial" w:eastAsia="Arial" w:hAnsi="Arial"/>
          <w:sz w:val="18"/>
          <w:szCs w:val="18"/>
          <w:color w:val="auto"/>
        </w:rPr>
        <w:t>. The Opton shall be subject to the Country Provisions, if any, for Partcipant’s country of residence, as set forth in the Country Provisions. If Partcipant relocates to one of the countries included in the Country Provisions during the life of the Opton, the special provisions for such country shall apply to Partcipant, to the extent the Company determines that the applicaton of such provisions is necessary or advisable for legal or administratve reasons. The Appendix consttutes part of this Agreement.</w:t>
      </w:r>
    </w:p>
    <w:p>
      <w:pPr>
        <w:spacing w:after="0" w:line="150"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Impositon of Other Requirements</w:t>
      </w:r>
      <w:r>
        <w:rPr>
          <w:rFonts w:ascii="Arial" w:cs="Arial" w:eastAsia="Arial" w:hAnsi="Arial"/>
          <w:sz w:val="20"/>
          <w:szCs w:val="20"/>
          <w:color w:val="auto"/>
        </w:rPr>
        <w:t>. The Company reserves the right to impose other requirements on Partcipant’s partcipaton in the Plan, the Opton and the Shares acquired under the Plan, to the extent the Company determines it is necessary or advisable for legal or administratve reasons, and to require Partcipant to sign any additonal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240"/>
          </w:cols>
          <w:pgMar w:left="320" w:top="1370" w:right="339" w:bottom="1440" w:gutter="0" w:footer="0" w:header="0"/>
        </w:sectPr>
      </w:pPr>
    </w:p>
    <w:bookmarkStart w:id="42" w:name="page43"/>
    <w:bookmarkEnd w:id="42"/>
    <w:p>
      <w:pPr>
        <w:jc w:val="both"/>
        <w:ind w:firstLine="324"/>
        <w:spacing w:after="0" w:line="230"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Language</w:t>
      </w:r>
      <w:r>
        <w:rPr>
          <w:rFonts w:ascii="Arial" w:cs="Arial" w:eastAsia="Arial" w:hAnsi="Arial"/>
          <w:sz w:val="19"/>
          <w:szCs w:val="19"/>
          <w:color w:val="auto"/>
        </w:rPr>
        <w:t>. By partcipatng in the Plan, Partcipant acknowledges that Partcipant is profcient in the English language, or has consulted with an advisor who is sufciently profcient in English, so as to allow Partcipant to understand the terms and conditons of the Plan and the Agreement applicable to Partcipant’s country of residence. If Partcipant has received the Agreement and the Plan applicable to Partcipant’s country of residence or any other document related to the Plan translated into a language other than English and if the meaning of the translated version is diferent than the English version, the English version will control.</w:t>
      </w:r>
    </w:p>
    <w:p>
      <w:pPr>
        <w:spacing w:after="0" w:line="15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u w:val="single" w:color="auto"/>
          <w:color w:val="auto"/>
        </w:rPr>
        <w:t>Foreign Asset/Account, Exchange Control and Tax Reportng and Other Requirements</w:t>
      </w:r>
      <w:r>
        <w:rPr>
          <w:rFonts w:ascii="Arial" w:cs="Arial" w:eastAsia="Arial" w:hAnsi="Arial"/>
          <w:sz w:val="18"/>
          <w:szCs w:val="18"/>
          <w:color w:val="auto"/>
          <w:highlight w:val="white"/>
        </w:rPr>
        <w:t>. Depending on Partcipant’s country,</w:t>
      </w:r>
    </w:p>
    <w:p>
      <w:pPr>
        <w:spacing w:after="0" w:line="20"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Partcipant may be subject to foreign asset/account, exchange control and/or tax reportng requirements as a result of the Opton grant, the acquisiton, holding and/or transfer of Shares or cash resultng from partcipaton in the Plan and/or the opening and maintaining of a brokerage or bank account in connecton with the Plan. Partcipant may be required to report such assets, accounts, account balances and values, and/or related transactons to the applicable authorites in Partcipant’s country. Partcipant may also be required to repatriate sale proceeds or other funds received as a result of Partcipant’s partcipaton in the Plan to Partcipant’s country through a designated bank or broker and/or within a certain tme afer receipt. Partcipant acknowledges that Partcipant is responsible for ensuring compliance with any applicable foreign asset/account, exchange control and tax reportng and other requirements. Partcipant further understands that Partcipant should consult Partcipant’s personal tax and legal advisors, as applicable on these maters.</w:t>
      </w:r>
    </w:p>
    <w:p>
      <w:pPr>
        <w:spacing w:after="0" w:line="160"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Insider Trading/Market Abuse Laws</w:t>
      </w:r>
      <w:r>
        <w:rPr>
          <w:rFonts w:ascii="Arial" w:cs="Arial" w:eastAsia="Arial" w:hAnsi="Arial"/>
          <w:sz w:val="19"/>
          <w:szCs w:val="19"/>
          <w:color w:val="auto"/>
          <w:highlight w:val="white"/>
        </w:rPr>
        <w:t>. Partcipant acknowledges that Partcipant may be subject to insider trading restrictons</w:t>
      </w:r>
      <w:r>
        <w:rPr>
          <w:rFonts w:ascii="Arial" w:cs="Arial" w:eastAsia="Arial" w:hAnsi="Arial"/>
          <w:sz w:val="19"/>
          <w:szCs w:val="19"/>
          <w:color w:val="auto"/>
        </w:rPr>
        <w:t xml:space="preserve"> and/or market abuse laws in applicable jurisdictons including, but not limited to, the United States and Partcipant’s country of residence, which may afect Partcipant’s ability to acquire or sell Shares or rights to Shares (e.g., Optons) under the Plan during such tme as Partcipant is considered to have “inside informaton” regarding the Company (as defned by the laws in the applicable jurisdictons). Local insider trading laws and regulatons may prohibit the cancellaton or amendment of orders Partcipant placed before Partcipant possessed inside informaton. Further, Partcipant could be prohibited from (i) disclosing the inside informaton to any third party and (ii) “tpping” third partes or causing them otherwise to buy or sell securites. Partcipant should keep in mind third partes includes fellow employees. Any restrictons under these laws or regulatons are separate from and in additon to any restrictons that may be imposed under any applicable insider trading policy of the Company. Partcipant is responsible for ensuring compliance with any applicable restrictons and should consult with Partcipant’s personal legal advisor on this mater.</w:t>
      </w:r>
    </w:p>
    <w:p>
      <w:pPr>
        <w:spacing w:after="0" w:line="170"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fnancial advice, nor is the Company making any recommendatons regarding Partcipant’s partcipaton in the Plan or the Agreement or any receipt of the Opton or sale of Shares acquired upon setlement of the Opton. Partcipant should consult Partcipant’s own personal tax, legal and fnancial advisors regarding Partcipant’s partcipaton in the Plan and the Agreement before taking any acton related to the Opton or the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A-10</w:t>
      </w:r>
    </w:p>
    <w:p>
      <w:pPr>
        <w:sectPr>
          <w:pgSz w:w="11900" w:h="16838" w:orient="portrait"/>
          <w:cols w:equalWidth="0" w:num="1">
            <w:col w:w="11240"/>
          </w:cols>
          <w:pgMar w:left="320" w:top="137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STOCK OPTION AGREEMENT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Provisions for Optons for Partcipants</w:t>
      </w:r>
    </w:p>
    <w:p>
      <w:pPr>
        <w:spacing w:after="0" w:line="189"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This Appendix includes additonal terms and conditons that govern the Award granted pursuant to the terms and conditons of The Cooper Companies, Inc. 2023 Long-Term Incentve Plan, as amended from tme to tme (the “</w:t>
      </w:r>
      <w:r>
        <w:rPr>
          <w:rFonts w:ascii="Arial" w:cs="Arial" w:eastAsia="Arial" w:hAnsi="Arial"/>
          <w:sz w:val="20"/>
          <w:szCs w:val="20"/>
          <w:u w:val="single" w:color="auto"/>
          <w:color w:val="auto"/>
        </w:rPr>
        <w:t>Plan</w:t>
      </w:r>
      <w:r>
        <w:rPr>
          <w:rFonts w:ascii="Arial" w:cs="Arial" w:eastAsia="Arial" w:hAnsi="Arial"/>
          <w:sz w:val="20"/>
          <w:szCs w:val="20"/>
          <w:color w:val="auto"/>
        </w:rPr>
        <w:t>”) and the Stock Opton Agreement to which this Appendix is atached (the “</w:t>
      </w:r>
      <w:r>
        <w:rPr>
          <w:rFonts w:ascii="Arial" w:cs="Arial" w:eastAsia="Arial" w:hAnsi="Arial"/>
          <w:sz w:val="20"/>
          <w:szCs w:val="20"/>
          <w:u w:val="single" w:color="auto"/>
          <w:color w:val="auto"/>
        </w:rPr>
        <w:t>Agreement</w:t>
      </w:r>
      <w:r>
        <w:rPr>
          <w:rFonts w:ascii="Arial" w:cs="Arial" w:eastAsia="Arial" w:hAnsi="Arial"/>
          <w:sz w:val="20"/>
          <w:szCs w:val="20"/>
          <w:color w:val="auto"/>
        </w:rPr>
        <w:t>”) to the extent Partcipant resides and/or works in one of the countries listed below. To the extent there are any inconsistencies between these terms and conditons and those set forth in the Agreement, these terms and conditons shall prevail. Any capitalized term used in this Appendix without defniton shall have the meaning ascribed to such term in the Plan or the Agreement, as applicable.</w:t>
      </w:r>
    </w:p>
    <w:p>
      <w:pPr>
        <w:spacing w:after="0" w:line="66"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If Partcipant is a citzen or resident of a country (or if Partcipant is considered as such for local law purposes) other than the one in which Partcipant is currently residing and/or working, or if Partcipant transfers to another country afer being granted the Opton, the Company will, in its discreton, determine the extent to which the terms and conditons contained herein will be applicable to Partcipant.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Partcipant acknowledges and agrees to the data privacy provisions set forth in Secton 10.8 of the Plan.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Notfcatons</w:t>
      </w:r>
    </w:p>
    <w:p>
      <w:pPr>
        <w:spacing w:after="0" w:line="6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 xml:space="preserve">This Appendix also includes informaton relatng to securites laws and certain other issues of which Partcipant should be aware with respect to Partcipant’s partcipaton in the Plan. The informaton is based on the securites and other laws in efect in the respectve countries as of </w:t>
      </w:r>
      <w:r>
        <w:rPr>
          <w:rFonts w:ascii="Arial" w:cs="Arial" w:eastAsia="Arial" w:hAnsi="Arial"/>
          <w:sz w:val="19"/>
          <w:szCs w:val="19"/>
          <w:b w:val="1"/>
          <w:bCs w:val="1"/>
          <w:color w:val="auto"/>
        </w:rPr>
        <w:t>[_____]</w:t>
      </w:r>
      <w:r>
        <w:rPr>
          <w:rFonts w:ascii="Arial" w:cs="Arial" w:eastAsia="Arial" w:hAnsi="Arial"/>
          <w:sz w:val="19"/>
          <w:szCs w:val="19"/>
          <w:color w:val="auto"/>
        </w:rPr>
        <w:t>. Such laws are ofen complex and change frequently. As a result, Partcipant should not rely on the informaton</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herein as the only source of informaton relatng to the consequences of partcipaton in the Plan because the informaton may be out of date at the tme Opton vests and becomes exercisable and are setled or Shares acquired under the Plan are sold.</w:t>
      </w:r>
    </w:p>
    <w:p>
      <w:pPr>
        <w:spacing w:after="0" w:line="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additon, the informaton is general in nature and may not apply to the partcular situaton of Partcipant, and the Company is not in a positon to assure Partcipant of any partcular result. Accordingly, Partcipant is advised to seek appropriate professional advice as to how the relevant laws in Partcipant’s country may apply to Partcipant’s situaton. Finally, if Partcipant is a citzen or resident of a country other than the one in which Partcipant is currently working (or if Partcipant is considered as such for local law purposes), or if Partcipant transfers to another country afer being granted the Opton, the informaton contained herein may not be applicable to Partcipant.</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[Insert Individual Country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Appendix-1</w:t>
      </w:r>
    </w:p>
    <w:p>
      <w:pPr>
        <w:sectPr>
          <w:pgSz w:w="11900" w:h="16838" w:orient="portrait"/>
          <w:cols w:equalWidth="0" w:num="1">
            <w:col w:w="11240"/>
          </w:cols>
          <w:pgMar w:left="320" w:top="137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23465"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323465" cy="445770"/>
                    </a:xfrm>
                    <a:prstGeom prst="rect">
                      <a:avLst/>
                    </a:prstGeom>
                    <a:noFill/>
                  </pic:spPr>
                </pic:pic>
              </a:graphicData>
            </a:graphic>
          </wp:anchor>
        </w:drawing>
        <w:t>THE COOPER COMPANIES, INC.</w:t>
      </w:r>
    </w:p>
    <w:p>
      <w:pPr>
        <w:jc w:val="center"/>
        <w:spacing w:after="0" w:line="234" w:lineRule="auto"/>
        <w:rPr>
          <w:sz w:val="20"/>
          <w:szCs w:val="20"/>
          <w:color w:val="auto"/>
        </w:rPr>
      </w:pPr>
      <w:r>
        <w:rPr>
          <w:rFonts w:ascii="Arial" w:cs="Arial" w:eastAsia="Arial" w:hAnsi="Arial"/>
          <w:sz w:val="20"/>
          <w:szCs w:val="20"/>
          <w:b w:val="1"/>
          <w:bCs w:val="1"/>
          <w:color w:val="auto"/>
        </w:rPr>
        <w:t>2023 LONG-TERM INCENTIVE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18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The Cooper Companies, Inc., a Delaware corporaton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2023 Long-Term Incentve Plan, as may be amended from tme to tme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the holder listed below (“</w:t>
      </w:r>
      <w:r>
        <w:rPr>
          <w:rFonts w:ascii="Arial" w:cs="Arial" w:eastAsia="Arial" w:hAnsi="Arial"/>
          <w:sz w:val="19"/>
          <w:szCs w:val="19"/>
          <w:u w:val="single" w:color="auto"/>
          <w:color w:val="auto"/>
        </w:rPr>
        <w:t>Partcipant</w:t>
      </w:r>
      <w:r>
        <w:rPr>
          <w:rFonts w:ascii="Arial" w:cs="Arial" w:eastAsia="Arial" w:hAnsi="Arial"/>
          <w:sz w:val="19"/>
          <w:szCs w:val="19"/>
          <w:color w:val="auto"/>
        </w:rPr>
        <w:t>”), an award of restricted stock units (“</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xml:space="preserve"> ” or “ </w:t>
      </w:r>
      <w:r>
        <w:rPr>
          <w:rFonts w:ascii="Arial" w:cs="Arial" w:eastAsia="Arial" w:hAnsi="Arial"/>
          <w:sz w:val="19"/>
          <w:szCs w:val="19"/>
          <w:u w:val="single" w:color="auto"/>
          <w:color w:val="auto"/>
        </w:rPr>
        <w:t>RSUs</w:t>
      </w:r>
      <w:r>
        <w:rPr>
          <w:rFonts w:ascii="Arial" w:cs="Arial" w:eastAsia="Arial" w:hAnsi="Arial"/>
          <w:sz w:val="19"/>
          <w:szCs w:val="19"/>
          <w:color w:val="auto"/>
        </w:rPr>
        <w:t xml:space="preserve"> ”). Each vested Restricted Stock Unit represents the right to receive, in accordance with the Restricted Stock Unit Award Agreement atached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including any additonal provisions for Partcipant’s country of residence, if any, set forth in the Appendix for Partcipant’s country (the “</w:t>
      </w:r>
      <w:r>
        <w:rPr>
          <w:rFonts w:ascii="Arial" w:cs="Arial" w:eastAsia="Arial" w:hAnsi="Arial"/>
          <w:sz w:val="19"/>
          <w:szCs w:val="19"/>
          <w:u w:val="single" w:color="auto"/>
          <w:color w:val="auto"/>
        </w:rPr>
        <w:t>Country Provisions</w:t>
      </w:r>
      <w:r>
        <w:rPr>
          <w:rFonts w:ascii="Arial" w:cs="Arial" w:eastAsia="Arial" w:hAnsi="Arial"/>
          <w:sz w:val="19"/>
          <w:szCs w:val="19"/>
          <w:color w:val="auto"/>
        </w:rPr>
        <w:t xml:space="preserve"> ,” and collectvely, the “</w:t>
      </w:r>
      <w:r>
        <w:rPr>
          <w:rFonts w:ascii="Arial" w:cs="Arial" w:eastAsia="Arial" w:hAnsi="Arial"/>
          <w:sz w:val="19"/>
          <w:szCs w:val="19"/>
          <w:u w:val="single" w:color="auto"/>
          <w:color w:val="auto"/>
        </w:rPr>
        <w:t>Agreement</w:t>
      </w:r>
      <w:r>
        <w:rPr>
          <w:rFonts w:ascii="Arial" w:cs="Arial" w:eastAsia="Arial" w:hAnsi="Arial"/>
          <w:sz w:val="19"/>
          <w:szCs w:val="19"/>
          <w:color w:val="auto"/>
        </w:rPr>
        <w:t>”), one share of Common Stock (“</w:t>
      </w:r>
      <w:r>
        <w:rPr>
          <w:rFonts w:ascii="Arial" w:cs="Arial" w:eastAsia="Arial" w:hAnsi="Arial"/>
          <w:sz w:val="19"/>
          <w:szCs w:val="19"/>
          <w:u w:val="single" w:color="auto"/>
          <w:color w:val="auto"/>
        </w:rPr>
        <w:t>Share</w:t>
      </w:r>
      <w:r>
        <w:rPr>
          <w:rFonts w:ascii="Arial" w:cs="Arial" w:eastAsia="Arial" w:hAnsi="Arial"/>
          <w:sz w:val="19"/>
          <w:szCs w:val="19"/>
          <w:color w:val="auto"/>
        </w:rPr>
        <w:t>”). The award of Restricted Stock Units (the “</w:t>
      </w:r>
      <w:r>
        <w:rPr>
          <w:rFonts w:ascii="Arial" w:cs="Arial" w:eastAsia="Arial" w:hAnsi="Arial"/>
          <w:sz w:val="19"/>
          <w:szCs w:val="19"/>
          <w:u w:val="single" w:color="auto"/>
          <w:color w:val="auto"/>
        </w:rPr>
        <w:t>Award</w:t>
      </w:r>
      <w:r>
        <w:rPr>
          <w:rFonts w:ascii="Arial" w:cs="Arial" w:eastAsia="Arial" w:hAnsi="Arial"/>
          <w:sz w:val="19"/>
          <w:szCs w:val="19"/>
          <w:color w:val="auto"/>
        </w:rPr>
        <w:t>”) is subject to all of the terms and conditons set forth herein and in the Agreement, the Country Provisions (if applicable) and the Plan, each of which are incorporated herein by reference. Unless otherwise defned herein, the terms defned in the Plan shall have the same defned meanings in this Restricted Stock Unit Award Grant Notce (the “</w:t>
      </w:r>
      <w:r>
        <w:rPr>
          <w:rFonts w:ascii="Arial" w:cs="Arial" w:eastAsia="Arial" w:hAnsi="Arial"/>
          <w:sz w:val="19"/>
          <w:szCs w:val="19"/>
          <w:u w:val="single" w:color="auto"/>
          <w:color w:val="auto"/>
        </w:rPr>
        <w:t>Grant Notce</w:t>
      </w:r>
      <w:r>
        <w:rPr>
          <w:rFonts w:ascii="Arial" w:cs="Arial" w:eastAsia="Arial" w:hAnsi="Arial"/>
          <w:sz w:val="19"/>
          <w:szCs w:val="19"/>
          <w:color w:val="auto"/>
        </w:rPr>
        <w:t>”), the Country Provisions and the Agreement.</w:t>
      </w:r>
    </w:p>
    <w:p>
      <w:pPr>
        <w:sectPr>
          <w:pgSz w:w="11900" w:h="16838" w:orient="portrait"/>
          <w:cols w:equalWidth="0" w:num="1">
            <w:col w:w="11240"/>
          </w:cols>
          <w:pgMar w:left="320" w:top="1370" w:right="339" w:bottom="1440" w:gutter="0" w:footer="0" w:header="0"/>
        </w:sect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Partcipant:</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Grant Date:</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Total Number of RSUs: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Vestng Commencement Date:</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Vestng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Terminaton of Service: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[__________________________]</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RSUs will vest in accordance with the following schedule: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[_____________]</w:t>
      </w:r>
    </w:p>
    <w:p>
      <w:pPr>
        <w:spacing w:after="0" w:line="135" w:lineRule="exact"/>
        <w:rPr>
          <w:sz w:val="20"/>
          <w:szCs w:val="20"/>
          <w:color w:val="auto"/>
        </w:rPr>
      </w:pPr>
    </w:p>
    <w:p>
      <w:pPr>
        <w:jc w:val="both"/>
        <w:ind w:right="200" w:hanging="2"/>
        <w:spacing w:after="0" w:line="220" w:lineRule="auto"/>
        <w:rPr>
          <w:sz w:val="20"/>
          <w:szCs w:val="20"/>
          <w:color w:val="auto"/>
        </w:rPr>
      </w:pPr>
      <w:r>
        <w:rPr>
          <w:rFonts w:ascii="Arial" w:cs="Arial" w:eastAsia="Arial" w:hAnsi="Arial"/>
          <w:sz w:val="20"/>
          <w:szCs w:val="20"/>
          <w:color w:val="auto"/>
        </w:rPr>
        <w:t>Except as otherwise provided by the Administrator or required by Applicable Law, if Partcipant experiences a Terminaton of Service, all RSUs that have not become vested on or prior to the date of such Terminaton of Service will thereupon be automatcally forfeited by Partcipant without payment of any consideraton therefor.</w:t>
      </w:r>
    </w:p>
    <w:p>
      <w:pPr>
        <w:spacing w:after="0" w:line="342" w:lineRule="exact"/>
        <w:rPr>
          <w:sz w:val="20"/>
          <w:szCs w:val="20"/>
          <w:color w:val="auto"/>
        </w:rPr>
      </w:pPr>
    </w:p>
    <w:p>
      <w:pPr>
        <w:sectPr>
          <w:pgSz w:w="11900" w:h="16838" w:orient="portrait"/>
          <w:cols w:equalWidth="0" w:num="2">
            <w:col w:w="3000" w:space="720"/>
            <w:col w:w="7520"/>
          </w:cols>
          <w:pgMar w:left="320" w:top="1370" w:right="339" w:bottom="1440" w:gutter="0" w:footer="0" w:header="0"/>
          <w:type w:val="continuous"/>
        </w:sectPr>
      </w:pPr>
    </w:p>
    <w:p>
      <w:pPr>
        <w:spacing w:after="0" w:line="43"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color w:val="auto"/>
        </w:rPr>
        <w:t>If the Company uses an electronic capitalizaton table system (such as Shareworks, Carta, or Equity Edge) and the felds in this Grant Notce are blank or the informaton is otherwise provided in a diferent format electronically, the blank felds and other informaton will be deemed to come from the electronic capitalizaton system and is considered part of the Award and the Agreement. In additon, the Company’s signature below shall be deemed to have occurred by the Company’s input of the RSUs in such electronic capitalizaton table system and Partcipant’s signature below shall be deemed to have occurred by Partcipant’s online acceptance of the RSUs through such electronic capitalizaton table system.</w:t>
      </w:r>
    </w:p>
    <w:p>
      <w:pPr>
        <w:spacing w:after="0" w:line="174"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color w:val="auto"/>
        </w:rPr>
        <w:t>By Partcipant’s acceptance of the RSUs through the online acceptance procedure established by the Company or by signature and the Company’s signature below, Partcipant agrees to be bound by the terms and conditons of the Plan and the Agreement (including this Grant Notce). Partcipant has reviewed the Plan and the Agreement (including this Grant Notce) in their entrety, has had an opportunity to obtain the advice of counsel prior to executng this Grant Notce and fully understands all provisions of the Plan and the Agreement (including this Grant Notce). Partcipant hereby agrees to accept as binding, conclusive and fnal all decisions or interpretatons of the Administrator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Cooper Companies, Inc.</w:t>
      </w:r>
    </w:p>
    <w:p>
      <w:pPr>
        <w:spacing w:after="0" w:line="236" w:lineRule="auto"/>
        <w:rPr>
          <w:sz w:val="20"/>
          <w:szCs w:val="20"/>
          <w:color w:val="auto"/>
        </w:rPr>
      </w:pPr>
      <w:r>
        <w:rPr>
          <w:rFonts w:ascii="Arial" w:cs="Arial" w:eastAsia="Arial" w:hAnsi="Arial"/>
          <w:sz w:val="16"/>
          <w:szCs w:val="16"/>
          <w:i w:val="1"/>
          <w:iCs w:val="1"/>
          <w:color w:val="auto"/>
        </w:rPr>
        <w:t>RESTRICTED STOCK UNIT AWARD GRANT NOTICE</w:t>
      </w:r>
    </w:p>
    <w:p>
      <w:pPr>
        <w:sectPr>
          <w:pgSz w:w="11900" w:h="16838" w:orient="portrait"/>
          <w:cols w:equalWidth="0" w:num="1">
            <w:col w:w="11240"/>
          </w:cols>
          <w:pgMar w:left="320" w:top="1370" w:right="339" w:bottom="1440" w:gutter="0" w:footer="0" w:header="0"/>
          <w:type w:val="continuous"/>
        </w:sectPr>
      </w:pPr>
    </w:p>
    <w:bookmarkStart w:id="45" w:name="page46"/>
    <w:bookmarkEnd w:id="45"/>
    <w:p>
      <w:pPr>
        <w:spacing w:after="0" w:line="39"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questons arising under the Plan and the Agreement (including this Grant Notce). In additon, by acceptng the RSUs through the online acceptance procedure established by the Company or by signing below, Partcipant also agrees that the Company, in its sole discreton, may satsfy any withholding obligatons in accordance with Secton 3.1(b) of the Agreement by (i) withholding shares of Common Stock otherwise issuable to Partcipant upon vestng of the RSUs, (ii) instructng a broker on Partcipant’s behalf to sell shares of Common Stock otherwise issuable to Partcipant upon vestng of the RSUs and submit the proceeds of such sale to the Company, or (iii) using any other method permited by Secton 3.1(b) of the Agreement or the Plan.</w:t>
      </w:r>
    </w:p>
    <w:p>
      <w:pPr>
        <w:sectPr>
          <w:pgSz w:w="11900" w:h="16838" w:orient="portrait"/>
          <w:cols w:equalWidth="0" w:num="1">
            <w:col w:w="11240"/>
          </w:cols>
          <w:pgMar w:left="320" w:top="1440" w:right="339" w:bottom="1440" w:gutter="0" w:footer="0" w:header="0"/>
        </w:sect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THE COOPER COMPANIES, INC.:</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w:t>
      </w:r>
    </w:p>
    <w:p>
      <w:pPr>
        <w:spacing w:after="0" w:line="211"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42"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320" w:top="1440" w:right="339" w:bottom="1440" w:gutter="0" w:footer="0" w:header="0"/>
          <w:type w:val="continuous"/>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Address:</w:t>
      </w:r>
    </w:p>
    <w:p>
      <w:pPr>
        <w:sectPr>
          <w:pgSz w:w="11900" w:h="16838" w:orient="portrait"/>
          <w:cols w:equalWidth="0" w:num="2">
            <w:col w:w="4920" w:space="720"/>
            <w:col w:w="5600"/>
          </w:cols>
          <w:pgMar w:left="320" w:top="1440" w:right="3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EXHIBIT A</w:t>
      </w:r>
    </w:p>
    <w:p>
      <w:pPr>
        <w:jc w:val="center"/>
        <w:spacing w:after="0" w:line="234" w:lineRule="auto"/>
        <w:rPr>
          <w:sz w:val="20"/>
          <w:szCs w:val="20"/>
          <w:color w:val="auto"/>
        </w:rPr>
      </w:pPr>
      <w:r>
        <w:rPr>
          <w:rFonts w:ascii="Arial" w:cs="Arial" w:eastAsia="Arial" w:hAnsi="Arial"/>
          <w:sz w:val="20"/>
          <w:szCs w:val="20"/>
          <w:b w:val="1"/>
          <w:bCs w:val="1"/>
          <w:color w:val="auto"/>
        </w:rPr>
        <w:t>TO RESTRICTED STOCK UNIT AWARD GRANT NOTICE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18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color w:val="auto"/>
        </w:rPr>
        <w:t>Pursuant to the Restricted Stock Unit Award Grant Notce (the “</w:t>
      </w:r>
      <w:r>
        <w:rPr>
          <w:rFonts w:ascii="Arial" w:cs="Arial" w:eastAsia="Arial" w:hAnsi="Arial"/>
          <w:sz w:val="20"/>
          <w:szCs w:val="20"/>
          <w:u w:val="single" w:color="auto"/>
          <w:color w:val="auto"/>
        </w:rPr>
        <w:t>Grant Notce</w:t>
      </w:r>
      <w:r>
        <w:rPr>
          <w:rFonts w:ascii="Arial" w:cs="Arial" w:eastAsia="Arial" w:hAnsi="Arial"/>
          <w:sz w:val="20"/>
          <w:szCs w:val="20"/>
          <w:color w:val="auto"/>
        </w:rPr>
        <w:t>”) to which this Restricted Stock Unit Award Agreement, including any additonal non-U.S. and country-specifc terms and conditons set forth in any appendices atached hereto (this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 is atached, The Cooper Companies, Inc., a Delaware corporaton (the “</w:t>
      </w:r>
      <w:r>
        <w:rPr>
          <w:rFonts w:ascii="Arial" w:cs="Arial" w:eastAsia="Arial" w:hAnsi="Arial"/>
          <w:sz w:val="20"/>
          <w:szCs w:val="20"/>
          <w:u w:val="single" w:color="auto"/>
          <w:color w:val="auto"/>
        </w:rPr>
        <w:t>Company</w:t>
      </w:r>
      <w:r>
        <w:rPr>
          <w:rFonts w:ascii="Arial" w:cs="Arial" w:eastAsia="Arial" w:hAnsi="Arial"/>
          <w:sz w:val="20"/>
          <w:szCs w:val="20"/>
          <w:color w:val="auto"/>
        </w:rPr>
        <w:t>”), has granted to Partcipant the number of restricted stock units (“</w:t>
      </w:r>
      <w:r>
        <w:rPr>
          <w:rFonts w:ascii="Arial" w:cs="Arial" w:eastAsia="Arial" w:hAnsi="Arial"/>
          <w:sz w:val="20"/>
          <w:szCs w:val="20"/>
          <w:u w:val="single" w:color="auto"/>
          <w:color w:val="auto"/>
        </w:rPr>
        <w:t>Restricted Stock Units</w:t>
      </w:r>
      <w:r>
        <w:rPr>
          <w:rFonts w:ascii="Arial" w:cs="Arial" w:eastAsia="Arial" w:hAnsi="Arial"/>
          <w:sz w:val="20"/>
          <w:szCs w:val="20"/>
          <w:color w:val="auto"/>
        </w:rPr>
        <w:t>” or “</w:t>
      </w:r>
      <w:r>
        <w:rPr>
          <w:rFonts w:ascii="Arial" w:cs="Arial" w:eastAsia="Arial" w:hAnsi="Arial"/>
          <w:sz w:val="20"/>
          <w:szCs w:val="20"/>
          <w:u w:val="single" w:color="auto"/>
          <w:color w:val="auto"/>
        </w:rPr>
        <w:t>RSUs</w:t>
      </w:r>
      <w:r>
        <w:rPr>
          <w:rFonts w:ascii="Arial" w:cs="Arial" w:eastAsia="Arial" w:hAnsi="Arial"/>
          <w:sz w:val="20"/>
          <w:szCs w:val="20"/>
          <w:color w:val="auto"/>
        </w:rPr>
        <w:t>”) set forth in the Grant Notce under the Company’s 2023 Long-Term Incentve Plan, as may be amended from tme to tme (the “</w:t>
      </w:r>
      <w:r>
        <w:rPr>
          <w:rFonts w:ascii="Arial" w:cs="Arial" w:eastAsia="Arial" w:hAnsi="Arial"/>
          <w:sz w:val="20"/>
          <w:szCs w:val="20"/>
          <w:u w:val="single" w:color="auto"/>
          <w:color w:val="auto"/>
        </w:rPr>
        <w:t>Plan</w:t>
      </w:r>
      <w:r>
        <w:rPr>
          <w:rFonts w:ascii="Arial" w:cs="Arial" w:eastAsia="Arial" w:hAnsi="Arial"/>
          <w:sz w:val="20"/>
          <w:szCs w:val="20"/>
          <w:color w:val="auto"/>
        </w:rPr>
        <w:t>”). Each Restricted Stock Unit represents the right to receive one share of Common Stock (a “</w:t>
      </w:r>
      <w:r>
        <w:rPr>
          <w:rFonts w:ascii="Arial" w:cs="Arial" w:eastAsia="Arial" w:hAnsi="Arial"/>
          <w:sz w:val="20"/>
          <w:szCs w:val="20"/>
          <w:u w:val="single" w:color="auto"/>
          <w:color w:val="auto"/>
        </w:rPr>
        <w:t>Share</w:t>
      </w:r>
      <w:r>
        <w:rPr>
          <w:rFonts w:ascii="Arial" w:cs="Arial" w:eastAsia="Arial" w:hAnsi="Arial"/>
          <w:sz w:val="20"/>
          <w:szCs w:val="20"/>
          <w:color w:val="auto"/>
        </w:rPr>
        <w:t>”) upon vestng.</w:t>
      </w:r>
    </w:p>
    <w:p>
      <w:pPr>
        <w:spacing w:after="0" w:line="309"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Defned Terms</w:t>
      </w:r>
      <w:r>
        <w:rPr>
          <w:rFonts w:ascii="Arial" w:cs="Arial" w:eastAsia="Arial" w:hAnsi="Arial"/>
          <w:sz w:val="18"/>
          <w:szCs w:val="18"/>
          <w:color w:val="auto"/>
        </w:rPr>
        <w:t>. Capitalized terms not specifcally defned herein shall have the meanings specifed in the Plan and the Grant Notce.</w:t>
      </w:r>
    </w:p>
    <w:p>
      <w:pPr>
        <w:spacing w:after="0" w:line="18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Incorporaton of Terms of Plan</w:t>
      </w:r>
      <w:r>
        <w:rPr>
          <w:rFonts w:ascii="Arial" w:cs="Arial" w:eastAsia="Arial" w:hAnsi="Arial"/>
          <w:sz w:val="20"/>
          <w:szCs w:val="20"/>
          <w:color w:val="auto"/>
        </w:rPr>
        <w:t>. The RSUs are subject to the terms and conditons of the Plan, which are incorporated herein by reference. In the event of any inconsistency between the Plan and this Agreement, the terms of the Plan shall control. If the Country Provisions apply to Partcipant, in the event of a confict between the terms of this Agreement, the Grant Notce and the Country Provisions, the terms of the Country Provisions shall control.</w:t>
      </w:r>
    </w:p>
    <w:p>
      <w:pPr>
        <w:spacing w:after="0" w:line="291"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RESTRICTED STOCK UNITS</w:t>
      </w:r>
    </w:p>
    <w:p>
      <w:pPr>
        <w:spacing w:after="0" w:line="9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 of RSUs</w:t>
      </w:r>
      <w:r>
        <w:rPr>
          <w:rFonts w:ascii="Arial" w:cs="Arial" w:eastAsia="Arial" w:hAnsi="Arial"/>
          <w:sz w:val="20"/>
          <w:szCs w:val="20"/>
          <w:color w:val="auto"/>
        </w:rPr>
        <w:t>. Pursuant to the Grant Notce and upon the terms and conditons set forth in the Plan, this Agreement and the Country Provisions (if applicable), efectve as of the Grant Date set forth in the Grant Notce, the Company hereby grants to Partcipant an award of RSUs under the Plan (the “</w:t>
      </w:r>
      <w:r>
        <w:rPr>
          <w:rFonts w:ascii="Arial" w:cs="Arial" w:eastAsia="Arial" w:hAnsi="Arial"/>
          <w:sz w:val="20"/>
          <w:szCs w:val="20"/>
          <w:u w:val="single" w:color="auto"/>
          <w:color w:val="auto"/>
        </w:rPr>
        <w:t>Award</w:t>
      </w:r>
      <w:r>
        <w:rPr>
          <w:rFonts w:ascii="Arial" w:cs="Arial" w:eastAsia="Arial" w:hAnsi="Arial"/>
          <w:sz w:val="20"/>
          <w:szCs w:val="20"/>
          <w:color w:val="auto"/>
        </w:rPr>
        <w:t>”), subject to adjustments as provided in Secton 12.2 of the Plan.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Unsecured Obligaton to RSUs</w:t>
      </w:r>
      <w:r>
        <w:rPr>
          <w:rFonts w:ascii="Arial" w:cs="Arial" w:eastAsia="Arial" w:hAnsi="Arial"/>
          <w:sz w:val="19"/>
          <w:szCs w:val="19"/>
          <w:color w:val="auto"/>
        </w:rPr>
        <w:t>. Unless and untl the RSUs have vested in the manner set forth in Artcle II hereof, Partcipant will have no right to receive Common Stock or other property under any such RSUs. Prior to actual payment of any vested RSUs, such RSUs will represent an unsecured obligaton of the Company, payable (if at all) only from the general assets of the Company.</w:t>
      </w:r>
    </w:p>
    <w:p>
      <w:pPr>
        <w:spacing w:after="0" w:line="157"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Vestng Schedule</w:t>
      </w:r>
      <w:r>
        <w:rPr>
          <w:rFonts w:ascii="Arial" w:cs="Arial" w:eastAsia="Arial" w:hAnsi="Arial"/>
          <w:sz w:val="20"/>
          <w:szCs w:val="20"/>
          <w:color w:val="auto"/>
        </w:rPr>
        <w:t>. Subject to Secton 2.4 hereof, the RSUs shall vest and become nonforfeitable with respect to the applicable porton thereof according to the vestng schedule set forth in the Grant Notce (rounding down to the nearest whole Share). Notwithstanding the foregoing and the Grant Notce, but subject to Secton 2.4 hereof, in the event of a Change in Control, the RSUs shall be treated pursuant to Secton 12.2 of the Plan.</w:t>
      </w:r>
    </w:p>
    <w:p>
      <w:pPr>
        <w:spacing w:after="0" w:line="16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u w:val="single" w:color="auto"/>
          <w:color w:val="auto"/>
        </w:rPr>
        <w:t>Forfeiture, Terminaton and Cancellaton upon Terminaton of Service</w:t>
      </w:r>
      <w:r>
        <w:rPr>
          <w:rFonts w:ascii="Arial" w:cs="Arial" w:eastAsia="Arial" w:hAnsi="Arial"/>
          <w:sz w:val="18"/>
          <w:szCs w:val="18"/>
          <w:color w:val="auto"/>
        </w:rPr>
        <w:t>.</w:t>
      </w:r>
    </w:p>
    <w:p>
      <w:pPr>
        <w:spacing w:after="0" w:line="175" w:lineRule="exact"/>
        <w:rPr>
          <w:sz w:val="20"/>
          <w:szCs w:val="20"/>
          <w:color w:val="auto"/>
        </w:rPr>
      </w:pPr>
    </w:p>
    <w:p>
      <w:pPr>
        <w:jc w:val="both"/>
        <w:ind w:left="180" w:firstLine="476"/>
        <w:spacing w:after="0" w:line="217" w:lineRule="auto"/>
        <w:tabs>
          <w:tab w:leader="none" w:pos="1308"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Notwithstanding any contrary provision of this Agreement or the Plan, except as otherwise provided by the Administrator, upon Partcipant’s Terminaton of Service for any or no reason (and whether or not later found to be invalid or in breach of employment laws in the jurisdicton where Partcipant is employed), all RSUs which have not vested prior to or in connecton with such Terminaton of Service shall automatcally be forfeited, terminated and cancelled as of the applicable terminaton date without payment of any consideraton by the Company, and Partcipant, or Partcipant’s benefciary or personal representatve, as the case may be, shall have no further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70" w:right="339" w:bottom="1440" w:gutter="0" w:footer="0" w:header="0"/>
        </w:sectPr>
      </w:pPr>
    </w:p>
    <w:bookmarkStart w:id="47" w:name="page48"/>
    <w:bookmarkEnd w:id="47"/>
    <w:p>
      <w:pPr>
        <w:jc w:val="both"/>
        <w:ind w:left="180"/>
        <w:spacing w:after="0" w:line="223" w:lineRule="auto"/>
        <w:rPr>
          <w:sz w:val="20"/>
          <w:szCs w:val="20"/>
          <w:color w:val="auto"/>
        </w:rPr>
      </w:pPr>
      <w:r>
        <w:rPr>
          <w:rFonts w:ascii="Arial" w:cs="Arial" w:eastAsia="Arial" w:hAnsi="Arial"/>
          <w:sz w:val="20"/>
          <w:szCs w:val="20"/>
          <w:color w:val="auto"/>
        </w:rPr>
        <w:t>under this Agreement. No porton of the RSUs which has not become vested as of the date on which Partcipant incurs a Terminaton of Service shall thereafer become vested, except as may otherwise be provided by the Administrator or as set forth in a writen agreement between the Company (or any Subsidiary that is the employer of Partcipant) and Partcipant.</w:t>
      </w:r>
    </w:p>
    <w:p>
      <w:pPr>
        <w:spacing w:after="0" w:line="169" w:lineRule="exact"/>
        <w:rPr>
          <w:sz w:val="20"/>
          <w:szCs w:val="20"/>
          <w:color w:val="auto"/>
        </w:rPr>
      </w:pPr>
    </w:p>
    <w:p>
      <w:pPr>
        <w:jc w:val="both"/>
        <w:ind w:left="180" w:firstLine="470"/>
        <w:spacing w:after="0" w:line="225" w:lineRule="auto"/>
        <w:tabs>
          <w:tab w:leader="none" w:pos="1314" w:val="left"/>
        </w:tabs>
        <w:numPr>
          <w:ilvl w:val="0"/>
          <w:numId w:val="20"/>
        </w:numPr>
        <w:rPr>
          <w:rFonts w:ascii="Arial" w:cs="Arial" w:eastAsia="Arial" w:hAnsi="Arial"/>
          <w:sz w:val="19"/>
          <w:szCs w:val="19"/>
          <w:color w:val="auto"/>
        </w:rPr>
      </w:pPr>
      <w:r>
        <w:rPr>
          <w:rFonts w:ascii="Arial" w:cs="Arial" w:eastAsia="Arial" w:hAnsi="Arial"/>
          <w:sz w:val="19"/>
          <w:szCs w:val="19"/>
          <w:color w:val="auto"/>
        </w:rPr>
        <w:t>For purposes of the RSUs, Partcipant’s Terminaton of Service will be considered to occur on the date Partcipant is no longer actvely providing services to the Company or any Subsidiary, and unless otherwise expressly provided in this Agreement or determined by the Administrator, Partcipant’s right to vest in the RSUs under the Plan, if any, will terminate as of such date and will not be extended by any notce period (e.g., Partcipant’s period of service would not include any contractual notce period or any period of “garden leave” or similar period mandated under employment laws in the jurisdicton where Partcipant is employed). The Company shall have the discreton to determine when Partcipant is no longer actvely providing services for purposes of Partcipant’s RSUs (including whether Partcipant may stll be considered to be providing services while on a leave of absence).</w:t>
      </w:r>
    </w:p>
    <w:p>
      <w:pPr>
        <w:spacing w:after="0" w:line="173" w:lineRule="exact"/>
        <w:rPr>
          <w:sz w:val="20"/>
          <w:szCs w:val="20"/>
          <w:color w:val="auto"/>
        </w:rPr>
      </w:pPr>
    </w:p>
    <w:p>
      <w:pPr>
        <w:jc w:val="both"/>
        <w:spacing w:after="0" w:line="223"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Issuance of Common Stock upon Vestng</w:t>
      </w:r>
      <w:r>
        <w:rPr>
          <w:rFonts w:ascii="Arial" w:cs="Arial" w:eastAsia="Arial" w:hAnsi="Arial"/>
          <w:sz w:val="19"/>
          <w:szCs w:val="19"/>
          <w:color w:val="auto"/>
        </w:rPr>
        <w:t>. As soon as administratvely practcable following the vestng of any Restricted Stock Units pursuant to Secton 2.3 hereof, but in no event later than 30 days afer such vestng date (for the avoidance of doubt, this deadline is intended to comply with the “short term deferral” exempton from Secton 409A), the Company shall deliver to Partcipant (or any transferee permited under Secton 3.2 hereof) either, as determined by the Company, in its sole discreton, (i) a number of Shares or (ii) a cash payment in the amount equal to the Fair Market Value, as of the date of vestng, of a number of Shares equal to the number of RSUs subject to the Award that vest on the applicable vestng date. Notwithstanding the foregoing, in the event Shares cannot be issued pursuant to Secton 10.4 of the Plan, the Shares shall be issued pursuant to the preceding sentence as soon as administratvely practcable afer the Administrator determines that Shares can again be issued in accordance with such Secton.</w:t>
      </w:r>
    </w:p>
    <w:p>
      <w:pPr>
        <w:spacing w:after="0" w:line="17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Conditons to Delivery of Shares</w:t>
      </w:r>
      <w:r>
        <w:rPr>
          <w:rFonts w:ascii="Arial" w:cs="Arial" w:eastAsia="Arial" w:hAnsi="Arial"/>
          <w:sz w:val="20"/>
          <w:szCs w:val="20"/>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fulfllment of the conditons set forth in Secton 10.4 of the Plan.</w:t>
      </w:r>
    </w:p>
    <w:p>
      <w:pPr>
        <w:spacing w:after="0" w:line="156"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The holder of the RSUs shall not be, nor have any of the rights or privileges of, a stockholder of the Company, including, without limitaton, votng rights and rights to dividends, in respect of the RSUs and any Shares underlying the RSUs and deliverable hereunder unless and untl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Secton 12.2 of the Plan.</w:t>
      </w:r>
    </w:p>
    <w:p>
      <w:pPr>
        <w:spacing w:after="0" w:line="291"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89" w:lineRule="exact"/>
        <w:rPr>
          <w:sz w:val="20"/>
          <w:szCs w:val="20"/>
          <w:color w:val="auto"/>
        </w:rPr>
      </w:pPr>
    </w:p>
    <w:p>
      <w:pPr>
        <w:jc w:val="both"/>
        <w:ind w:left="180" w:firstLine="476"/>
        <w:spacing w:after="0" w:line="225" w:lineRule="auto"/>
        <w:tabs>
          <w:tab w:leader="none" w:pos="1314"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Partcipant acknowledges that, regardless of any acton taken by the Company or, if diferent, Partcipant’s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ultmate liability for all Tax-Related Items is and remains Partcipant’s responsibility and may exceed the amount (if any) actually withheld by the Company or the Employer. Partcipant further acknowledges that the Company and/or the Employer (i) make no representatons or undertakings regarding the treatment of any Tax-Related Items in connecton with any aspect of the RSUs, including, but not limited to, the grant, vestng or setlement of the RSUs, the subsequent sale or disposal of Shares and the receipt of any dividends; and (ii) do not commit to and are under no obligaton to structure the terms of the grant of the RSUs or any aspect of the RSUs to reduce or eliminate Partcipant’s liability for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70" w:right="339" w:bottom="1440" w:gutter="0" w:footer="0" w:header="0"/>
        </w:sectPr>
      </w:pPr>
    </w:p>
    <w:bookmarkStart w:id="48" w:name="page49"/>
    <w:bookmarkEnd w:id="48"/>
    <w:p>
      <w:pPr>
        <w:jc w:val="both"/>
        <w:ind w:left="180"/>
        <w:spacing w:after="0" w:line="223" w:lineRule="auto"/>
        <w:rPr>
          <w:sz w:val="20"/>
          <w:szCs w:val="20"/>
          <w:color w:val="auto"/>
        </w:rPr>
      </w:pPr>
      <w:r>
        <w:rPr>
          <w:rFonts w:ascii="Arial" w:cs="Arial" w:eastAsia="Arial" w:hAnsi="Arial"/>
          <w:sz w:val="20"/>
          <w:szCs w:val="20"/>
          <w:color w:val="auto"/>
        </w:rPr>
        <w:t>Related Items or achieve any partcular tax result. Further, if Partcipant is subject to Tax-Related Items in more than one jurisdicton, Partcipant acknowledges that the Company and/or the Employer (or former employer, as applicable) may be required to withhold or account for Tax-Related Items in more than one jurisdicton.</w:t>
      </w:r>
    </w:p>
    <w:p>
      <w:pPr>
        <w:spacing w:after="0" w:line="169" w:lineRule="exact"/>
        <w:rPr>
          <w:sz w:val="20"/>
          <w:szCs w:val="20"/>
          <w:color w:val="auto"/>
        </w:rPr>
      </w:pPr>
    </w:p>
    <w:p>
      <w:pPr>
        <w:jc w:val="both"/>
        <w:ind w:left="180" w:firstLine="476"/>
        <w:spacing w:after="0" w:line="223" w:lineRule="auto"/>
        <w:tabs>
          <w:tab w:leader="none" w:pos="131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Prior to any relevant taxable or tax withholding event, as applicable, Partcipant will pay or make adequate arrangements satsfactory to the Company and/or the Employer to satsfy all Tax-Related Items. In this regard, Partcipant authorizes the Company and/or the Employer, or their respectve agents, at their discreton, to withhold any and all Tax-Related Items by one or a combinaton of the following: (i) deductng an amount sufcient to satsfy such withholding obligaton from any payment of any kind otherwise due to Partcipant; (ii) acceptng a payment from Partcipant in cash, by wire transfer of immediately available funds, or by check made payable to the order of the Company or a Subsidiary, as applicable; (iii) acceptng the delivery of Shares, including Shares delivered by atestaton; (iv) retaining Shares from setlement of the RSUs; (v) if there is a public market for Shares at the tme the withholding obligaton for Tax-Related Items is to be satsfed, selling Shares issued pursuant to the RSUs, either voluntarily by Partcipant or mandatorily by the Company; (vi) acceptng delivery of a promissory note or any other lawful consideraton; and/or (vii) any other method of withholding determined by the Company and to the extent required by Applicable Law or the Plan, approved by the Administrator.</w:t>
      </w:r>
    </w:p>
    <w:p>
      <w:pPr>
        <w:spacing w:after="0" w:line="156" w:lineRule="exact"/>
        <w:rPr>
          <w:rFonts w:ascii="Arial" w:cs="Arial" w:eastAsia="Arial" w:hAnsi="Arial"/>
          <w:sz w:val="19"/>
          <w:szCs w:val="19"/>
          <w:color w:val="auto"/>
        </w:rPr>
      </w:pPr>
    </w:p>
    <w:p>
      <w:pPr>
        <w:jc w:val="both"/>
        <w:ind w:left="180" w:firstLine="476"/>
        <w:spacing w:after="0" w:line="214" w:lineRule="auto"/>
        <w:tabs>
          <w:tab w:leader="none" w:pos="131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Withholding Rates</w:t>
      </w:r>
      <w:r>
        <w:rPr>
          <w:rFonts w:ascii="Arial" w:cs="Arial" w:eastAsia="Arial" w:hAnsi="Arial"/>
          <w:sz w:val="20"/>
          <w:szCs w:val="20"/>
          <w:color w:val="auto"/>
        </w:rPr>
        <w:t>. The Company may withhold or account for Tax-Related Items by considering statutory or other withholding rates, including minimum or maximum rates applicable in Partcipant’s jurisdicton(s). In the event of over-withholding, Partcipant may be able to receive a refund of any over-withheld amount in cash (with no enttlement to the equivalent in Common Stock), or if not refunded, Partcipant may be able to seek a refund from the local tax authorites. In the event of under-withholding, Partcipant may be required to pay any additonal Tax-Related Items directly to the applicable tax authority or to the Company and/or the Employer. If the obligaton for Tax-Related Items is satsfed by withholding in Shares, for tax purposes, Partcipant will be deemed to have been issued the full number of Shares subject to the vested RSUs, notwithstanding that a number of the Shares is held back solely for the purpose of paying the Tax-Related Items.</w:t>
      </w:r>
    </w:p>
    <w:p>
      <w:pPr>
        <w:spacing w:after="0" w:line="154" w:lineRule="exact"/>
        <w:rPr>
          <w:rFonts w:ascii="Arial" w:cs="Arial" w:eastAsia="Arial" w:hAnsi="Arial"/>
          <w:sz w:val="20"/>
          <w:szCs w:val="20"/>
          <w:color w:val="auto"/>
        </w:rPr>
      </w:pPr>
    </w:p>
    <w:p>
      <w:pPr>
        <w:jc w:val="both"/>
        <w:ind w:left="180" w:firstLine="476"/>
        <w:spacing w:after="0" w:line="220" w:lineRule="auto"/>
        <w:tabs>
          <w:tab w:leader="none" w:pos="131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Company’s Obligaton to Deliver Shares</w:t>
      </w:r>
      <w:r>
        <w:rPr>
          <w:rFonts w:ascii="Arial" w:cs="Arial" w:eastAsia="Arial" w:hAnsi="Arial"/>
          <w:sz w:val="20"/>
          <w:szCs w:val="20"/>
          <w:color w:val="auto"/>
        </w:rPr>
        <w:t>. The Company shall not be obligated to deliver any Shares to Partcipant or Partcipant’s legal representatve unless and untl Partcipant or Partcipant’s legal representatve shall have paid or otherwise satsfed in full the amount of all Tax-Related Items applicable to the taxable income of Partcipant resultng from the grant or vestng of the Restricted Stock Units or the issuance of Shares.</w:t>
      </w:r>
    </w:p>
    <w:p>
      <w:pPr>
        <w:spacing w:after="0" w:line="169"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Administraton</w:t>
      </w:r>
      <w:r>
        <w:rPr>
          <w:rFonts w:ascii="Arial" w:cs="Arial" w:eastAsia="Arial" w:hAnsi="Arial"/>
          <w:sz w:val="19"/>
          <w:szCs w:val="19"/>
          <w:color w:val="auto"/>
        </w:rPr>
        <w:t>. The Administrator shall have the power to interpret the Plan and this Agreement and to adopt such rules for the administraton, interpretaton and applicaton of the Plan as are consistent therewith and to interpret, amend or revoke any such rules. All actons taken and all interpretatons and determinatons made by the Administrator in good faith shall be fnal and binding upon Partcipant, the Company and all other interested persons. No member of the Commitee or the Board shall be personally liable for any acton, determinaton or interpretaton made in good faith with respect to the Plan, this Agreement or the RSUs.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Transferability</w:t>
      </w:r>
      <w:r>
        <w:rPr>
          <w:rFonts w:ascii="Arial" w:cs="Arial" w:eastAsia="Arial" w:hAnsi="Arial"/>
          <w:sz w:val="20"/>
          <w:szCs w:val="20"/>
          <w:color w:val="auto"/>
        </w:rPr>
        <w:t>. The RSUs shall be subject to the restrictons on transferability set forth in Secton 10.3 of the Plan.</w:t>
      </w:r>
    </w:p>
    <w:p>
      <w:pPr>
        <w:spacing w:after="0" w:line="189"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Tax Consultaton</w:t>
      </w:r>
      <w:r>
        <w:rPr>
          <w:rFonts w:ascii="Arial" w:cs="Arial" w:eastAsia="Arial" w:hAnsi="Arial"/>
          <w:sz w:val="20"/>
          <w:szCs w:val="20"/>
          <w:color w:val="auto"/>
        </w:rPr>
        <w:t>. Partcipant understands that Partcipant may sufer adverse tax consequences in connecton with the RSUs granted pursuant to this Agreement (and the Shares issuable with respect thereto). The Company is not providing any tax, legal or fnancial advice, nor is the Company making any recommendaton regarding Partcipant’s partcipaton in the Plan or the Agreement or any receipt of the RSUs or sale of Shares acquired upon setlement of the RSUs. Partcipant represents that Partcipant has consulted with any tax consultants Partcipant deems advisable in connecton with the RSUs and the issuance of Shares with respect thereto and that Partcipant is not relying on the Company for any tax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70" w:right="339" w:bottom="1440" w:gutter="0" w:footer="0" w:header="0"/>
        </w:sectPr>
      </w:pPr>
    </w:p>
    <w:bookmarkStart w:id="49" w:name="page50"/>
    <w:bookmarkEnd w:id="49"/>
    <w:p>
      <w:pPr>
        <w:jc w:val="both"/>
        <w:ind w:firstLine="324"/>
        <w:spacing w:after="0" w:line="236"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Binding Agreement</w:t>
      </w:r>
      <w:r>
        <w:rPr>
          <w:rFonts w:ascii="Arial" w:cs="Arial" w:eastAsia="Arial" w:hAnsi="Arial"/>
          <w:sz w:val="20"/>
          <w:szCs w:val="20"/>
          <w:color w:val="auto"/>
        </w:rPr>
        <w:t>. Subject to the limitaton on the transferability of the RSUs contained herein, this Agreement will be binding upon and inure to the beneft of the heirs, legatees, legal representatves, successors and assigns of the partes hereto.</w:t>
      </w:r>
    </w:p>
    <w:p>
      <w:pPr>
        <w:spacing w:after="0" w:line="155"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Adjustments Upon Specifed Events</w:t>
      </w:r>
      <w:r>
        <w:rPr>
          <w:rFonts w:ascii="Arial" w:cs="Arial" w:eastAsia="Arial" w:hAnsi="Arial"/>
          <w:sz w:val="20"/>
          <w:szCs w:val="20"/>
          <w:color w:val="auto"/>
        </w:rPr>
        <w:t>. The Administrator may accelerate the vestng of the RSUs in such circumstances as it, in its sole discreton, may determine. Partcipant acknowledges that the RSUs are subject to adjustment, modifcaton and terminaton in certain events as provided in this Agreement and Secton 12.2 of the Plan.</w:t>
      </w:r>
    </w:p>
    <w:p>
      <w:pPr>
        <w:spacing w:after="0" w:line="157"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Notces</w:t>
      </w:r>
      <w:r>
        <w:rPr>
          <w:rFonts w:ascii="Arial" w:cs="Arial" w:eastAsia="Arial" w:hAnsi="Arial"/>
          <w:sz w:val="19"/>
          <w:szCs w:val="19"/>
          <w:color w:val="auto"/>
        </w:rPr>
        <w:t>. Any notce to be given under the terms of this Agreement to the Company shall be addressed to the Company in care of the Secretary of the Company at the Company’s principal ofce, and any notce to be given to Partcipant shall be addressed to Partcipant at Partcipant’s last address refected on the Company’s records. By a notce given pursuant to this Secton 3.7, either party may hereafer designate a diferent address for notces to be given to that party. Any notce shall be deemed duly given when sent via email or when sent by certfed mail (return receipt requested) and deposited (with postage prepaid) in a post ofce or branch post ofce regularly maintained by the United States Postal Service or comparable non-U.S. postal service.</w:t>
      </w:r>
    </w:p>
    <w:p>
      <w:pPr>
        <w:spacing w:after="0" w:line="15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discreton, decide to deliver any documents related to the RSUs awarded under the Plan or future RSUs that may be awarded under the Plan by electronic means or require Partcipant to partcipate in the Plan by electronic means. Partcipant hereby consents to receive such documents by electronic delivery and agrees to partcipate in the Plan through any on-line or electronic system established and maintained by the Company or a third party designated by the Company.</w:t>
      </w:r>
    </w:p>
    <w:p>
      <w:pPr>
        <w:spacing w:after="0" w:line="1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Partcipant’s Representatons</w:t>
      </w:r>
      <w:r>
        <w:rPr>
          <w:rFonts w:ascii="Arial" w:cs="Arial" w:eastAsia="Arial" w:hAnsi="Arial"/>
          <w:sz w:val="18"/>
          <w:szCs w:val="18"/>
          <w:color w:val="auto"/>
        </w:rPr>
        <w:t>. If the Shares issuable hereunder have not been registered under the Securites Act or any applicable state laws on an efectve registraton statement at the tme of such issuance, Partcipant shall, if required by the Company, concurrently with such issuance, make such writen representatons as are deemed necessary or appropriate by the Company or its counsel.</w:t>
      </w:r>
    </w:p>
    <w:p>
      <w:pPr>
        <w:spacing w:after="0" w:line="158"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interpretaton or constructon of this Agreement.</w:t>
      </w:r>
    </w:p>
    <w:p>
      <w:pPr>
        <w:spacing w:after="0" w:line="16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Governing Law and Venue</w:t>
      </w:r>
      <w:r>
        <w:rPr>
          <w:rFonts w:ascii="Arial" w:cs="Arial" w:eastAsia="Arial" w:hAnsi="Arial"/>
          <w:sz w:val="19"/>
          <w:szCs w:val="19"/>
          <w:color w:val="auto"/>
        </w:rPr>
        <w:t>. Except as required by Delaware corporate law, the laws of the State of California shall govern the interpretaton, validity, administraton, enforcement and performance of the terms of this Agreement regardless of the law that might be applied under principles of conficts of laws. By entering into this Agreement, Partcipant irrevocably and unconditonally consents to submit to the exclusive jurisdicton of the courts of the State of California and of the United States of America, in each case located in the State of California, for any acton arising out of or relatng to this Agreement and the Plan (and agrees not to commence any litgaton relatng thereto except in such courts), and further agrees that service of any process, summons, notce or document by U.S. registered mail to the address contained in the records of the Company shall be efectve service of process for any litgaton brought against it in any such court. By entering into this Agreement, Partcipant irrevocably and unconditonally waives any objecton to the laying of venue of any litgaton arising out of the Plan or this Agreement in the courts of the State of California or the United States of America, in each case located in the State of Delaware, and further irrevocably and unconditonally waives and agrees not to plead or claim in any such court that any such litgaton brought in any such court has been brought in an inconvenient forum. By entering into this Agreement, Partcipant irrevocably and unconditonally waives, to the fullest extent permited by applicable law, any and all rights to trial by jury in connecton with any litgaton arising out of or relatng to the Plan or this Agreement.</w:t>
      </w:r>
    </w:p>
    <w:p>
      <w:pPr>
        <w:spacing w:after="0" w:line="179"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Conformity to Applicable Law</w:t>
      </w:r>
      <w:r>
        <w:rPr>
          <w:rFonts w:ascii="Arial" w:cs="Arial" w:eastAsia="Arial" w:hAnsi="Arial"/>
          <w:sz w:val="20"/>
          <w:szCs w:val="20"/>
          <w:color w:val="auto"/>
        </w:rPr>
        <w:t>. Partcipant acknowledges that the Plan and this Agreement are intended to conform to the extent necessary with all provisions of the Securites Act and the Exchange Act and any other Applicable Law. Notwithstanding anything herein to the contrary, the Plan shall be administered, and the RSUs are granted, only in such a manner as to conform to Applicable Law. To the extent permited by Applicable Law, the Plan and this Agreement shall be deemed amended to the extent necessary to conform to such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70" w:right="339" w:bottom="1440" w:gutter="0" w:footer="0" w:header="0"/>
        </w:sectPr>
      </w:pPr>
    </w:p>
    <w:bookmarkStart w:id="50" w:name="page51"/>
    <w:bookmarkEnd w:id="50"/>
    <w:p>
      <w:pPr>
        <w:jc w:val="both"/>
        <w:ind w:firstLine="324"/>
        <w:spacing w:after="0" w:line="218"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Amendment, Suspension and Terminaton</w:t>
      </w:r>
      <w:r>
        <w:rPr>
          <w:rFonts w:ascii="Arial" w:cs="Arial" w:eastAsia="Arial" w:hAnsi="Arial"/>
          <w:sz w:val="20"/>
          <w:szCs w:val="20"/>
          <w:color w:val="auto"/>
        </w:rPr>
        <w:t xml:space="preserve">. To the extent permited by the Plan, this Agreement may be wholly or partally amended or otherwise modifed, suspended or terminated at any tme or from tme to tme by the Administrator or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however, </w:t>
      </w:r>
      <w:r>
        <w:rPr>
          <w:rFonts w:ascii="Arial" w:cs="Arial" w:eastAsia="Arial" w:hAnsi="Arial"/>
          <w:sz w:val="20"/>
          <w:szCs w:val="20"/>
          <w:color w:val="auto"/>
        </w:rPr>
        <w:t>that, except as may otherwise be provided by the Plan, no amendment, modifcaton, suspension or terminaton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shall adversely afect the RSUs in any material way without the prior writen consent of Partcipant, unless such acton is necessary to ensure or facilitate compliance with Applicable Law, as determined by the Administrator.</w:t>
      </w:r>
    </w:p>
    <w:p>
      <w:pPr>
        <w:spacing w:after="0" w:line="15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and delegate any of its obligatons under this Agreement to single or multple assignees, and this Agreement shall inure to the beneft of the successors and assigns of the Company. Subject to the restrictons on transfer herein set forth in Secton 3.3 hereof, this Agreement shall be binding upon Partcipant and Partcipant’s heirs, executors, administrators, successors and assigns.</w:t>
      </w:r>
    </w:p>
    <w:p>
      <w:pPr>
        <w:spacing w:after="0" w:line="169"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Limitatons Applicable to Secton 16 Persons</w:t>
      </w:r>
      <w:r>
        <w:rPr>
          <w:rFonts w:ascii="Arial" w:cs="Arial" w:eastAsia="Arial" w:hAnsi="Arial"/>
          <w:sz w:val="19"/>
          <w:szCs w:val="19"/>
          <w:color w:val="auto"/>
        </w:rPr>
        <w:t>. Notwithstanding any other provision of the Plan or this Agreement, if Partcipant is subject to Secton 16 of the Exchange Act, then the Plan, the RSUs and this Agreement shall be subject to any additonal limitatons set forth in any applicable exemptve rule under Secton 16 of the Exchange Act (including any amendment to Rule 16b-3 of the Exchange Act) that are requirements for the applicaton of such exemptve rule. To the extent permited by Applicable Law, this Agreement shall be deemed amended to the extent necessary to conform to such applicable exemptve rule.</w:t>
      </w:r>
    </w:p>
    <w:p>
      <w:pPr>
        <w:spacing w:after="0" w:line="15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20"/>
          <w:szCs w:val="20"/>
          <w:u w:val="single" w:color="auto"/>
          <w:color w:val="auto"/>
        </w:rPr>
        <w:t>Not a Contract of Service Relatonship</w:t>
      </w:r>
      <w:r>
        <w:rPr>
          <w:rFonts w:ascii="Arial" w:cs="Arial" w:eastAsia="Arial" w:hAnsi="Arial"/>
          <w:sz w:val="20"/>
          <w:szCs w:val="20"/>
          <w:color w:val="auto"/>
        </w:rPr>
        <w:t>. Nothing in this Agreement or in the Plan shall (i) be interpreted as forming or amending an employment or service contract, (ii) confer upon Partcipant any right to commence or contnue to serve as an Employee, Consultant or other service provider of the Company or any of its Subsidiaries or (iii) interfere with or restrict in any way the rights of the Company and its Subsidiaries, which rights are hereby expressly reserved, to discharge or terminate the services of Partcipant at any tme for any reason whatsoever, with or without cause, except to the extent expressly provided otherwise by Applicable Law or in a writen agreement between the Company or a Subsidiary (as applicable) and Partcipant.</w:t>
      </w:r>
    </w:p>
    <w:p>
      <w:pPr>
        <w:spacing w:after="0" w:line="174"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Entre Agreement</w:t>
      </w:r>
      <w:r>
        <w:rPr>
          <w:rFonts w:ascii="Arial" w:cs="Arial" w:eastAsia="Arial" w:hAnsi="Arial"/>
          <w:sz w:val="20"/>
          <w:szCs w:val="20"/>
          <w:color w:val="auto"/>
        </w:rPr>
        <w:t xml:space="preserve">. The Plan, the Grant Notce and this Agreement (including the Country Provisions) consttute the entre agreement of the partes and supersede in their entrety all prior undertakings and agreements of the Company and Partcipant with respect to the subject mater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RSUs shall be subject to any accelerated vestng provisions in any writen agreement between Partcipant and the Company (or any Subsidiary that is the employer of Partcipant) or a Company plan pursuant to which Partcipant is eligible to partcipate, in each case, in accordance with the terms therein.</w:t>
      </w:r>
    </w:p>
    <w:p>
      <w:pPr>
        <w:spacing w:after="0" w:line="15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u w:val="single" w:color="auto"/>
          <w:color w:val="auto"/>
        </w:rPr>
        <w:t>Waiver</w:t>
      </w:r>
      <w:r>
        <w:rPr>
          <w:rFonts w:ascii="Arial" w:cs="Arial" w:eastAsia="Arial" w:hAnsi="Arial"/>
          <w:sz w:val="20"/>
          <w:szCs w:val="20"/>
          <w:color w:val="auto"/>
        </w:rPr>
        <w:t>. Either party’s failure to enforce any provision or provisions of this Agreement shall not in any way be construed as a waiver of any such provision or provisions, nor prevent that party from thereafer enforcing each and every other provision of this Agreement. The rights granted both partes herein are cumulatve and shall not consttute a waiver of either party’s right to assert all other legal remedies available to it under the circumstances.</w:t>
      </w:r>
    </w:p>
    <w:p>
      <w:pPr>
        <w:spacing w:after="0" w:line="16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Secton 409A</w:t>
      </w:r>
      <w:r>
        <w:rPr>
          <w:rFonts w:ascii="Arial" w:cs="Arial" w:eastAsia="Arial" w:hAnsi="Arial"/>
          <w:sz w:val="19"/>
          <w:szCs w:val="19"/>
          <w:color w:val="auto"/>
        </w:rPr>
        <w:t>. The Award is not intended to consttute “nonqualifed deferred compensaton” within the meaning of Secton 409A. However, notwithstanding any other provision of the Plan, the Grant Notce or this Agreement, if at any tme the Administrator determines that the Award (or any porton thereof) may be subject to Secton 409A, the Administrator shall have the right in its sole discreton (without any obligaton to do so or to indemnify Partcipant or any other person for failure to do so) to adopt such amendments to the Plan, the Grant Notce or this Agreement, or adopt other policies and procedures (including amendments, policies and procedures with retroactve efect), or take any other actons, as the Administrator determines are necessary or appropriate for the Award either to be exempt from the applicaton of Secton 409A or to comply with the requirements of Secton 409A.</w:t>
      </w:r>
    </w:p>
    <w:p>
      <w:pPr>
        <w:spacing w:after="0" w:line="173"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0"/>
          <w:szCs w:val="20"/>
          <w:color w:val="auto"/>
        </w:rPr>
        <w:t xml:space="preserve">1.20 </w:t>
      </w:r>
      <w:r>
        <w:rPr>
          <w:rFonts w:ascii="Arial" w:cs="Arial" w:eastAsia="Arial" w:hAnsi="Arial"/>
          <w:sz w:val="20"/>
          <w:szCs w:val="20"/>
          <w:u w:val="single" w:color="auto"/>
          <w:color w:val="auto"/>
        </w:rPr>
        <w:t>Limitaton on Partcipant’s Rights</w:t>
      </w:r>
      <w:r>
        <w:rPr>
          <w:rFonts w:ascii="Arial" w:cs="Arial" w:eastAsia="Arial" w:hAnsi="Arial"/>
          <w:sz w:val="20"/>
          <w:szCs w:val="20"/>
          <w:color w:val="auto"/>
        </w:rPr>
        <w:t>. Partcipaton in the Plan confers no rights or interests other than as herein provided. This Agreement creates only a contractual obligaton on the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70" w:right="339" w:bottom="1440" w:gutter="0" w:footer="0" w:header="0"/>
        </w:sectPr>
      </w:pPr>
    </w:p>
    <w:bookmarkStart w:id="51" w:name="page52"/>
    <w:bookmarkEnd w:id="51"/>
    <w:p>
      <w:pPr>
        <w:jc w:val="both"/>
        <w:spacing w:after="0" w:line="220" w:lineRule="auto"/>
        <w:rPr>
          <w:sz w:val="20"/>
          <w:szCs w:val="20"/>
          <w:color w:val="auto"/>
        </w:rPr>
      </w:pPr>
      <w:r>
        <w:rPr>
          <w:rFonts w:ascii="Arial" w:cs="Arial" w:eastAsia="Arial" w:hAnsi="Arial"/>
          <w:sz w:val="20"/>
          <w:szCs w:val="20"/>
          <w:color w:val="auto"/>
        </w:rPr>
        <w:t>Company as to amounts payable and shall not be construed as creatng a trust. Neither the Plan nor any underlying program, in and of itself, has any assets. Partcipant shall have only the rights of a general unsecured creditor of the Company and its Subsidiaries with respect to amounts credited and benefts payable, if any, with respect to the RSUs, and rights no greater than the right to receive the Shares as a general unsecured creditor with respect to RSUs, as and when payable hereunder.</w:t>
      </w:r>
    </w:p>
    <w:p>
      <w:pPr>
        <w:spacing w:after="0" w:line="169"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hereof becomes or is declared by a court of competent jurisdicton to be illegal, unenforceable or void, such provision shall be severed from this Agreement and the remainder of the Agreement shall contnue in full force and efect.</w:t>
      </w:r>
    </w:p>
    <w:p>
      <w:pPr>
        <w:spacing w:after="0" w:line="16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Country-Specifc Provisions</w:t>
      </w:r>
      <w:r>
        <w:rPr>
          <w:rFonts w:ascii="Arial" w:cs="Arial" w:eastAsia="Arial" w:hAnsi="Arial"/>
          <w:sz w:val="18"/>
          <w:szCs w:val="18"/>
          <w:color w:val="auto"/>
        </w:rPr>
        <w:t>. The RSUs shall be subject to the Country Provisions, if any, for Partcipant’s country of residence, as set forth in the Country Provisions. If Partcipant relocates to one of the countries included in the Country Provisions during the life of the RSUs, the special provisions for such country shall apply to Partcipant, to the extent the Company determines that the applicaton of such provisions is necessary or advisable for legal or administratve reasons. The Appendix consttutes part of this Agreement.</w:t>
      </w:r>
    </w:p>
    <w:p>
      <w:pPr>
        <w:spacing w:after="0" w:line="150"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Impositon of Other Requirements</w:t>
      </w:r>
      <w:r>
        <w:rPr>
          <w:rFonts w:ascii="Arial" w:cs="Arial" w:eastAsia="Arial" w:hAnsi="Arial"/>
          <w:sz w:val="20"/>
          <w:szCs w:val="20"/>
          <w:color w:val="auto"/>
        </w:rPr>
        <w:t>. The Company reserves the right to impose other requirements on Partcipant’s partcipaton in the Plan, the RSUs and the Shares acquired under the Plan, to the extent the Company determines it is necessary or advisable for legal or administratve reasons, and to require Partcipant to sign any additonal agreements or undertakings that may be necessary to accomplish the foregoing.</w:t>
      </w:r>
    </w:p>
    <w:p>
      <w:pPr>
        <w:spacing w:after="0" w:line="169"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Language</w:t>
      </w:r>
      <w:r>
        <w:rPr>
          <w:rFonts w:ascii="Arial" w:cs="Arial" w:eastAsia="Arial" w:hAnsi="Arial"/>
          <w:sz w:val="19"/>
          <w:szCs w:val="19"/>
          <w:color w:val="auto"/>
        </w:rPr>
        <w:t>. By partcipatng in the Plan, Partcipant acknowledges that Partcipant is profcient in the English language, or has consulted with an advisor who is sufciently profcient in English, so as to allow Partcipant to understand the terms and conditons of the Plan and the Agreement applicable to Partcipant’s country of residence. If Partcipant has received the Agreement and the Plan applicable to Partcipant’s country of residence or any other document related to the Plan translated into a language other than English and if the meaning of the translated version is diferent than the English version, the English version will control.</w:t>
      </w:r>
    </w:p>
    <w:p>
      <w:pPr>
        <w:spacing w:after="0" w:line="16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acceptng the RSUs, Partcipant acknowledges that:</w:t>
      </w:r>
    </w:p>
    <w:p>
      <w:pPr>
        <w:spacing w:after="0" w:line="189" w:lineRule="exact"/>
        <w:rPr>
          <w:sz w:val="20"/>
          <w:szCs w:val="20"/>
          <w:color w:val="auto"/>
        </w:rPr>
      </w:pPr>
    </w:p>
    <w:p>
      <w:pPr>
        <w:ind w:left="180" w:firstLine="476"/>
        <w:spacing w:after="0" w:line="229" w:lineRule="auto"/>
        <w:tabs>
          <w:tab w:leader="none" w:pos="1314"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discretonary in nature, and may be amended, suspended or terminated by the Company at any tme, to the extent permited by the Plan;</w:t>
      </w:r>
    </w:p>
    <w:p>
      <w:pPr>
        <w:spacing w:after="0" w:line="168" w:lineRule="exact"/>
        <w:rPr>
          <w:rFonts w:ascii="Arial" w:cs="Arial" w:eastAsia="Arial" w:hAnsi="Arial"/>
          <w:sz w:val="20"/>
          <w:szCs w:val="20"/>
          <w:color w:val="auto"/>
        </w:rPr>
      </w:pPr>
    </w:p>
    <w:p>
      <w:pPr>
        <w:ind w:left="180" w:firstLine="476"/>
        <w:spacing w:after="0" w:line="236" w:lineRule="auto"/>
        <w:tabs>
          <w:tab w:leader="none" w:pos="1314"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grant of the RSUs is exceptonal, voluntary and occasional and does not create any contractual or other right to receive future grants of RSUs, or benefts in lieu of RSUs, even if RSUs have been granted in the past;</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all decisions with respect to future RSUs or other grants, if any, will be at the sole discreton of the Administrator;</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Partcipant is voluntarily partcipatng in the Plan;</w:t>
      </w:r>
    </w:p>
    <w:p>
      <w:pPr>
        <w:spacing w:after="0" w:line="188" w:lineRule="exact"/>
        <w:rPr>
          <w:rFonts w:ascii="Arial" w:cs="Arial" w:eastAsia="Arial" w:hAnsi="Arial"/>
          <w:sz w:val="20"/>
          <w:szCs w:val="20"/>
          <w:color w:val="auto"/>
        </w:rPr>
      </w:pPr>
    </w:p>
    <w:p>
      <w:pPr>
        <w:jc w:val="both"/>
        <w:ind w:left="180" w:firstLine="476"/>
        <w:spacing w:after="0" w:line="252" w:lineRule="auto"/>
        <w:tabs>
          <w:tab w:leader="none" w:pos="13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RSUs and the Shares subject to the RSUs, and the income from and value of same, are not part of normal or expected wages or salary for any purposes, including, but not limited to, calculaton of any severance, resignaton, terminaton, redundancy, dismissal, end of service payments, bonuses, holiday pay, long-service awards, pension or retrement benefts or similar payments;</w:t>
      </w:r>
    </w:p>
    <w:p>
      <w:pPr>
        <w:spacing w:after="0" w:line="157" w:lineRule="exact"/>
        <w:rPr>
          <w:rFonts w:ascii="Arial" w:cs="Arial" w:eastAsia="Arial" w:hAnsi="Arial"/>
          <w:sz w:val="18"/>
          <w:szCs w:val="18"/>
          <w:color w:val="auto"/>
        </w:rPr>
      </w:pPr>
    </w:p>
    <w:p>
      <w:pPr>
        <w:ind w:left="180" w:firstLine="476"/>
        <w:spacing w:after="0" w:line="229" w:lineRule="auto"/>
        <w:tabs>
          <w:tab w:leader="none" w:pos="1317"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RSUs and the Shares subject to the RSUs, and the income from and value of same, are not intended to replace any pension rights or compensaton;</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70" w:right="339" w:bottom="1440" w:gutter="0" w:footer="0" w:header="0"/>
        </w:sectPr>
      </w:pPr>
    </w:p>
    <w:bookmarkStart w:id="52" w:name="page53"/>
    <w:bookmarkEnd w:id="52"/>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value of the Shares acquired upon vestng of the RSUs may increase or decrease in value;</w:t>
      </w:r>
    </w:p>
    <w:p>
      <w:pPr>
        <w:spacing w:after="0" w:line="188" w:lineRule="exact"/>
        <w:rPr>
          <w:rFonts w:ascii="Arial" w:cs="Arial" w:eastAsia="Arial" w:hAnsi="Arial"/>
          <w:sz w:val="20"/>
          <w:szCs w:val="20"/>
          <w:color w:val="auto"/>
        </w:rPr>
      </w:pPr>
    </w:p>
    <w:p>
      <w:pPr>
        <w:jc w:val="both"/>
        <w:ind w:left="180" w:firstLine="476"/>
        <w:spacing w:after="0" w:line="223" w:lineRule="auto"/>
        <w:tabs>
          <w:tab w:leader="none" w:pos="1314"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unless otherwise agreed with the Company in writng, the RSUs and the Shares subject to the RSUs, and the income from and value of same, are not granted as consideraton for, or in connecton with, the service Partcipant may provide as a director of a Subsidiary of the Company;</w:t>
      </w:r>
    </w:p>
    <w:p>
      <w:pPr>
        <w:spacing w:after="0" w:line="168" w:lineRule="exact"/>
        <w:rPr>
          <w:rFonts w:ascii="Arial" w:cs="Arial" w:eastAsia="Arial" w:hAnsi="Arial"/>
          <w:sz w:val="20"/>
          <w:szCs w:val="20"/>
          <w:color w:val="auto"/>
        </w:rPr>
      </w:pPr>
    </w:p>
    <w:p>
      <w:pPr>
        <w:jc w:val="both"/>
        <w:ind w:left="180" w:firstLine="476"/>
        <w:spacing w:after="0" w:line="235" w:lineRule="auto"/>
        <w:tabs>
          <w:tab w:leader="none" w:pos="13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unless otherwise provided in the Plan or by the Administrator in its discreton, the RSUs and the benefts evidenced by this Agreement do not create any enttlement to have the RSUs or any such benefts transferred to, or assumed by, another company nor be exchanged, cashed out or substtuted for, in connecton with any corporate transacton afectng the Shares;</w:t>
      </w:r>
    </w:p>
    <w:p>
      <w:pPr>
        <w:spacing w:after="0" w:line="168" w:lineRule="exact"/>
        <w:rPr>
          <w:rFonts w:ascii="Arial" w:cs="Arial" w:eastAsia="Arial" w:hAnsi="Arial"/>
          <w:sz w:val="19"/>
          <w:szCs w:val="19"/>
          <w:color w:val="auto"/>
        </w:rPr>
      </w:pPr>
    </w:p>
    <w:p>
      <w:pPr>
        <w:jc w:val="both"/>
        <w:ind w:left="180" w:firstLine="476"/>
        <w:spacing w:after="0" w:line="235" w:lineRule="auto"/>
        <w:tabs>
          <w:tab w:leader="none" w:pos="1314"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 claim or enttlement to compensaton or damages shall arise from forfeiture of the RSUs resultng from Partcipant’s Terminaton of Service (for any reason whatsoever whether or not later found to be invalid or in breach of employment laws in the jurisdicton where Partcipant is providing services or the terms of Partcipant’s employment or service agreement, if any); and</w:t>
      </w:r>
    </w:p>
    <w:p>
      <w:pPr>
        <w:spacing w:after="0" w:line="168" w:lineRule="exact"/>
        <w:rPr>
          <w:rFonts w:ascii="Arial" w:cs="Arial" w:eastAsia="Arial" w:hAnsi="Arial"/>
          <w:sz w:val="19"/>
          <w:szCs w:val="19"/>
          <w:color w:val="auto"/>
        </w:rPr>
      </w:pPr>
    </w:p>
    <w:p>
      <w:pPr>
        <w:jc w:val="both"/>
        <w:ind w:left="180" w:firstLine="476"/>
        <w:spacing w:after="0" w:line="223" w:lineRule="auto"/>
        <w:tabs>
          <w:tab w:leader="none" w:pos="1314"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neither the Company nor the Employer shall be liable for any foreign exchange rate fuctuaton between Partcipant’s local currency and the U.S. dollar that may afect the value of the RSUs or of any amounts due to Partcipant pursuant to the setlement of the RSUs or the subsequent sale of any Shares acquired upon setlement.</w:t>
      </w:r>
    </w:p>
    <w:p>
      <w:pPr>
        <w:spacing w:after="0" w:line="16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Foreign Asset/</w:t>
      </w:r>
      <w:r>
        <w:rPr>
          <w:rFonts w:ascii="Arial" w:cs="Arial" w:eastAsia="Arial" w:hAnsi="Arial"/>
          <w:sz w:val="18"/>
          <w:szCs w:val="18"/>
          <w:u w:val="single" w:color="auto"/>
          <w:color w:val="auto"/>
          <w:highlight w:val="white"/>
        </w:rPr>
        <w:t>Account, Exchange Control and Tax Reportng and Other Requirements</w:t>
      </w:r>
      <w:r>
        <w:rPr>
          <w:rFonts w:ascii="Arial" w:cs="Arial" w:eastAsia="Arial" w:hAnsi="Arial"/>
          <w:sz w:val="18"/>
          <w:szCs w:val="18"/>
          <w:color w:val="auto"/>
          <w:highlight w:val="white"/>
        </w:rPr>
        <w:t>. Depending on Partcipant’s country,</w:t>
      </w:r>
      <w:r>
        <w:rPr>
          <w:rFonts w:ascii="Arial" w:cs="Arial" w:eastAsia="Arial" w:hAnsi="Arial"/>
          <w:sz w:val="18"/>
          <w:szCs w:val="18"/>
          <w:color w:val="auto"/>
        </w:rPr>
        <w:t xml:space="preserve"> Partcipant may be subject to foreign asset/account, exchange control and/or tax reportng requirements as a result of the vestng of the RSUs, the acquisiton, holding and/or transfer of Shares or cash resultng from partcipaton in the Plan and/or the opening and maintaining of a brokerage or bank account in connecton with the Plan. Partcipant may be required to report such assets, accounts, account balances and values, and/or related transactons to the applicable authorites in Partcipant’s country. Partcipant may also be required to repatriate sale proceeds or other funds received as a result of Partcipant’s partcipaton in the Plan to Partcipant’s country through a designated bank or broker and/or within a certain tme afer receipt. Partcipant acknowledges that Partcipant is responsible for ensuring compliance with any applicable foreign asset/account, exchange control and tax reportng and other requirements. Partcipant further understands that Partcipant should consult Partcipant’s personal tax and legal advisors, as applicable on these maters.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-1004570</wp:posOffset>
            </wp:positionV>
            <wp:extent cx="7132320" cy="8826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2650"/>
                    </a:xfrm>
                    <a:prstGeom prst="rect">
                      <a:avLst/>
                    </a:prstGeom>
                    <a:noFill/>
                  </pic:spPr>
                </pic:pic>
              </a:graphicData>
            </a:graphic>
          </wp:anchor>
        </w:drawing>
      </w:r>
    </w:p>
    <w:p>
      <w:pPr>
        <w:spacing w:after="0" w:line="140"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Insider Trading/Market Abuse Laws</w:t>
      </w:r>
      <w:r>
        <w:rPr>
          <w:rFonts w:ascii="Arial" w:cs="Arial" w:eastAsia="Arial" w:hAnsi="Arial"/>
          <w:sz w:val="19"/>
          <w:szCs w:val="19"/>
          <w:color w:val="auto"/>
          <w:highlight w:val="white"/>
        </w:rPr>
        <w:t>. Partcipant acknowledges that Partcipant may be subject to insider trading restrictons</w:t>
      </w:r>
      <w:r>
        <w:rPr>
          <w:rFonts w:ascii="Arial" w:cs="Arial" w:eastAsia="Arial" w:hAnsi="Arial"/>
          <w:sz w:val="19"/>
          <w:szCs w:val="19"/>
          <w:color w:val="auto"/>
        </w:rPr>
        <w:t xml:space="preserve"> and/or market abuse laws in applicable jurisdictons including, but not limited to, the United States and Partcipant’s country of residence, which may afect Partcipant’s ability to acquire or sell Shares or rights to Shares (e.g., RSUs) under the Plan during such tme as Partcipant is considered to have “inside informaton” regarding the Company (as defned by the laws in the applicable jurisdictons). Local insider trading laws and regulatons may prohibit the cancellaton or amendment of orders Partcipant placed before Partcipant possessed inside informaton. Further, Partcipant could be prohibited from (i) disclosing the inside informaton to any third party and (ii) “tpping” third partes or causing them otherwise to buy or sell securites. Partcipant should keep in mind third partes includes fellow employees. Any restrictons under these laws or regulatons are separate from and in additon to any restrictons that may be imposed under any applicable insider trading policy of the Company. Partcipant is responsible for ensuring compliance with any applicable restrictons and should consult with Partcipant’s personal legal advisor on this mater.</w:t>
      </w:r>
    </w:p>
    <w:p>
      <w:pPr>
        <w:spacing w:after="0" w:line="170"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fnancial advice, nor is the Company making any recommendatons regarding Partcipant’s partcipaton in the Plan or the Agreement or any receipt of the RSUs or sale of Shares acquired upon setlement of the RSUs. Partcipant should consult Partcipant’s own personal tax, legal and fnancial advisors regarding Partcipant’s partcipaton in the Plan and the Agreement before taking any acton related to the RSUs or the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7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APPENDIX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STOCK UNIT AWARD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Provisions for RSUs for Partcipants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Conditons</w:t>
      </w:r>
    </w:p>
    <w:p>
      <w:pPr>
        <w:spacing w:after="0" w:line="175"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This Appendix includes additonal terms and conditons that govern the Award granted pursuant to the terms and conditons of The Cooper Companies, Inc. 2023 Long-Term Incentve Plan, as amended from tme to tme (the “</w:t>
      </w:r>
      <w:r>
        <w:rPr>
          <w:rFonts w:ascii="Arial" w:cs="Arial" w:eastAsia="Arial" w:hAnsi="Arial"/>
          <w:sz w:val="20"/>
          <w:szCs w:val="20"/>
          <w:u w:val="single" w:color="auto"/>
          <w:color w:val="auto"/>
        </w:rPr>
        <w:t>Plan</w:t>
      </w:r>
      <w:r>
        <w:rPr>
          <w:rFonts w:ascii="Arial" w:cs="Arial" w:eastAsia="Arial" w:hAnsi="Arial"/>
          <w:sz w:val="20"/>
          <w:szCs w:val="20"/>
          <w:color w:val="auto"/>
        </w:rPr>
        <w:t>”) and the Restricted Stock Unit Award Agreement to which this Appendix is atached (the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 to the extent Partcipant resides and/or works in one of the countries listed below. To the extent there are any inconsistencies between these terms and conditons and those set forth in the Agreement, these terms and conditons shall prevail. Any capitalized term used in this Appendix without defniton shall have the meaning ascribed to such term in the Plan or the Agreement, as applicable.</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If Partcipant is a citzen or resident of a country (or if Partcipant is considered as such for local law purposes) other than the one in which Partcipant is currently residing and/or working, or if Partcipant transfers to another country afer being granted the RSUs, the Company will, in its discreton, determine the extent to which the terms and conditons contained herein will be applicable to Partcipant.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Partcipant acknowledges and agrees to the data privacy provisions set forth in Secton 10.8 of the Plan.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Notfcatons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 xml:space="preserve">This Appendix also includes informaton relatng to securites laws and certain other issues of which Partcipant should be aware with respect to Partcipant’s partcipaton in the Plan. The informaton is based on the securites and other laws in efect in the respectve countries as of </w:t>
      </w:r>
      <w:r>
        <w:rPr>
          <w:rFonts w:ascii="Arial" w:cs="Arial" w:eastAsia="Arial" w:hAnsi="Arial"/>
          <w:sz w:val="19"/>
          <w:szCs w:val="19"/>
          <w:b w:val="1"/>
          <w:bCs w:val="1"/>
          <w:color w:val="auto"/>
        </w:rPr>
        <w:t>[_____]</w:t>
      </w:r>
      <w:r>
        <w:rPr>
          <w:rFonts w:ascii="Arial" w:cs="Arial" w:eastAsia="Arial" w:hAnsi="Arial"/>
          <w:sz w:val="19"/>
          <w:szCs w:val="19"/>
          <w:color w:val="auto"/>
        </w:rPr>
        <w:t>. Such laws are ofen complex and change frequently. As a result, Partcipant should not rely on the informaton</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herein as the only source of informaton relatng to the consequences of partcipaton in the Plan because the informaton may be out of date at the tme RSUs vest and are setled or Shares acquired under the Plan are sold.</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additon, the informaton is general in nature and may not apply to the partcular situaton of Partcipant, and the Company is not in a positon to assure Partcipant of any partcular result. Accordingly, Partcipant is advised to seek appropriate professional advice as to how the relevant laws in Partcipant’s country may apply to Partcipant’s situaton. Finally, if Partcipant is a citzen or resident of a country other than the one in which Partcipant is currently working (or if Partcipant is considered as such for local law purposes), or if Partcipant transfers to another country afer being granted the RSUs, the informaton contained herein may not be applicable to Partcipant.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[Insert Individual Country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jc w:val="center"/>
        <w:spacing w:after="0" w:line="207" w:lineRule="auto"/>
        <w:rPr>
          <w:sz w:val="20"/>
          <w:szCs w:val="20"/>
          <w:color w:val="auto"/>
        </w:rPr>
      </w:pPr>
      <w:r>
        <w:rPr>
          <w:rFonts w:ascii="Arial" w:cs="Arial" w:eastAsia="Arial" w:hAnsi="Arial"/>
          <w:sz w:val="20"/>
          <w:szCs w:val="20"/>
          <w:color w:val="auto"/>
        </w:rPr>
        <w:t>Appendix-1</w:t>
      </w:r>
    </w:p>
    <w:p>
      <w:pPr>
        <w:sectPr>
          <w:pgSz w:w="11900" w:h="16838" w:orient="portrait"/>
          <w:cols w:equalWidth="0" w:num="1">
            <w:col w:w="11240"/>
          </w:cols>
          <w:pgMar w:left="320" w:top="1438" w:right="339" w:bottom="1440" w:gutter="0" w:footer="0" w:header="0"/>
        </w:sectPr>
      </w:pPr>
    </w:p>
    <w:bookmarkStart w:id="54" w:name="page55"/>
    <w:bookmarkEnd w:id="54"/>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23465"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323465" cy="4457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THE COOPER COMPANIES, INC.</w:t>
      </w:r>
    </w:p>
    <w:p>
      <w:pPr>
        <w:jc w:val="center"/>
        <w:spacing w:after="0" w:line="234" w:lineRule="auto"/>
        <w:rPr>
          <w:sz w:val="20"/>
          <w:szCs w:val="20"/>
          <w:color w:val="auto"/>
        </w:rPr>
      </w:pPr>
      <w:r>
        <w:rPr>
          <w:rFonts w:ascii="Arial" w:cs="Arial" w:eastAsia="Arial" w:hAnsi="Arial"/>
          <w:sz w:val="20"/>
          <w:szCs w:val="20"/>
          <w:b w:val="1"/>
          <w:bCs w:val="1"/>
          <w:color w:val="auto"/>
        </w:rPr>
        <w:t>2023 LONG-TERM INCENTIVE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GRANT NOTICE</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Cooper Companies, Inc., a Delaware corporaton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pursuant to its 2023 Long-Term Incentve Plan, as may be amended from tme to tme (the “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Partcipant</w:t>
      </w:r>
      <w:r>
        <w:rPr>
          <w:rFonts w:ascii="Arial" w:cs="Arial" w:eastAsia="Arial" w:hAnsi="Arial"/>
          <w:sz w:val="18"/>
          <w:szCs w:val="18"/>
          <w:color w:val="auto"/>
        </w:rPr>
        <w:t>”), an award of performance stock units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 Units</w:t>
      </w:r>
      <w:r>
        <w:rPr>
          <w:rFonts w:ascii="Arial" w:cs="Arial" w:eastAsia="Arial" w:hAnsi="Arial"/>
          <w:sz w:val="18"/>
          <w:szCs w:val="18"/>
          <w:color w:val="auto"/>
        </w:rPr>
        <w:t>” or “</w:t>
      </w:r>
      <w:r>
        <w:rPr>
          <w:rFonts w:ascii="Arial" w:cs="Arial" w:eastAsia="Arial" w:hAnsi="Arial"/>
          <w:sz w:val="18"/>
          <w:szCs w:val="18"/>
          <w:u w:val="single" w:color="auto"/>
          <w:color w:val="auto"/>
        </w:rPr>
        <w:t>PSUs</w:t>
      </w:r>
      <w:r>
        <w:rPr>
          <w:rFonts w:ascii="Arial" w:cs="Arial" w:eastAsia="Arial" w:hAnsi="Arial"/>
          <w:sz w:val="18"/>
          <w:szCs w:val="18"/>
          <w:color w:val="auto"/>
        </w:rPr>
        <w:t xml:space="preserve">”). Each vested Performance Stock Unit represents the right to receive, in accordance with the Performance Stock Unit Award Agreement atached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Performance Conditons atached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including any additonal provisions for Partcipant’s country of residence, if any, set forth in the Appendix for Partcipant’s country (the “</w:t>
      </w:r>
      <w:r>
        <w:rPr>
          <w:rFonts w:ascii="Arial" w:cs="Arial" w:eastAsia="Arial" w:hAnsi="Arial"/>
          <w:sz w:val="18"/>
          <w:szCs w:val="18"/>
          <w:u w:val="single" w:color="auto"/>
          <w:color w:val="auto"/>
        </w:rPr>
        <w:t>Country Provisions</w:t>
      </w:r>
      <w:r>
        <w:rPr>
          <w:rFonts w:ascii="Arial" w:cs="Arial" w:eastAsia="Arial" w:hAnsi="Arial"/>
          <w:sz w:val="18"/>
          <w:szCs w:val="18"/>
          <w:color w:val="auto"/>
        </w:rPr>
        <w:t>,” and collectvely, the “</w:t>
      </w:r>
      <w:r>
        <w:rPr>
          <w:rFonts w:ascii="Arial" w:cs="Arial" w:eastAsia="Arial" w:hAnsi="Arial"/>
          <w:sz w:val="18"/>
          <w:szCs w:val="18"/>
          <w:u w:val="single" w:color="auto"/>
          <w:color w:val="auto"/>
        </w:rPr>
        <w:t>Agreement</w:t>
      </w:r>
      <w:r>
        <w:rPr>
          <w:rFonts w:ascii="Arial" w:cs="Arial" w:eastAsia="Arial" w:hAnsi="Arial"/>
          <w:sz w:val="18"/>
          <w:szCs w:val="18"/>
          <w:color w:val="auto"/>
        </w:rPr>
        <w:t>”), up to two shares of Common Stock (“</w:t>
      </w:r>
      <w:r>
        <w:rPr>
          <w:rFonts w:ascii="Arial" w:cs="Arial" w:eastAsia="Arial" w:hAnsi="Arial"/>
          <w:sz w:val="18"/>
          <w:szCs w:val="18"/>
          <w:u w:val="single" w:color="auto"/>
          <w:color w:val="auto"/>
        </w:rPr>
        <w:t>Shares</w:t>
      </w:r>
      <w:r>
        <w:rPr>
          <w:rFonts w:ascii="Arial" w:cs="Arial" w:eastAsia="Arial" w:hAnsi="Arial"/>
          <w:sz w:val="18"/>
          <w:szCs w:val="18"/>
          <w:color w:val="auto"/>
        </w:rPr>
        <w:t>”). The award of Performance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 is subject to all of the terms and conditons set forth herein and in the Agreement, the Country Provisions (if applicable) and the Plan, each of which are incorporated herein by reference. Unless otherwise defned herein, the terms defned in the Plan shall have the same defned meanings in this Performance Stock Unit Award Grant Notce (the “</w:t>
      </w:r>
      <w:r>
        <w:rPr>
          <w:rFonts w:ascii="Arial" w:cs="Arial" w:eastAsia="Arial" w:hAnsi="Arial"/>
          <w:sz w:val="18"/>
          <w:szCs w:val="18"/>
          <w:u w:val="single" w:color="auto"/>
          <w:color w:val="auto"/>
        </w:rPr>
        <w:t>Grant Notce</w:t>
      </w:r>
      <w:r>
        <w:rPr>
          <w:rFonts w:ascii="Arial" w:cs="Arial" w:eastAsia="Arial" w:hAnsi="Arial"/>
          <w:sz w:val="18"/>
          <w:szCs w:val="18"/>
          <w:color w:val="auto"/>
        </w:rPr>
        <w:t xml:space="preserve"> ”), the Country Provisions and the Agreement.</w:t>
      </w:r>
    </w:p>
    <w:p>
      <w:pPr>
        <w:sectPr>
          <w:pgSz w:w="11900" w:h="16838" w:orient="portrait"/>
          <w:cols w:equalWidth="0" w:num="1">
            <w:col w:w="11240"/>
          </w:cols>
          <w:pgMar w:left="320" w:top="1440" w:right="339" w:bottom="1440" w:gutter="0" w:footer="0" w:header="0"/>
        </w:sect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Partcipant:</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Grant Date:</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Target Number of PSUs: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Vestng and Setlement: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[_____________]</w:t>
      </w:r>
    </w:p>
    <w:p>
      <w:pPr>
        <w:spacing w:after="0" w:line="135"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color w:val="auto"/>
        </w:rPr>
        <w:t xml:space="preserve">On the Determinaton Date (as defned in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the Commitee shall determine the Achievement Factor in accordance with </w:t>
      </w:r>
      <w:r>
        <w:rPr>
          <w:rFonts w:ascii="Arial" w:cs="Arial" w:eastAsia="Arial" w:hAnsi="Arial"/>
          <w:sz w:val="20"/>
          <w:szCs w:val="20"/>
          <w:b w:val="1"/>
          <w:bCs w:val="1"/>
          <w:color w:val="auto"/>
        </w:rPr>
        <w:t>Exhibit B</w:t>
      </w:r>
      <w:r>
        <w:rPr>
          <w:rFonts w:ascii="Arial" w:cs="Arial" w:eastAsia="Arial" w:hAnsi="Arial"/>
          <w:sz w:val="20"/>
          <w:szCs w:val="20"/>
          <w:color w:val="auto"/>
        </w:rPr>
        <w:t>. On the Determinaton Date, a number of Shares determined by multplying the Target Number of PSUs tmes the Achievement Factor shall be issued to Partcipant.</w:t>
      </w:r>
    </w:p>
    <w:p>
      <w:pPr>
        <w:spacing w:after="0" w:line="4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For the avoidance of doubt, in the event the Achievement Factor equals zero, no Shares will be issued in respect of the PSUs and all PSUs shall terminate for no consideraton on the Determinaton Date. Any PSUs that are unvested as of the date Partcipant incurs a Terminaton of Service (afer giving efect to any accelerated vestng pursuant to Secton 12.2 of the Plan, as modifed by Secton 2.3 of the Agreement[, and except as otherwise provided in Secton 2.4 of the Agreement]) shall thereupon terminate for no consideraton.</w:t>
      </w:r>
    </w:p>
    <w:p>
      <w:pPr>
        <w:spacing w:after="0" w:line="49" w:lineRule="exact"/>
        <w:rPr>
          <w:sz w:val="20"/>
          <w:szCs w:val="20"/>
          <w:color w:val="auto"/>
        </w:rPr>
      </w:pPr>
    </w:p>
    <w:p>
      <w:pPr>
        <w:ind w:right="1000"/>
        <w:spacing w:after="0" w:line="237" w:lineRule="auto"/>
        <w:rPr>
          <w:sz w:val="20"/>
          <w:szCs w:val="20"/>
          <w:color w:val="auto"/>
        </w:rPr>
      </w:pPr>
      <w:r>
        <w:rPr>
          <w:rFonts w:ascii="Arial" w:cs="Arial" w:eastAsia="Arial" w:hAnsi="Arial"/>
          <w:sz w:val="20"/>
          <w:szCs w:val="20"/>
          <w:color w:val="auto"/>
        </w:rPr>
        <w:t>The maximum number of Shares that may be issued in setlement of the PSUs is [_____________].</w:t>
      </w:r>
      <w:r>
        <w:rPr>
          <w:rFonts w:ascii="Arial" w:cs="Arial" w:eastAsia="Arial" w:hAnsi="Arial"/>
          <w:sz w:val="25"/>
          <w:szCs w:val="25"/>
          <w:color w:val="auto"/>
          <w:vertAlign w:val="superscript"/>
        </w:rPr>
        <w:t>1</w:t>
      </w:r>
    </w:p>
    <w:p>
      <w:pPr>
        <w:spacing w:after="0" w:line="200" w:lineRule="exact"/>
        <w:rPr>
          <w:sz w:val="20"/>
          <w:szCs w:val="20"/>
          <w:color w:val="auto"/>
        </w:rPr>
      </w:pPr>
    </w:p>
    <w:p>
      <w:pPr>
        <w:sectPr>
          <w:pgSz w:w="11900" w:h="16838" w:orient="portrait"/>
          <w:cols w:equalWidth="0" w:num="2">
            <w:col w:w="3100" w:space="720"/>
            <w:col w:w="7420"/>
          </w:cols>
          <w:pgMar w:left="320" w:top="1440" w:right="339" w:bottom="1440" w:gutter="0" w:footer="0" w:header="0"/>
          <w:type w:val="continuous"/>
        </w:sectPr>
      </w:pPr>
    </w:p>
    <w:p>
      <w:pPr>
        <w:spacing w:after="0" w:line="1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9"/>
          <w:szCs w:val="19"/>
          <w:color w:val="auto"/>
        </w:rPr>
        <w:t>If the Company uses an electronic capitalizaton table system (such as Shareworks, Carta or Equity Edge) and the felds in this Grant Notce are blank or the informaton is otherwise provided in a diferent format electronically, the blank felds and other informaton will be deemed to come from the electronic capitalizaton system and is considered part of the Award and the Agreement. In additon, the Company’s signature below shall be deemed to have occurred by the Company’s input of the PSUs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714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5" w:lineRule="exact"/>
        <w:rPr>
          <w:sz w:val="20"/>
          <w:szCs w:val="20"/>
          <w:color w:val="auto"/>
        </w:rPr>
      </w:pPr>
    </w:p>
    <w:p>
      <w:pPr>
        <w:ind w:left="100" w:hanging="92"/>
        <w:spacing w:after="0"/>
        <w:tabs>
          <w:tab w:leader="none" w:pos="10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To equal 2 tmes the Target Number of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Cooper Companies, Inc.</w:t>
      </w:r>
    </w:p>
    <w:p>
      <w:pPr>
        <w:spacing w:after="0" w:line="236" w:lineRule="auto"/>
        <w:rPr>
          <w:sz w:val="20"/>
          <w:szCs w:val="20"/>
          <w:color w:val="auto"/>
        </w:rPr>
      </w:pPr>
      <w:r>
        <w:rPr>
          <w:rFonts w:ascii="Arial" w:cs="Arial" w:eastAsia="Arial" w:hAnsi="Arial"/>
          <w:sz w:val="16"/>
          <w:szCs w:val="16"/>
          <w:i w:val="1"/>
          <w:iCs w:val="1"/>
          <w:color w:val="auto"/>
        </w:rPr>
        <w:t>PERFORMANCE STOCK UNIT AWARD GRANT NOTICE</w:t>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23465"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323465" cy="445770"/>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20"/>
          <w:szCs w:val="20"/>
          <w:color w:val="auto"/>
        </w:rPr>
        <w:t>such electronic capitalizaton table system and Partcipant’s signature below shall be deemed to have occurred by Partcipant’s online acceptance of the PSUs through such electronic capitalizaton table system.</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19"/>
          <w:szCs w:val="19"/>
          <w:color w:val="auto"/>
        </w:rPr>
        <w:t>By Partcipant’s acceptance of the PSUs through the online acceptance procedure established by the Company or by signature and the Company’s signature below, Partcipant agrees to be bound by the terms and conditons of the Plan and the Agreement (including this Grant Notce). Partcipant has reviewed the Plan and the Agreement (including this Grant Notce) in their entrety, has had an opportunity to obtain the advice of counsel prior to executng this Grant Notce and fully understands all provisions of the Plan and the Agreement (including this Grant Notce). Partcipant hereby agrees to accept as binding, conclusive and fnal all decisions or interpretatons of the Administrator upon any questons arising under the Plan and the Agreement (including this Grant Notce). In additon, by acceptng the PSUs through the online acceptance procedure established by the Company or by signing below, Partcipant also agrees that the Company, in its sole discreton, may satsfy any withholding obligatons in accordance with Secton 3.1(b) of the Agreement by (i) withholding shares of Common Stock otherwise issuable to Partcipant upon vestng of the PSUs, (ii) instructng a broker on Partcipant’s behalf to sell shares of Common Stock otherwise issuable to Partcipant upon vestng of the PSUs and submit the proceeds of such sale to the Company, or (iii) using any other method permited by Secton 3.1(b) of the Agreement or the Plan.</w:t>
      </w:r>
    </w:p>
    <w:p>
      <w:pPr>
        <w:sectPr>
          <w:pgSz w:w="11900" w:h="16838" w:orient="portrait"/>
          <w:cols w:equalWidth="0" w:num="1">
            <w:col w:w="11240"/>
          </w:cols>
          <w:pgMar w:left="320" w:top="1440" w:right="339" w:bottom="1440" w:gutter="0" w:footer="0" w:header="0"/>
        </w:sect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THE COOPER COMPANIES, INC.: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w:t>
      </w:r>
    </w:p>
    <w:p>
      <w:pPr>
        <w:spacing w:after="0" w:line="211"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center"/>
        <w:ind w:right="5340"/>
        <w:spacing w:after="0"/>
        <w:rPr>
          <w:sz w:val="20"/>
          <w:szCs w:val="20"/>
          <w:color w:val="auto"/>
        </w:rPr>
      </w:pPr>
      <w:r>
        <w:rPr>
          <w:rFonts w:ascii="Arial" w:cs="Arial" w:eastAsia="Arial" w:hAnsi="Arial"/>
          <w:sz w:val="16"/>
          <w:szCs w:val="16"/>
          <w:color w:val="auto"/>
        </w:rPr>
        <w:t>By:</w:t>
      </w:r>
    </w:p>
    <w:p>
      <w:pPr>
        <w:spacing w:after="0" w:line="73"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br w:type="column"/>
      </w:r>
    </w:p>
    <w:p>
      <w:pPr>
        <w:jc w:val="center"/>
        <w:ind w:right="4640"/>
        <w:spacing w:after="0"/>
        <w:rPr>
          <w:sz w:val="20"/>
          <w:szCs w:val="20"/>
          <w:color w:val="auto"/>
        </w:rPr>
      </w:pPr>
      <w:r>
        <w:rPr>
          <w:rFonts w:ascii="Arial" w:cs="Arial" w:eastAsia="Arial" w:hAnsi="Arial"/>
          <w:sz w:val="18"/>
          <w:szCs w:val="18"/>
          <w:color w:val="auto"/>
        </w:rPr>
        <w:t>Print Name:</w:t>
      </w:r>
    </w:p>
    <w:p>
      <w:pPr>
        <w:spacing w:after="0" w:line="50"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Address:</w:t>
      </w:r>
    </w:p>
    <w:p>
      <w:pPr>
        <w:spacing w:after="0" w:line="207"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Cooper Companies,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PERFORMANCE STOCK UNIT AWARD GRANT NOTICE</w:t>
      </w:r>
    </w:p>
    <w:p>
      <w:pPr>
        <w:sectPr>
          <w:pgSz w:w="11900" w:h="16838" w:orient="portrait"/>
          <w:cols w:equalWidth="0" w:num="1">
            <w:col w:w="11240"/>
          </w:cols>
          <w:pgMar w:left="320" w:top="1440" w:right="3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EXHIBIT A</w:t>
      </w:r>
    </w:p>
    <w:p>
      <w:pPr>
        <w:jc w:val="center"/>
        <w:spacing w:after="0" w:line="234" w:lineRule="auto"/>
        <w:rPr>
          <w:sz w:val="20"/>
          <w:szCs w:val="20"/>
          <w:color w:val="auto"/>
        </w:rPr>
      </w:pPr>
      <w:r>
        <w:rPr>
          <w:rFonts w:ascii="Arial" w:cs="Arial" w:eastAsia="Arial" w:hAnsi="Arial"/>
          <w:sz w:val="20"/>
          <w:szCs w:val="20"/>
          <w:b w:val="1"/>
          <w:bCs w:val="1"/>
          <w:color w:val="auto"/>
        </w:rPr>
        <w:t>TO PERFORMANCE STOCK UNIT AWARD GRANT NOTICE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189"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Pursuant to the Performance Stock Unit Award Grant Notce (the “</w:t>
      </w:r>
      <w:r>
        <w:rPr>
          <w:rFonts w:ascii="Arial" w:cs="Arial" w:eastAsia="Arial" w:hAnsi="Arial"/>
          <w:sz w:val="20"/>
          <w:szCs w:val="20"/>
          <w:u w:val="single" w:color="auto"/>
          <w:color w:val="auto"/>
        </w:rPr>
        <w:t>Grant Notce</w:t>
      </w:r>
      <w:r>
        <w:rPr>
          <w:rFonts w:ascii="Arial" w:cs="Arial" w:eastAsia="Arial" w:hAnsi="Arial"/>
          <w:sz w:val="20"/>
          <w:szCs w:val="20"/>
          <w:color w:val="auto"/>
        </w:rPr>
        <w:t>”) to which this Performance Stock Unit Award Agreement, including any additonal non-U.S. and country-specifc terms and conditons set forth in any appendices atached hereto (this “</w:t>
      </w:r>
      <w:r>
        <w:rPr>
          <w:rFonts w:ascii="Arial" w:cs="Arial" w:eastAsia="Arial" w:hAnsi="Arial"/>
          <w:sz w:val="20"/>
          <w:szCs w:val="20"/>
          <w:u w:val="single" w:color="auto"/>
          <w:color w:val="auto"/>
        </w:rPr>
        <w:t>Agreement</w:t>
      </w:r>
      <w:r>
        <w:rPr>
          <w:rFonts w:ascii="Arial" w:cs="Arial" w:eastAsia="Arial" w:hAnsi="Arial"/>
          <w:sz w:val="20"/>
          <w:szCs w:val="20"/>
          <w:color w:val="auto"/>
        </w:rPr>
        <w:t>”) is atached, The Cooper Companies, Inc., a Delaware corporaton (the “</w:t>
      </w:r>
      <w:r>
        <w:rPr>
          <w:rFonts w:ascii="Arial" w:cs="Arial" w:eastAsia="Arial" w:hAnsi="Arial"/>
          <w:sz w:val="20"/>
          <w:szCs w:val="20"/>
          <w:u w:val="single" w:color="auto"/>
          <w:color w:val="auto"/>
        </w:rPr>
        <w:t>Company</w:t>
      </w:r>
      <w:r>
        <w:rPr>
          <w:rFonts w:ascii="Arial" w:cs="Arial" w:eastAsia="Arial" w:hAnsi="Arial"/>
          <w:sz w:val="20"/>
          <w:szCs w:val="20"/>
          <w:color w:val="auto"/>
        </w:rPr>
        <w:t>”), has granted to Partcipant the number of restricted stock units (“</w:t>
      </w:r>
      <w:r>
        <w:rPr>
          <w:rFonts w:ascii="Arial" w:cs="Arial" w:eastAsia="Arial" w:hAnsi="Arial"/>
          <w:sz w:val="20"/>
          <w:szCs w:val="20"/>
          <w:u w:val="single" w:color="auto"/>
          <w:color w:val="auto"/>
        </w:rPr>
        <w:t>Performance Stock Units</w:t>
      </w:r>
      <w:r>
        <w:rPr>
          <w:rFonts w:ascii="Arial" w:cs="Arial" w:eastAsia="Arial" w:hAnsi="Arial"/>
          <w:sz w:val="20"/>
          <w:szCs w:val="20"/>
          <w:color w:val="auto"/>
        </w:rPr>
        <w:t>” or “</w:t>
      </w:r>
      <w:r>
        <w:rPr>
          <w:rFonts w:ascii="Arial" w:cs="Arial" w:eastAsia="Arial" w:hAnsi="Arial"/>
          <w:sz w:val="20"/>
          <w:szCs w:val="20"/>
          <w:u w:val="single" w:color="auto"/>
          <w:color w:val="auto"/>
        </w:rPr>
        <w:t>PSUs</w:t>
      </w:r>
      <w:r>
        <w:rPr>
          <w:rFonts w:ascii="Arial" w:cs="Arial" w:eastAsia="Arial" w:hAnsi="Arial"/>
          <w:sz w:val="20"/>
          <w:szCs w:val="20"/>
          <w:color w:val="auto"/>
        </w:rPr>
        <w:t>”) set forth in the Grant Notce under the Company’s 20232 Long-Term Incentve Plan, as may be amended from tme to tme (the “</w:t>
      </w:r>
      <w:r>
        <w:rPr>
          <w:rFonts w:ascii="Arial" w:cs="Arial" w:eastAsia="Arial" w:hAnsi="Arial"/>
          <w:sz w:val="20"/>
          <w:szCs w:val="20"/>
          <w:u w:val="single" w:color="auto"/>
          <w:color w:val="auto"/>
        </w:rPr>
        <w:t>Plan</w:t>
      </w:r>
      <w:r>
        <w:rPr>
          <w:rFonts w:ascii="Arial" w:cs="Arial" w:eastAsia="Arial" w:hAnsi="Arial"/>
          <w:sz w:val="20"/>
          <w:szCs w:val="20"/>
          <w:color w:val="auto"/>
        </w:rPr>
        <w:t>”). Each vested Performance Stock Unit represents the right to receive up to two shares of Common Stock (“</w:t>
      </w:r>
      <w:r>
        <w:rPr>
          <w:rFonts w:ascii="Arial" w:cs="Arial" w:eastAsia="Arial" w:hAnsi="Arial"/>
          <w:sz w:val="20"/>
          <w:szCs w:val="20"/>
          <w:u w:val="single" w:color="auto"/>
          <w:color w:val="auto"/>
        </w:rPr>
        <w:t>Shares</w:t>
      </w:r>
      <w:r>
        <w:rPr>
          <w:rFonts w:ascii="Arial" w:cs="Arial" w:eastAsia="Arial" w:hAnsi="Arial"/>
          <w:sz w:val="20"/>
          <w:szCs w:val="20"/>
          <w:color w:val="auto"/>
        </w:rPr>
        <w:t>”) upon vestng.</w:t>
      </w:r>
    </w:p>
    <w:p>
      <w:pPr>
        <w:spacing w:after="0" w:line="309"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Defned Terms</w:t>
      </w:r>
      <w:r>
        <w:rPr>
          <w:rFonts w:ascii="Arial" w:cs="Arial" w:eastAsia="Arial" w:hAnsi="Arial"/>
          <w:sz w:val="18"/>
          <w:szCs w:val="18"/>
          <w:color w:val="auto"/>
        </w:rPr>
        <w:t>. Capitalized terms not specifcally defned herein shall have the meanings specifed in the Plan and the Grant Notce.</w:t>
      </w:r>
    </w:p>
    <w:p>
      <w:pPr>
        <w:spacing w:after="0" w:line="212"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Incorporaton of Terms of Plan</w:t>
      </w:r>
      <w:r>
        <w:rPr>
          <w:rFonts w:ascii="Arial" w:cs="Arial" w:eastAsia="Arial" w:hAnsi="Arial"/>
          <w:sz w:val="20"/>
          <w:szCs w:val="20"/>
          <w:color w:val="auto"/>
        </w:rPr>
        <w:t>. The PSUs are subject to the terms and conditons of the Plan, which are incorporated herein by reference. In the event of any inconsistency between the Plan and this Agreement, the terms of the Plan shall control. If the Country Provisions apply to Partcipant, in the event of a confict between the terms of this Agreement, the Grant Notce and the Country Provisions, the terms of the Country Provisions shall control.</w:t>
      </w:r>
    </w:p>
    <w:p>
      <w:pPr>
        <w:spacing w:after="0" w:line="291"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PERFORMANCE STOCK UNITS</w:t>
      </w:r>
    </w:p>
    <w:p>
      <w:pPr>
        <w:spacing w:after="0" w:line="9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Grant of PSUs</w:t>
      </w:r>
      <w:r>
        <w:rPr>
          <w:rFonts w:ascii="Arial" w:cs="Arial" w:eastAsia="Arial" w:hAnsi="Arial"/>
          <w:sz w:val="19"/>
          <w:szCs w:val="19"/>
          <w:color w:val="auto"/>
        </w:rPr>
        <w:t>. Pursuant to the Grant Notce and upon the terms and conditons set forth in the Plan, this Agreement and the Country Provisions (if applicable), efectve as of the Grant Date set forth in the Grant Notce, the Company hereby grants to Partcipant an award of PSUs under the Plan (the “</w:t>
      </w:r>
      <w:r>
        <w:rPr>
          <w:rFonts w:ascii="Arial" w:cs="Arial" w:eastAsia="Arial" w:hAnsi="Arial"/>
          <w:sz w:val="19"/>
          <w:szCs w:val="19"/>
          <w:u w:val="single" w:color="auto"/>
          <w:color w:val="auto"/>
        </w:rPr>
        <w:t>Award</w:t>
      </w:r>
      <w:r>
        <w:rPr>
          <w:rFonts w:ascii="Arial" w:cs="Arial" w:eastAsia="Arial" w:hAnsi="Arial"/>
          <w:sz w:val="19"/>
          <w:szCs w:val="19"/>
          <w:color w:val="auto"/>
        </w:rPr>
        <w:t>”), subject to adjustments as provided in Secton 12.2 of the Plan.</w:t>
      </w:r>
    </w:p>
    <w:p>
      <w:pPr>
        <w:spacing w:after="0" w:line="15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Unsecured Obligaton to PSUs</w:t>
      </w:r>
      <w:r>
        <w:rPr>
          <w:rFonts w:ascii="Arial" w:cs="Arial" w:eastAsia="Arial" w:hAnsi="Arial"/>
          <w:sz w:val="20"/>
          <w:szCs w:val="20"/>
          <w:color w:val="auto"/>
        </w:rPr>
        <w:t xml:space="preserve">. Unless and untl the Achievement Factor (as defned in </w:t>
      </w:r>
      <w:r>
        <w:rPr>
          <w:rFonts w:ascii="Arial" w:cs="Arial" w:eastAsia="Arial" w:hAnsi="Arial"/>
          <w:sz w:val="20"/>
          <w:szCs w:val="20"/>
          <w:b w:val="1"/>
          <w:bCs w:val="1"/>
          <w:color w:val="auto"/>
        </w:rPr>
        <w:t>Exhibit B</w:t>
      </w:r>
      <w:r>
        <w:rPr>
          <w:rFonts w:ascii="Arial" w:cs="Arial" w:eastAsia="Arial" w:hAnsi="Arial"/>
          <w:sz w:val="20"/>
          <w:szCs w:val="20"/>
          <w:color w:val="auto"/>
        </w:rPr>
        <w:t>) is greater than zero and untl the PSUs have vested in the manner set forth in Artcle II hereof, Partcipant will have no right to receive Common Stock or other property under any such PSUs. Prior to actual payment of any vested PSUs, such PSUs will represent an unsecured obligaton of the Company, payable (if at all) only from the general assets of the Company.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Vestng Schedule</w:t>
      </w:r>
      <w:r>
        <w:rPr>
          <w:rFonts w:ascii="Arial" w:cs="Arial" w:eastAsia="Arial" w:hAnsi="Arial"/>
          <w:sz w:val="20"/>
          <w:szCs w:val="20"/>
          <w:color w:val="auto"/>
        </w:rPr>
        <w:t>.</w:t>
      </w:r>
    </w:p>
    <w:p>
      <w:pPr>
        <w:spacing w:after="0" w:line="189" w:lineRule="exact"/>
        <w:rPr>
          <w:sz w:val="20"/>
          <w:szCs w:val="20"/>
          <w:color w:val="auto"/>
        </w:rPr>
      </w:pPr>
    </w:p>
    <w:p>
      <w:pPr>
        <w:jc w:val="both"/>
        <w:ind w:firstLine="656"/>
        <w:spacing w:after="0" w:line="239" w:lineRule="auto"/>
        <w:tabs>
          <w:tab w:leader="none" w:pos="12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Secton 2.4 hereof, the PSUs shall vest and become nonforfeitable as set forth in the Grant Notce under “Vestng and Setlement.” Notwithstanding the foregoing and the Grant Notce, but subject to Secton 2.4 hereof, in the event of a Change in Control, the PSUs shall be treated pursuant to Secton 12.2 of the Plan. For purposes of Secton 12.2 of the Plan and this Secton 2.3, the Partcipant will be deemed to have incurred a Terminaton of Service without “cause,” if Partcipant experiences a Terminaton of Service efected by the Company or a Subsidiary for other than Cause (as defned below) or by Partcipant for Good Reason (as defned below).</w:t>
      </w:r>
    </w:p>
    <w:p>
      <w:pPr>
        <w:spacing w:after="0" w:line="170" w:lineRule="exact"/>
        <w:rPr>
          <w:rFonts w:ascii="Arial" w:cs="Arial" w:eastAsia="Arial" w:hAnsi="Arial"/>
          <w:sz w:val="18"/>
          <w:szCs w:val="18"/>
          <w:color w:val="auto"/>
        </w:rPr>
      </w:pPr>
    </w:p>
    <w:p>
      <w:pPr>
        <w:jc w:val="both"/>
        <w:ind w:firstLine="656"/>
        <w:spacing w:after="0" w:line="252" w:lineRule="auto"/>
        <w:tabs>
          <w:tab w:leader="none" w:pos="12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this Secton 2.3, the term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shall have the meaning ascribed to such term, or term of similar efect, in any ofer leter, employment, severance or similar agreement between Partcipant and the Company or any Subsidiary; </w:t>
      </w:r>
      <w:r>
        <w:rPr>
          <w:rFonts w:ascii="Arial" w:cs="Arial" w:eastAsia="Arial" w:hAnsi="Arial"/>
          <w:sz w:val="18"/>
          <w:szCs w:val="18"/>
          <w:i w:val="1"/>
          <w:iCs w:val="1"/>
          <w:color w:val="auto"/>
        </w:rPr>
        <w:t>provided</w:t>
      </w:r>
      <w:r>
        <w:rPr>
          <w:rFonts w:ascii="Arial" w:cs="Arial" w:eastAsia="Arial" w:hAnsi="Arial"/>
          <w:sz w:val="18"/>
          <w:szCs w:val="18"/>
          <w:color w:val="auto"/>
        </w:rPr>
        <w:t>, that in the absence of an ofer leter, employment, severance or similar agreement containing such defniton, “Cause” means,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70" w:right="339" w:bottom="1440" w:gutter="0" w:footer="0" w:header="0"/>
        </w:sectPr>
      </w:pPr>
    </w:p>
    <w:bookmarkStart w:id="57" w:name="page58"/>
    <w:bookmarkEnd w:id="57"/>
    <w:p>
      <w:pPr>
        <w:jc w:val="both"/>
        <w:spacing w:after="0" w:line="223" w:lineRule="auto"/>
        <w:rPr>
          <w:sz w:val="20"/>
          <w:szCs w:val="20"/>
          <w:color w:val="auto"/>
        </w:rPr>
      </w:pPr>
      <w:r>
        <w:rPr>
          <w:rFonts w:ascii="Arial" w:cs="Arial" w:eastAsia="Arial" w:hAnsi="Arial"/>
          <w:sz w:val="19"/>
          <w:szCs w:val="19"/>
          <w:color w:val="auto"/>
        </w:rPr>
        <w:t>Partcipant, the occurrence of any of the following: (i) Partcipant’s convicton or plea of guilty or nolo contendere to any felony; (ii) Partcipant’s willful misconduct in performing Partcipant’s dutes, where such misconduct has had or is reasonably likely to have a material adverse efect upon the Company and its Subsidiaries; or (iii) any material breach of any employment agreement, confdental informaton agreement or similar agreement, or any other fully executed agreement between Partcipant and the Company or any of its Subsidiaries, or of the Company’s and its Subsidiaries’ policies. Notwithstanding the foregoing, if any act or omission giving rise to Cause is reasonably capable of cure, “Cause” for the Company or any Subsidiary to terminate Partcipant shall not exist unless: (x) the Company or the applicable Subsidiary provides Partcipant with specifc writen notce of the existence of the conditon giving rise to Cause within 30 days afer the conditon giving rise to Cause was frst reasonably discoverable by the Company or its applicable Subsidiary; and (y) Partcipant fails to cure such conditon within 30 days afer Partcipant’s receipt of such writen notce.</w:t>
      </w:r>
    </w:p>
    <w:p>
      <w:pPr>
        <w:spacing w:after="0" w:line="171" w:lineRule="exact"/>
        <w:rPr>
          <w:sz w:val="20"/>
          <w:szCs w:val="20"/>
          <w:color w:val="auto"/>
        </w:rPr>
      </w:pPr>
    </w:p>
    <w:p>
      <w:pPr>
        <w:jc w:val="both"/>
        <w:ind w:firstLine="656"/>
        <w:spacing w:after="0" w:line="232"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this Secton 2.3, the term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shall have the meaning ascribed to such term, or term of similar efect, in any ofer leter, employment, severance or similar agreement between Partcipant and the Company or any Subsidiary; </w:t>
      </w:r>
      <w:r>
        <w:rPr>
          <w:rFonts w:ascii="Arial" w:cs="Arial" w:eastAsia="Arial" w:hAnsi="Arial"/>
          <w:sz w:val="18"/>
          <w:szCs w:val="18"/>
          <w:i w:val="1"/>
          <w:iCs w:val="1"/>
          <w:color w:val="auto"/>
        </w:rPr>
        <w:t>provided</w:t>
      </w:r>
      <w:r>
        <w:rPr>
          <w:rFonts w:ascii="Arial" w:cs="Arial" w:eastAsia="Arial" w:hAnsi="Arial"/>
          <w:sz w:val="18"/>
          <w:szCs w:val="18"/>
          <w:color w:val="auto"/>
        </w:rPr>
        <w:t>, that in the absence of an ofer leter, employment, severance or similar agreement containing such defniton, “Good Reason” means, with respect to Partcipant, the occurrence of any of the following without Partcipant’s prior writen consent: (i) one or more reductons in Partcipant’s combined base salary and target bonus opportunity that result in a total reducton of more than ten percent in Partcipant’s target package (which consists of the combined cash value of Partcipant’s base salary and target bonus opportunity, irrespectve of the actual amount of any performance bonus awarded) over the 12 month period immediately preceding such reductons, unless such reductons are made pursuant to one or more across-the-board reductons of the base salaries and/or target bonus opportunites of all similarly situated employees of the Company or its applicable Subsidiary; (ii) a material diminuton of Partcipant’s dutes, authority or responsibilites taken as a whole; or (iii) an involuntary relocaton of Partcipant’s principal place of employment to a locaton that increases Partcipant’s one-way commute from Partcipant’s principal residence by more than 50 miles. For the avoidance of doubt, if Partcipant directly reports to the Company’s Chief Executve Ofcer, any change resultng in Partcipant no longer reportng to the Company’s Chief Executve Ofcer shall consttute a material diminuton of Partcipant’s dutes, authorites, or responsibilites as set forth in clause (ii) above in this subsecton (c). Notwithstanding the foregoing, “Good Reason” for Partcipant to resign shall not exist unless: (x) Partcipant provides the Company or its applicable Afliate with specifc writen notce of the existence of the conditon giving rise to Good Reason within 90 days afer its inital occurrence; (y) the Company or its applicable Subsidiary fails to remedy such conditon within 30 days afer its receipt of such writen notce; and (z) Partcipant resigns and terminates Partcipant’s employment within 90 days afer the cure period has lapsed.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Forfeiture, Terminaton and Cancellaton upon Terminaton of Service</w:t>
      </w:r>
      <w:r>
        <w:rPr>
          <w:rFonts w:ascii="Arial" w:cs="Arial" w:eastAsia="Arial" w:hAnsi="Arial"/>
          <w:sz w:val="20"/>
          <w:szCs w:val="20"/>
          <w:color w:val="auto"/>
        </w:rPr>
        <w:t>.</w:t>
      </w:r>
    </w:p>
    <w:p>
      <w:pPr>
        <w:spacing w:after="0" w:line="189" w:lineRule="exact"/>
        <w:rPr>
          <w:sz w:val="20"/>
          <w:szCs w:val="20"/>
          <w:color w:val="auto"/>
        </w:rPr>
      </w:pPr>
    </w:p>
    <w:p>
      <w:pPr>
        <w:jc w:val="both"/>
        <w:ind w:firstLine="656"/>
        <w:spacing w:after="0" w:line="212" w:lineRule="auto"/>
        <w:tabs>
          <w:tab w:leader="none" w:pos="1296"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Notwithstanding any contrary provision of this Agreement or the Plan, except as otherwise provided in Secton 2.4(c) or determined by the Administrator, upon Partcipant’s Terminaton of Service for any or no reason (and whether or not later found to be invalid or in breach of employment laws in the jurisdicton where Partcipant is employed), all PSUs which have not vested prior to or in connecton with such Terminaton of Service shall automatcally be forfeited, terminated and cancelled as of the applicable terminaton date without payment of any consideraton by the Company, and Partcipant, or Partcipant’s benefciary or personal representatve, as the case may be, shall have no further rights under this Agreement. Except as otherwise provided in Secton 2.4(c), no porton of the PSUs which has not become vested as of the date on which Partcipant incurs a Terminaton of Service shall thereafer become vested, except as may otherwise be provided by the Administrator or as set forth in a writen agreement between the Company (or any Subsidiary that is the employer of Partcipant) and Partcipant.</w:t>
      </w:r>
    </w:p>
    <w:p>
      <w:pPr>
        <w:spacing w:after="0" w:line="169" w:lineRule="exact"/>
        <w:rPr>
          <w:rFonts w:ascii="Arial" w:cs="Arial" w:eastAsia="Arial" w:hAnsi="Arial"/>
          <w:sz w:val="20"/>
          <w:szCs w:val="20"/>
          <w:color w:val="auto"/>
        </w:rPr>
      </w:pPr>
    </w:p>
    <w:p>
      <w:pPr>
        <w:jc w:val="both"/>
        <w:ind w:firstLine="656"/>
        <w:spacing w:after="0" w:line="220" w:lineRule="auto"/>
        <w:tabs>
          <w:tab w:leader="none" w:pos="1296" w:val="left"/>
        </w:tabs>
        <w:numPr>
          <w:ilvl w:val="0"/>
          <w:numId w:val="28"/>
        </w:numPr>
        <w:rPr>
          <w:rFonts w:ascii="Arial" w:cs="Arial" w:eastAsia="Arial" w:hAnsi="Arial"/>
          <w:sz w:val="20"/>
          <w:szCs w:val="20"/>
          <w:color w:val="auto"/>
        </w:rPr>
      </w:pPr>
      <w:r>
        <w:rPr>
          <w:rFonts w:ascii="Arial" w:cs="Arial" w:eastAsia="Arial" w:hAnsi="Arial"/>
          <w:sz w:val="20"/>
          <w:szCs w:val="20"/>
          <w:color w:val="auto"/>
        </w:rPr>
        <w:t>For purposes of the PSUs, Partcipant’s Terminaton of Service will be considered to occur on the date Partcipant is no longer actvely providing services to the Company or any Subsidiary, and unless otherwise expressly provided in this Agreement or determined by the Administrator, Partcipant’s right to vest in the PSUs under the Plan, if any, will terminate as of such date and will not be extended by any notce period (e.g., Partcipant’s period of service would not include any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370" w:right="339" w:bottom="1440" w:gutter="0" w:footer="0" w:header="0"/>
        </w:sectPr>
      </w:pPr>
    </w:p>
    <w:bookmarkStart w:id="58" w:name="page59"/>
    <w:bookmarkEnd w:id="58"/>
    <w:p>
      <w:pPr>
        <w:jc w:val="both"/>
        <w:spacing w:after="0" w:line="235" w:lineRule="auto"/>
        <w:rPr>
          <w:sz w:val="20"/>
          <w:szCs w:val="20"/>
          <w:color w:val="auto"/>
        </w:rPr>
      </w:pPr>
      <w:r>
        <w:rPr>
          <w:rFonts w:ascii="Arial" w:cs="Arial" w:eastAsia="Arial" w:hAnsi="Arial"/>
          <w:sz w:val="19"/>
          <w:szCs w:val="19"/>
          <w:color w:val="auto"/>
        </w:rPr>
        <w:t>notce period or any period of “garden leave” or similar period mandated under employment laws in the jurisdicton where Partcipant is employed). The Company shall have the discreton to determine when Partcipant is no longer actvely providing services for purposes of Partcipant’s PSUs (including whether Partcipant may stll be considered to be providing services while on a leave of absence).</w:t>
      </w:r>
    </w:p>
    <w:p>
      <w:pPr>
        <w:spacing w:after="0" w:line="168" w:lineRule="exact"/>
        <w:rPr>
          <w:sz w:val="20"/>
          <w:szCs w:val="20"/>
          <w:color w:val="auto"/>
        </w:rPr>
      </w:pPr>
    </w:p>
    <w:p>
      <w:pPr>
        <w:jc w:val="both"/>
        <w:ind w:firstLine="656"/>
        <w:spacing w:after="0" w:line="223" w:lineRule="auto"/>
        <w:tabs>
          <w:tab w:leader="none" w:pos="1296" w:val="left"/>
        </w:tabs>
        <w:numPr>
          <w:ilvl w:val="0"/>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Notwithstanding Secton 2.4(a) or (b), in the event Partcipant experiences a Terminaton of Service as a result of death,</w:t>
      </w:r>
      <w:r>
        <w:rPr>
          <w:rFonts w:ascii="Arial" w:cs="Arial" w:eastAsia="Arial" w:hAnsi="Arial"/>
          <w:sz w:val="19"/>
          <w:szCs w:val="19"/>
          <w:color w:val="auto"/>
        </w:rPr>
        <w:t xml:space="preserve"> </w:t>
      </w:r>
      <w:r>
        <w:rPr>
          <w:rFonts w:ascii="Arial" w:cs="Arial" w:eastAsia="Arial" w:hAnsi="Arial"/>
          <w:sz w:val="19"/>
          <w:szCs w:val="19"/>
          <w:i w:val="1"/>
          <w:iCs w:val="1"/>
          <w:color w:val="auto"/>
        </w:rPr>
        <w:t>Disability or Retrement, then that number of PSUs calculated by multplying the total number of PSUs tmes a fracton, the numerator of which is the number of full months that have elapsed in the Performance Period as of the date of such Terminaton of Service and the denominator of which is the number of full months comprising the Performance Period, shall remain outstanding and eligible to vest based on the Determinaton Date and any remaining PSUs shall thereupon forfeit. Partcipant’s month of Terminaton of Service will be considered a complete month if Partcipant’s date of death, Disability or Retrement occurs on or afer the 15th day of that month. If the proraton results in a fractonal number of PSUs, the number will be rounded up to the nearest whole number. In the event of Partcipant’s death, Partcipant’s benefciary or estate shall be enttled to the Shares issuable on the Determinaton Date to which Partcipant otherwise would have been enttled under the same conditons as would have been applicable to Partcipant.</w:t>
      </w:r>
      <w:r>
        <w:rPr>
          <w:rFonts w:ascii="Arial" w:cs="Arial" w:eastAsia="Arial" w:hAnsi="Arial"/>
          <w:sz w:val="19"/>
          <w:szCs w:val="19"/>
          <w:color w:val="auto"/>
        </w:rPr>
        <w:t>]</w:t>
      </w:r>
    </w:p>
    <w:p>
      <w:pPr>
        <w:spacing w:after="0" w:line="171"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Issuance of Shares upon Vestng</w:t>
      </w:r>
      <w:r>
        <w:rPr>
          <w:rFonts w:ascii="Arial" w:cs="Arial" w:eastAsia="Arial" w:hAnsi="Arial"/>
          <w:sz w:val="19"/>
          <w:szCs w:val="19"/>
          <w:color w:val="auto"/>
        </w:rPr>
        <w:t>. As soon as administratvely practcable following the vestng of any Performance Stock Units pursuant to Secton 2.3 hereof, but in no event later than 30 days afer such vestng date (for the avoidance of doubt, this deadline is intended to comply with the “short term deferral” exempton from Secton 409A), the Company shall deliver to Partcipant (or any transferee permited under Secton 3.2 hereof) either, as determined by the Company, in its sole discreton, (i) a number of Shares or (ii) a cash payment in the amount equal to the Fair Market Value, as of the date of vestng, of a number of Shares equal to the number of PSUs subject to the Award that vest on the applicable vestng date. Notwithstanding the foregoing, in the event Shares cannot be issued pursuant to Secton 10.4 of the Plan, the Shares shall be issued pursuant to the preceding sentence as soon as administratvely practcable afer the Administrator determines that Shares can again be issued in accordance with such Secton.</w:t>
      </w:r>
    </w:p>
    <w:p>
      <w:pPr>
        <w:spacing w:after="0" w:line="171"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Conditons to Delivery of Shares</w:t>
      </w:r>
      <w:r>
        <w:rPr>
          <w:rFonts w:ascii="Arial" w:cs="Arial" w:eastAsia="Arial" w:hAnsi="Arial"/>
          <w:sz w:val="20"/>
          <w:szCs w:val="20"/>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fulfllment of the conditons set forth in Secton 10.4 of the Plan.</w:t>
      </w:r>
    </w:p>
    <w:p>
      <w:pPr>
        <w:spacing w:after="0" w:line="169"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The holder of the PSUs shall not be, nor have any of the rights or privileges of, a stockholder of the Company, including, without limitaton, votng rights and rights to dividends, in respect of the PSUs and any Shares underlying the PSUs and deliverable hereunder unless and untl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Secton 12.2 of the Plan.</w:t>
      </w:r>
    </w:p>
    <w:p>
      <w:pPr>
        <w:spacing w:after="0" w:line="309"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Taxes</w:t>
      </w:r>
      <w:r>
        <w:rPr>
          <w:rFonts w:ascii="Arial" w:cs="Arial" w:eastAsia="Arial" w:hAnsi="Arial"/>
          <w:sz w:val="20"/>
          <w:szCs w:val="20"/>
          <w:color w:val="auto"/>
        </w:rPr>
        <w:t>.</w:t>
      </w:r>
    </w:p>
    <w:p>
      <w:pPr>
        <w:spacing w:after="0" w:line="175" w:lineRule="exact"/>
        <w:rPr>
          <w:sz w:val="20"/>
          <w:szCs w:val="20"/>
          <w:color w:val="auto"/>
        </w:rPr>
      </w:pPr>
    </w:p>
    <w:p>
      <w:pPr>
        <w:jc w:val="both"/>
        <w:ind w:firstLine="656"/>
        <w:spacing w:after="0" w:line="217"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Partcipant acknowledges that, regardless of any acton taken by the Company or, if diferent, Partcipant’s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the ultmate liability for all Tax-Related Items is and remains Partcipant’s responsibility and may exceed the amount (if any) actually withheld by the Company or the Employer. Partcipant further acknowledges that the Company and/or the Employer (i) make no representatons or undertakings regarding the treatment of any Tax-Related Items in connecton with any aspect of the PSUs, including, but not limited to, the grant, vestng or setlement of the PSUs, the subsequent sale or disposal of Shares and the receipt of any dividends;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370" w:right="339" w:bottom="1440" w:gutter="0" w:footer="0" w:header="0"/>
        </w:sectPr>
      </w:pPr>
    </w:p>
    <w:bookmarkStart w:id="59" w:name="page60"/>
    <w:bookmarkEnd w:id="59"/>
    <w:p>
      <w:pPr>
        <w:jc w:val="both"/>
        <w:ind w:firstLine="8"/>
        <w:spacing w:after="0" w:line="220" w:lineRule="auto"/>
        <w:tabs>
          <w:tab w:leader="none" w:pos="271" w:val="left"/>
        </w:tabs>
        <w:numPr>
          <w:ilvl w:val="0"/>
          <w:numId w:val="31"/>
        </w:numPr>
        <w:rPr>
          <w:rFonts w:ascii="Arial" w:cs="Arial" w:eastAsia="Arial" w:hAnsi="Arial"/>
          <w:sz w:val="20"/>
          <w:szCs w:val="20"/>
          <w:color w:val="auto"/>
        </w:rPr>
      </w:pPr>
      <w:r>
        <w:rPr>
          <w:rFonts w:ascii="Arial" w:cs="Arial" w:eastAsia="Arial" w:hAnsi="Arial"/>
          <w:sz w:val="20"/>
          <w:szCs w:val="20"/>
          <w:color w:val="auto"/>
        </w:rPr>
        <w:t>do not commit to and are under no obligaton to structure the terms of the grant of the PSUs or any aspect of the PSUs to reduce or eliminate Partcipant’s liability for Tax-Related Items or achieve any partcular tax result. Further, if Partcipant is subject to Tax-Related Items in more than one jurisdicton, Partcipant acknowledges that the Company and/or the Employer (or former employer, as applicable) may be required to withhold or account for Tax-Related Items in more than one jurisdicton.</w:t>
      </w:r>
    </w:p>
    <w:p>
      <w:pPr>
        <w:spacing w:after="0" w:line="169" w:lineRule="exact"/>
        <w:rPr>
          <w:rFonts w:ascii="Arial" w:cs="Arial" w:eastAsia="Arial" w:hAnsi="Arial"/>
          <w:sz w:val="20"/>
          <w:szCs w:val="20"/>
          <w:color w:val="auto"/>
        </w:rPr>
      </w:pPr>
    </w:p>
    <w:p>
      <w:pPr>
        <w:jc w:val="both"/>
        <w:ind w:firstLine="656"/>
        <w:spacing w:after="0" w:line="235" w:lineRule="auto"/>
        <w:tabs>
          <w:tab w:leader="none" w:pos="1296"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Prior to any relevant taxable or tax withholding event, as applicable, Partcipant will pay or make adequate arrangements satsfactory to the Company and/or the Employer to satsfy all Tax-Related Items. In this regard, Partcipant authorizes the Company and/or the Employer, or their respectve agents, at their discreton, to withhold any and all Tax-Related Items by one or a combinaton of the following: (i) deductng an amount sufcient to satsfy such withholding obligaton from any payment of any kind otherwise due to Partcipant; (ii) acceptng a payment from Partcipant in cash, by wire transfer of immediately available funds, or by check made payable to the order of the Company or a Subsidiary, as applicable; (iii) acceptng the delivery of Shares, including Shares delivered by atestaton; (iv) retaining Shares from setlement of the PSUs; (v) if there is a public market for Shares at the tme the withholding obligaton for Tax-Related Items is to be satsfed, selling Shares issued pursuant to the PSUs, either voluntarily by Partcipant or mandatorily by the Company; (vi) acceptng delivery of a promissory note or any other lawful consideraton; and/or (vii) any other method of withholding determined by the Company and to the extent required by Applicable Law or the Plan, approved by the Administrator.</w:t>
      </w:r>
    </w:p>
    <w:p>
      <w:pPr>
        <w:spacing w:after="0" w:line="160" w:lineRule="exact"/>
        <w:rPr>
          <w:rFonts w:ascii="Arial" w:cs="Arial" w:eastAsia="Arial" w:hAnsi="Arial"/>
          <w:sz w:val="18"/>
          <w:szCs w:val="18"/>
          <w:color w:val="auto"/>
        </w:rPr>
      </w:pPr>
    </w:p>
    <w:p>
      <w:pPr>
        <w:jc w:val="both"/>
        <w:ind w:firstLine="656"/>
        <w:spacing w:after="0" w:line="214" w:lineRule="auto"/>
        <w:tabs>
          <w:tab w:leader="none" w:pos="1296" w:val="left"/>
        </w:tabs>
        <w:numPr>
          <w:ilvl w:val="2"/>
          <w:numId w:val="31"/>
        </w:numPr>
        <w:rPr>
          <w:rFonts w:ascii="Arial" w:cs="Arial" w:eastAsia="Arial" w:hAnsi="Arial"/>
          <w:sz w:val="20"/>
          <w:szCs w:val="20"/>
          <w:color w:val="auto"/>
        </w:rPr>
      </w:pPr>
      <w:r>
        <w:rPr>
          <w:rFonts w:ascii="Arial" w:cs="Arial" w:eastAsia="Arial" w:hAnsi="Arial"/>
          <w:sz w:val="20"/>
          <w:szCs w:val="20"/>
          <w:u w:val="single" w:color="auto"/>
          <w:color w:val="auto"/>
        </w:rPr>
        <w:t>Withholding Rates</w:t>
      </w:r>
      <w:r>
        <w:rPr>
          <w:rFonts w:ascii="Arial" w:cs="Arial" w:eastAsia="Arial" w:hAnsi="Arial"/>
          <w:sz w:val="20"/>
          <w:szCs w:val="20"/>
          <w:color w:val="auto"/>
        </w:rPr>
        <w:t>. The Company may withhold or account for Tax-Related Items by considering statutory or other withholding rates, including minimum or maximum rates applicable in Partcipant’s jurisdicton(s). In the event of over-withholding, Partcipant may be able to receive a refund of any over-withheld amount in cash (with no enttlement to the equivalent in Common Stock), or if not refunded, Partcipant may be able to seek a refund from the local tax authorites. In the event of under-withholding, Partcipant may be required to pay any additonal Tax-Related Items directly to the applicable tax authority or to the Company and/or the Employer. If the obligaton for Tax-Related Items is satsfed by withholding in Shares, for tax purposes, Partcipant will be deemed to have been issued the full number of Shares subject to the vested PSUs, notwithstanding that a number of the Shares is held back solely for the purpose of paying the Tax-Related Items.</w:t>
      </w:r>
    </w:p>
    <w:p>
      <w:pPr>
        <w:spacing w:after="0" w:line="154" w:lineRule="exact"/>
        <w:rPr>
          <w:rFonts w:ascii="Arial" w:cs="Arial" w:eastAsia="Arial" w:hAnsi="Arial"/>
          <w:sz w:val="20"/>
          <w:szCs w:val="20"/>
          <w:color w:val="auto"/>
        </w:rPr>
      </w:pPr>
    </w:p>
    <w:p>
      <w:pPr>
        <w:jc w:val="both"/>
        <w:ind w:firstLine="332"/>
        <w:spacing w:after="0" w:line="220" w:lineRule="auto"/>
        <w:tabs>
          <w:tab w:leader="none" w:pos="648"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Company’s Obligaton to Deliver Shares</w:t>
      </w:r>
      <w:r>
        <w:rPr>
          <w:rFonts w:ascii="Arial" w:cs="Arial" w:eastAsia="Arial" w:hAnsi="Arial"/>
          <w:sz w:val="20"/>
          <w:szCs w:val="20"/>
          <w:color w:val="auto"/>
        </w:rPr>
        <w:t>. The Company shall not be obligated to deliver any Shares to Partcipant or Partcipant’s legal representatve unless and untl Partcipant or Partcipant’s legal representatve shall have paid or otherwise satsfed in full the amount of all Tax-Related Items applicable to the taxable income of Partcipant resultng from the grant or vestng of the Performance Stock Units or the issuance of Shares.</w:t>
      </w:r>
    </w:p>
    <w:p>
      <w:pPr>
        <w:spacing w:after="0" w:line="169"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Administraton</w:t>
      </w:r>
      <w:r>
        <w:rPr>
          <w:rFonts w:ascii="Arial" w:cs="Arial" w:eastAsia="Arial" w:hAnsi="Arial"/>
          <w:sz w:val="19"/>
          <w:szCs w:val="19"/>
          <w:color w:val="auto"/>
        </w:rPr>
        <w:t>. The Administrator shall have the power to interpret the Plan and this Agreement and to adopt such rules for the administraton, interpretaton and applicaton of the Plan as are consistent therewith and to interpret, amend or revoke any such rules. All actons taken and all interpretatons and determinatons made by the Administrator in good faith shall be fnal and binding upon Partcipant, the Company and all other interested persons. No member of the Commitee or the Board shall be personally liable for any acton, determinaton or interpretaton made in good faith with respect to the Plan, this Agreement or the PSUs.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Transferability</w:t>
      </w:r>
      <w:r>
        <w:rPr>
          <w:rFonts w:ascii="Arial" w:cs="Arial" w:eastAsia="Arial" w:hAnsi="Arial"/>
          <w:sz w:val="20"/>
          <w:szCs w:val="20"/>
          <w:color w:val="auto"/>
        </w:rPr>
        <w:t>. The PSUs shall be subject to the restrictons on transferability set forth in Secton 10.3 of the Plan.</w:t>
      </w:r>
    </w:p>
    <w:p>
      <w:pPr>
        <w:spacing w:after="0" w:line="189"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Tax Consultaton</w:t>
      </w:r>
      <w:r>
        <w:rPr>
          <w:rFonts w:ascii="Arial" w:cs="Arial" w:eastAsia="Arial" w:hAnsi="Arial"/>
          <w:sz w:val="20"/>
          <w:szCs w:val="20"/>
          <w:color w:val="auto"/>
        </w:rPr>
        <w:t>. Partcipant understands that Partcipant may sufer adverse tax consequences in connecton with the PSUs granted pursuant to this Agreement (and the Shares issuable with respect thereto). The Company is not providing any tax, legal or fnancial advice, nor is the Company making any recommendaton regarding Partcipant’s partcipaton in the Plan or the Agreement or any receipt of the PSUs or sale of Shares acquired upon setlement of the PSUs. Partcipant represents that Partcipant has consulted with any tax consultants Partcipant deems advisable in connecton with the PSUs and the issuance of Shares with respect thereto and that Partcipant is not relying on the Company for any tax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370" w:right="339" w:bottom="1440" w:gutter="0" w:footer="0" w:header="0"/>
        </w:sectPr>
      </w:pPr>
    </w:p>
    <w:bookmarkStart w:id="60" w:name="page61"/>
    <w:bookmarkEnd w:id="60"/>
    <w:p>
      <w:pPr>
        <w:jc w:val="both"/>
        <w:ind w:firstLine="324"/>
        <w:spacing w:after="0" w:line="236"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Binding Agreement</w:t>
      </w:r>
      <w:r>
        <w:rPr>
          <w:rFonts w:ascii="Arial" w:cs="Arial" w:eastAsia="Arial" w:hAnsi="Arial"/>
          <w:sz w:val="20"/>
          <w:szCs w:val="20"/>
          <w:color w:val="auto"/>
        </w:rPr>
        <w:t>. Subject to the limitaton on the transferability of the PSUs contained herein, this Agreement will be binding upon and inure to the beneft of the heirs, legatees, legal representatves, successors and assigns of the partes hereto.</w:t>
      </w:r>
    </w:p>
    <w:p>
      <w:pPr>
        <w:spacing w:after="0" w:line="155"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Adjustments Upon Specifed Events</w:t>
      </w:r>
      <w:r>
        <w:rPr>
          <w:rFonts w:ascii="Arial" w:cs="Arial" w:eastAsia="Arial" w:hAnsi="Arial"/>
          <w:sz w:val="20"/>
          <w:szCs w:val="20"/>
          <w:color w:val="auto"/>
        </w:rPr>
        <w:t>. The Administrator may accelerate the vestng of the PSUs in such circumstances as it, in its sole discreton, may determine. Partcipant acknowledges that the PSUs are subject to adjustment, modifcaton and terminaton in certain events as provided in this Agreement and Secton 12.2 of the Plan.</w:t>
      </w:r>
    </w:p>
    <w:p>
      <w:pPr>
        <w:spacing w:after="0" w:line="157"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Notces</w:t>
      </w:r>
      <w:r>
        <w:rPr>
          <w:rFonts w:ascii="Arial" w:cs="Arial" w:eastAsia="Arial" w:hAnsi="Arial"/>
          <w:sz w:val="19"/>
          <w:szCs w:val="19"/>
          <w:color w:val="auto"/>
        </w:rPr>
        <w:t>. Any notce to be given under the terms of this Agreement to the Company shall be addressed to the Company in care of the Secretary of the Company at the Company’s principal ofce, and any notce to be given to Partcipant shall be addressed to Partcipant at Partcipant’s last address refected on the Company’s records. By a notce given pursuant to this Secton 3.7, either party may hereafer designate a diferent address for notces to be given to that party. Any notce shall be deemed duly given when sent via email or when sent by certfed mail (return receipt requested) and deposited (with postage prepaid) in a post ofce or branch post ofce regularly maintained by the United States Postal Service or comparable non-U.S. postal service.</w:t>
      </w:r>
    </w:p>
    <w:p>
      <w:pPr>
        <w:spacing w:after="0" w:line="15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discreton, decide to deliver any documents related to the PSUs awarded under the Plan or future PSUs that may be awarded under the Plan by electronic means or require Partcipant to partcipate in the Plan by electronic means. Partcipant hereby consents to receive such documents by electronic delivery and agrees to partcipate in the Plan through any on-line or electronic system established and maintained by the Company or a third party designated by the Company.</w:t>
      </w:r>
    </w:p>
    <w:p>
      <w:pPr>
        <w:spacing w:after="0" w:line="1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Partcipant’s Representatons</w:t>
      </w:r>
      <w:r>
        <w:rPr>
          <w:rFonts w:ascii="Arial" w:cs="Arial" w:eastAsia="Arial" w:hAnsi="Arial"/>
          <w:sz w:val="18"/>
          <w:szCs w:val="18"/>
          <w:color w:val="auto"/>
        </w:rPr>
        <w:t>. If the Shares issuable hereunder have not been registered under the Securites Act or any applicable state laws on an efectve registraton statement at the tme of such issuance, Partcipant shall, if required by the Company, concurrently with such issuance, make such writen representatons as are deemed necessary or appropriate by the Company or its counsel.</w:t>
      </w:r>
    </w:p>
    <w:p>
      <w:pPr>
        <w:spacing w:after="0" w:line="158"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interpretaton or constructon of this Agreement.</w:t>
      </w:r>
    </w:p>
    <w:p>
      <w:pPr>
        <w:spacing w:after="0" w:line="16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Governing Law and Venue</w:t>
      </w:r>
      <w:r>
        <w:rPr>
          <w:rFonts w:ascii="Arial" w:cs="Arial" w:eastAsia="Arial" w:hAnsi="Arial"/>
          <w:sz w:val="19"/>
          <w:szCs w:val="19"/>
          <w:color w:val="auto"/>
        </w:rPr>
        <w:t>. Except as required by Delaware corporate law, the laws of the State of California shall govern the interpretaton, validity, administraton, enforcement and performance of the terms of this Agreement regardless of the law that might be applied under principles of conficts of laws. By entering into this Agreement, Partcipant irrevocably and unconditonally consents to submit to the exclusive jurisdicton of the courts of the State of California and of the United States of America, in each case located in the State of California, for any acton arising out of or relatng to this Agreement and the Plan (and agrees not to commence any litgaton relatng thereto except in such courts), and further agrees that service of any process, summons, notce or document by U.S. registered mail to the address contained in the records of the Company shall be efectve service of process for any litgaton brought against it in any such court. By entering into this Agreement, Partcipant irrevocably and unconditonally waives any objecton to the laying of venue of any litgaton arising out of the Plan or this Agreement in the courts of the State of California or the United States of America, in each case located in the State of Delaware, and further irrevocably and unconditonally waives and agrees not to plead or claim in any such court that any such litgaton brought in any such court has been brought in an inconvenient forum. By entering into this Agreement, Partcipant irrevocably and unconditonally waives, to the fullest extent permited by applicable law, any and all rights to trial by jury in connecton with any litgaton arising out of or relatng to the Plan or this Agreement.</w:t>
      </w:r>
    </w:p>
    <w:p>
      <w:pPr>
        <w:spacing w:after="0" w:line="179"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Conformity to Applicable Law</w:t>
      </w:r>
      <w:r>
        <w:rPr>
          <w:rFonts w:ascii="Arial" w:cs="Arial" w:eastAsia="Arial" w:hAnsi="Arial"/>
          <w:sz w:val="20"/>
          <w:szCs w:val="20"/>
          <w:color w:val="auto"/>
        </w:rPr>
        <w:t>. Partcipant acknowledges that the Plan and this Agreement are intended to conform to the extent necessary with all provisions of the Securites Act and the Exchange Act and any other Applicable Law. Notwithstanding anything herein to the contrary, the Plan shall be administered, and the PSUs are granted, only in such a manner as to conform to Applicable Law. To the extent permited by Applicable Law, the Plan and this Agreement shall be deemed amended to the extent necessary to conform to such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370" w:right="339" w:bottom="1440" w:gutter="0" w:footer="0" w:header="0"/>
        </w:sectPr>
      </w:pPr>
    </w:p>
    <w:bookmarkStart w:id="61" w:name="page62"/>
    <w:bookmarkEnd w:id="61"/>
    <w:p>
      <w:pPr>
        <w:jc w:val="both"/>
        <w:ind w:firstLine="324"/>
        <w:spacing w:after="0" w:line="218"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Amendment, Suspension and Terminaton</w:t>
      </w:r>
      <w:r>
        <w:rPr>
          <w:rFonts w:ascii="Arial" w:cs="Arial" w:eastAsia="Arial" w:hAnsi="Arial"/>
          <w:sz w:val="20"/>
          <w:szCs w:val="20"/>
          <w:color w:val="auto"/>
        </w:rPr>
        <w:t xml:space="preserve">. To the extent permited by the Plan, this Agreement may be wholly or partally amended or otherwise modifed, suspended or terminated at any tme or from tme to tme by the Administrator or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however, </w:t>
      </w:r>
      <w:r>
        <w:rPr>
          <w:rFonts w:ascii="Arial" w:cs="Arial" w:eastAsia="Arial" w:hAnsi="Arial"/>
          <w:sz w:val="20"/>
          <w:szCs w:val="20"/>
          <w:color w:val="auto"/>
        </w:rPr>
        <w:t>that, except as may otherwise be provided by the Plan, no amendment, modifcaton, suspension or terminaton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shall adversely afect the PSUs in any material way without the prior writen consent of Partcipant, unless such acton is necessary to ensure or facilitate compliance with Applicable Law, as determined by the Administrator.</w:t>
      </w:r>
    </w:p>
    <w:p>
      <w:pPr>
        <w:spacing w:after="0" w:line="15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and delegate any of its obligatons under this Agreement to single or multple assignees, and this Agreement shall inure to the beneft of the successors and assigns of the Company. Subject to the restrictons on transfer herein set forth in Secton 3.3 hereof, this Agreement shall be binding upon Partcipant and Partcipant’s heirs, executors, administrators, successors and assigns.</w:t>
      </w:r>
    </w:p>
    <w:p>
      <w:pPr>
        <w:spacing w:after="0" w:line="169"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Limitatons Applicable to Secton 16 Persons</w:t>
      </w:r>
      <w:r>
        <w:rPr>
          <w:rFonts w:ascii="Arial" w:cs="Arial" w:eastAsia="Arial" w:hAnsi="Arial"/>
          <w:sz w:val="19"/>
          <w:szCs w:val="19"/>
          <w:color w:val="auto"/>
        </w:rPr>
        <w:t>. Notwithstanding any other provision of the Plan or this Agreement, if Partcipant is subject to Secton 16 of the Exchange Act, then the Plan, the PSUs and this Agreement shall be subject to any additonal limitatons set forth in any applicable exemptve rule under Secton 16 of the Exchange Act (including any amendment to Rule 16b-3 of the Exchange Act) that are requirements for the applicaton of such exemptve rule. To the extent permited by Applicable Law, this Agreement shall be deemed amended to the extent necessary to conform to such applicable exemptve rule.</w:t>
      </w:r>
    </w:p>
    <w:p>
      <w:pPr>
        <w:spacing w:after="0" w:line="15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20"/>
          <w:szCs w:val="20"/>
          <w:u w:val="single" w:color="auto"/>
          <w:color w:val="auto"/>
        </w:rPr>
        <w:t>Not a Contract of Service Relatonship</w:t>
      </w:r>
      <w:r>
        <w:rPr>
          <w:rFonts w:ascii="Arial" w:cs="Arial" w:eastAsia="Arial" w:hAnsi="Arial"/>
          <w:sz w:val="20"/>
          <w:szCs w:val="20"/>
          <w:color w:val="auto"/>
        </w:rPr>
        <w:t>. Nothing in this Agreement or in the Plan shall (i) be interpreted as forming or amending an employment or service contract, (ii) confer upon Partcipant any right to commence or contnue to serve as an Employee, Consultant or other service provider of the Company or any of its Subsidiaries or (iii) interfere with or restrict in any way the rights of the Company and its Subsidiaries, which rights are hereby expressly reserved, to discharge or terminate the services of Partcipant at any tme for any reason whatsoever, with or without cause, except to the extent expressly provided otherwise by Applicable Law or in a writen agreement between the Company or a Subsidiary (as applicable) and Partcipant.</w:t>
      </w:r>
    </w:p>
    <w:p>
      <w:pPr>
        <w:spacing w:after="0" w:line="174"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Entre Agreement</w:t>
      </w:r>
      <w:r>
        <w:rPr>
          <w:rFonts w:ascii="Arial" w:cs="Arial" w:eastAsia="Arial" w:hAnsi="Arial"/>
          <w:sz w:val="19"/>
          <w:szCs w:val="19"/>
          <w:color w:val="auto"/>
        </w:rPr>
        <w:t xml:space="preserve">. The Plan, the Grant Notce and this Agreement (including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and the Country Provisions) consttute the entre agreement of the partes and supersede in their entrety all prior undertakings and agreements of the Company and Partcipant with respect to the subject mater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PSUs shall be subject to any accelerated vestng provisions in any writen agreement between Partcipant and the Company (or any Subsidiary that is the employer of Partcipant) or a Company plan pursuant to which Partcipant is eligible to partcipate, in each case, in accordance with the terms therein.</w:t>
      </w:r>
    </w:p>
    <w:p>
      <w:pPr>
        <w:spacing w:after="0" w:line="15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u w:val="single" w:color="auto"/>
          <w:color w:val="auto"/>
        </w:rPr>
        <w:t>Waiver</w:t>
      </w:r>
      <w:r>
        <w:rPr>
          <w:rFonts w:ascii="Arial" w:cs="Arial" w:eastAsia="Arial" w:hAnsi="Arial"/>
          <w:sz w:val="20"/>
          <w:szCs w:val="20"/>
          <w:color w:val="auto"/>
        </w:rPr>
        <w:t>. Either party’s failure to enforce any provision or provisions of this Agreement shall not in any way be construed as a waiver of any such provision or provisions, nor prevent that party from thereafer enforcing each and every other provision of this Agreement. The rights granted both partes herein are cumulatve and shall not consttute a waiver of either party’s right to assert all other legal remedies available to it under the circumstances.</w:t>
      </w:r>
    </w:p>
    <w:p>
      <w:pPr>
        <w:spacing w:after="0" w:line="16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Secton 409A</w:t>
      </w:r>
      <w:r>
        <w:rPr>
          <w:rFonts w:ascii="Arial" w:cs="Arial" w:eastAsia="Arial" w:hAnsi="Arial"/>
          <w:sz w:val="19"/>
          <w:szCs w:val="19"/>
          <w:color w:val="auto"/>
        </w:rPr>
        <w:t>. The Award is not intended to consttute “nonqualifed deferred compensaton” within the meaning of Secton 409A. However, notwithstanding any other provision of the Plan, the Grant Notce or this Agreement, if at any tme the Administrator determines that the Award (or any porton thereof) may be subject to Secton 409A, the Administrator shall have the right in its sole discreton (without any obligaton to do so or to indemnify Partcipant or any other person for failure to do so) to adopt such amendments to the Plan, the Grant Notce or this Agreement, or adopt other policies and procedures (including amendments, policies and procedures with retroactve efect), or take any other actons, as the Administrator determines are necessary or appropriate for the Award either to be exempt from the applicaton of Secton 409A or to comply with the requirements of Secton 409A.</w:t>
      </w:r>
    </w:p>
    <w:p>
      <w:pPr>
        <w:spacing w:after="0" w:line="173"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0"/>
          <w:szCs w:val="20"/>
          <w:color w:val="auto"/>
        </w:rPr>
        <w:t xml:space="preserve">1.20 </w:t>
      </w:r>
      <w:r>
        <w:rPr>
          <w:rFonts w:ascii="Arial" w:cs="Arial" w:eastAsia="Arial" w:hAnsi="Arial"/>
          <w:sz w:val="20"/>
          <w:szCs w:val="20"/>
          <w:u w:val="single" w:color="auto"/>
          <w:color w:val="auto"/>
        </w:rPr>
        <w:t>Limitaton on Partcipant’s Rights</w:t>
      </w:r>
      <w:r>
        <w:rPr>
          <w:rFonts w:ascii="Arial" w:cs="Arial" w:eastAsia="Arial" w:hAnsi="Arial"/>
          <w:sz w:val="20"/>
          <w:szCs w:val="20"/>
          <w:color w:val="auto"/>
        </w:rPr>
        <w:t>. Partcipaton in the Plan confers no rights or interests other than as herein provided. This Agreement creates only a contractual obligaton on the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370" w:right="339" w:bottom="1440" w:gutter="0" w:footer="0" w:header="0"/>
        </w:sectPr>
      </w:pPr>
    </w:p>
    <w:bookmarkStart w:id="62" w:name="page63"/>
    <w:bookmarkEnd w:id="62"/>
    <w:p>
      <w:pPr>
        <w:jc w:val="both"/>
        <w:spacing w:after="0" w:line="220" w:lineRule="auto"/>
        <w:rPr>
          <w:sz w:val="20"/>
          <w:szCs w:val="20"/>
          <w:color w:val="auto"/>
        </w:rPr>
      </w:pPr>
      <w:r>
        <w:rPr>
          <w:rFonts w:ascii="Arial" w:cs="Arial" w:eastAsia="Arial" w:hAnsi="Arial"/>
          <w:sz w:val="20"/>
          <w:szCs w:val="20"/>
          <w:color w:val="auto"/>
        </w:rPr>
        <w:t>Company as to amounts payable and shall not be construed as creatng a trust. Neither the Plan nor any underlying program, in and of itself, has any assets. Partcipant shall have only the rights of a general unsecured creditor of the Company and its Subsidiaries with respect to amounts credited and benefts payable, if any, with respect to the PSUs, and rights no greater than the right to receive the Shares as a general unsecured creditor with respect to PSUs, as and when payable hereunder.</w:t>
      </w:r>
    </w:p>
    <w:p>
      <w:pPr>
        <w:spacing w:after="0" w:line="169"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hereof becomes or is declared by a court of competent jurisdicton to be illegal, unenforceable or void, such provision shall be severed from this Agreement and the remainder of the Agreement shall contnue in full force and efect.</w:t>
      </w:r>
    </w:p>
    <w:p>
      <w:pPr>
        <w:spacing w:after="0" w:line="16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Country-Specifc Provisions</w:t>
      </w:r>
      <w:r>
        <w:rPr>
          <w:rFonts w:ascii="Arial" w:cs="Arial" w:eastAsia="Arial" w:hAnsi="Arial"/>
          <w:sz w:val="18"/>
          <w:szCs w:val="18"/>
          <w:color w:val="auto"/>
        </w:rPr>
        <w:t>. The PSUs shall be subject to the Country Provisions, if any, for Partcipant’s country of residence, as set forth in the Country Provisions. If Partcipant relocates to one of the countries included in the Country Provisions during the life of the PSUs, the special provisions for such country shall apply to Partcipant, to the extent the Company determines that the applicaton of such provisions is necessary or advisable for legal or administratve reasons. The Appendix consttutes part of this Agreement.</w:t>
      </w:r>
    </w:p>
    <w:p>
      <w:pPr>
        <w:spacing w:after="0" w:line="150"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Impositon of Other Requirements</w:t>
      </w:r>
      <w:r>
        <w:rPr>
          <w:rFonts w:ascii="Arial" w:cs="Arial" w:eastAsia="Arial" w:hAnsi="Arial"/>
          <w:sz w:val="20"/>
          <w:szCs w:val="20"/>
          <w:color w:val="auto"/>
        </w:rPr>
        <w:t>. The Company reserves the right to impose other requirements on Partcipant’s partcipaton in the Plan, the PSUs and the Shares acquired under the Plan, to the extent the Company determines it is necessary or advisable for legal or administratve reasons, and to require Partcipant to sign any additonal agreements or undertakings that may be necessary to accomplish the foregoing.</w:t>
      </w:r>
    </w:p>
    <w:p>
      <w:pPr>
        <w:spacing w:after="0" w:line="169"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Language</w:t>
      </w:r>
      <w:r>
        <w:rPr>
          <w:rFonts w:ascii="Arial" w:cs="Arial" w:eastAsia="Arial" w:hAnsi="Arial"/>
          <w:sz w:val="19"/>
          <w:szCs w:val="19"/>
          <w:color w:val="auto"/>
        </w:rPr>
        <w:t>. By partcipatng in the Plan, Partcipant acknowledges that Partcipant is profcient in the English language, or has consulted with an advisor who is sufciently profcient in English, so as to allow Partcipant to understand the terms and conditons of the Plan and the Agreement applicable to Partcipant’s country of residence. If Partcipant has received the Agreement and the Plan applicable to Partcipant’s country of residence or any other document related to the Plan translated into a language other than English and if the meaning of the translated version is diferent than the English version, the English version will control.</w:t>
      </w:r>
    </w:p>
    <w:p>
      <w:pPr>
        <w:spacing w:after="0" w:line="16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acceptng the PSUs, Partcipant acknowledges that:</w:t>
      </w:r>
    </w:p>
    <w:p>
      <w:pPr>
        <w:spacing w:after="0" w:line="189" w:lineRule="exact"/>
        <w:rPr>
          <w:sz w:val="20"/>
          <w:szCs w:val="20"/>
          <w:color w:val="auto"/>
        </w:rPr>
      </w:pPr>
    </w:p>
    <w:p>
      <w:pPr>
        <w:ind w:firstLine="656"/>
        <w:spacing w:after="0" w:line="229"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discretonary in nature, and may be amended, suspended or terminated by the Company at any tme, to the extent permited by the Plan;</w:t>
      </w:r>
    </w:p>
    <w:p>
      <w:pPr>
        <w:spacing w:after="0" w:line="168" w:lineRule="exact"/>
        <w:rPr>
          <w:rFonts w:ascii="Arial" w:cs="Arial" w:eastAsia="Arial" w:hAnsi="Arial"/>
          <w:sz w:val="20"/>
          <w:szCs w:val="20"/>
          <w:color w:val="auto"/>
        </w:rPr>
      </w:pPr>
    </w:p>
    <w:p>
      <w:pPr>
        <w:ind w:firstLine="656"/>
        <w:spacing w:after="0" w:line="236"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grant of the PSUs is exceptonal, voluntary and occasional and does not create any contractual or other right to receive future grants of PSUs, or benefts in lieu of PSUs, even if PSUs have been granted in the past;</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all decisions with respect to future PSUs or other grants, if any, will be at the sole discreton of the Administrator;</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Partcipant is voluntarily partcipatng in the Plan;</w:t>
      </w:r>
    </w:p>
    <w:p>
      <w:pPr>
        <w:spacing w:after="0" w:line="188" w:lineRule="exact"/>
        <w:rPr>
          <w:rFonts w:ascii="Arial" w:cs="Arial" w:eastAsia="Arial" w:hAnsi="Arial"/>
          <w:sz w:val="20"/>
          <w:szCs w:val="20"/>
          <w:color w:val="auto"/>
        </w:rPr>
      </w:pPr>
    </w:p>
    <w:p>
      <w:pPr>
        <w:jc w:val="both"/>
        <w:ind w:firstLine="656"/>
        <w:spacing w:after="0" w:line="252"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PSUs and the Shares subject to the PSUs, and the income from and value of same, are not part of normal or expected wages or salary for any purposes, including, but not limited to, calculaton of any severance, resignaton, terminaton, redundancy, dismissal, end of service payments, bonuses, holiday pay, long-service awards, pension or retrement benefts or similar payments;</w:t>
      </w:r>
    </w:p>
    <w:p>
      <w:pPr>
        <w:spacing w:after="0" w:line="157" w:lineRule="exact"/>
        <w:rPr>
          <w:rFonts w:ascii="Arial" w:cs="Arial" w:eastAsia="Arial" w:hAnsi="Arial"/>
          <w:sz w:val="18"/>
          <w:szCs w:val="18"/>
          <w:color w:val="auto"/>
        </w:rPr>
      </w:pPr>
    </w:p>
    <w:p>
      <w:pPr>
        <w:ind w:firstLine="656"/>
        <w:spacing w:after="0" w:line="229" w:lineRule="auto"/>
        <w:tabs>
          <w:tab w:leader="none" w:pos="1299"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PSUs and the Shares subject to the PSUs, and the income from and value of same, are not intended to replace any pension rights or compensaton;</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370" w:right="339" w:bottom="1440" w:gutter="0" w:footer="0" w:header="0"/>
        </w:sectPr>
      </w:pPr>
    </w:p>
    <w:bookmarkStart w:id="63" w:name="page64"/>
    <w:bookmarkEnd w:id="63"/>
    <w:p>
      <w:pPr>
        <w:ind w:left="1300" w:hanging="644"/>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value of the Shares acquired upon vestng of the PSUs may increase or decrease in value;</w:t>
      </w:r>
    </w:p>
    <w:p>
      <w:pPr>
        <w:spacing w:after="0" w:line="188" w:lineRule="exact"/>
        <w:rPr>
          <w:rFonts w:ascii="Arial" w:cs="Arial" w:eastAsia="Arial" w:hAnsi="Arial"/>
          <w:sz w:val="20"/>
          <w:szCs w:val="20"/>
          <w:color w:val="auto"/>
        </w:rPr>
      </w:pPr>
    </w:p>
    <w:p>
      <w:pPr>
        <w:jc w:val="both"/>
        <w:ind w:firstLine="656"/>
        <w:spacing w:after="0" w:line="223" w:lineRule="auto"/>
        <w:tabs>
          <w:tab w:leader="none" w:pos="1296"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unless otherwise agreed with the Company in writng, the PSUs and the Shares subject to the PSUs, and the income from and value of same, are not granted as consideraton for, or in connecton with, the service Partcipant may provide as a director of a Subsidiary of the Company;</w:t>
      </w:r>
    </w:p>
    <w:p>
      <w:pPr>
        <w:spacing w:after="0" w:line="168" w:lineRule="exact"/>
        <w:rPr>
          <w:rFonts w:ascii="Arial" w:cs="Arial" w:eastAsia="Arial" w:hAnsi="Arial"/>
          <w:sz w:val="20"/>
          <w:szCs w:val="20"/>
          <w:color w:val="auto"/>
        </w:rPr>
      </w:pPr>
    </w:p>
    <w:p>
      <w:pPr>
        <w:jc w:val="both"/>
        <w:ind w:firstLine="656"/>
        <w:spacing w:after="0" w:line="235" w:lineRule="auto"/>
        <w:tabs>
          <w:tab w:leader="none" w:pos="1302" w:val="left"/>
        </w:tabs>
        <w:numPr>
          <w:ilvl w:val="0"/>
          <w:numId w:val="33"/>
        </w:numPr>
        <w:rPr>
          <w:rFonts w:ascii="Arial" w:cs="Arial" w:eastAsia="Arial" w:hAnsi="Arial"/>
          <w:sz w:val="19"/>
          <w:szCs w:val="19"/>
          <w:color w:val="auto"/>
        </w:rPr>
      </w:pPr>
      <w:r>
        <w:rPr>
          <w:rFonts w:ascii="Arial" w:cs="Arial" w:eastAsia="Arial" w:hAnsi="Arial"/>
          <w:sz w:val="19"/>
          <w:szCs w:val="19"/>
          <w:color w:val="auto"/>
        </w:rPr>
        <w:t>unless otherwise provided in the Plan or by the Administrator in its discreton, the PSUs and the benefts evidenced by this Agreement do not create any enttlement to have the PSUs or any such benefts transferred to, or assumed by, another company nor be exchanged, cashed out or substtuted for, in connecton with any corporate transacton afectng the Shares;</w:t>
      </w:r>
    </w:p>
    <w:p>
      <w:pPr>
        <w:spacing w:after="0" w:line="168" w:lineRule="exact"/>
        <w:rPr>
          <w:rFonts w:ascii="Arial" w:cs="Arial" w:eastAsia="Arial" w:hAnsi="Arial"/>
          <w:sz w:val="19"/>
          <w:szCs w:val="19"/>
          <w:color w:val="auto"/>
        </w:rPr>
      </w:pPr>
    </w:p>
    <w:p>
      <w:pPr>
        <w:jc w:val="both"/>
        <w:ind w:firstLine="656"/>
        <w:spacing w:after="0" w:line="235" w:lineRule="auto"/>
        <w:tabs>
          <w:tab w:leader="none" w:pos="1296"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 claim or enttlement to compensaton or damages shall arise from forfeiture of the PSUs resultng from Partcipant’s Terminaton of Service (for any reason whatsoever whether or not later found to be invalid or in breach of employment laws in the jurisdicton where Partcipant is providing services or the terms of Partcipant’s employment or service agreement, if any); and</w:t>
      </w:r>
    </w:p>
    <w:p>
      <w:pPr>
        <w:spacing w:after="0" w:line="168"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33"/>
        </w:numPr>
        <w:rPr>
          <w:rFonts w:ascii="Arial" w:cs="Arial" w:eastAsia="Arial" w:hAnsi="Arial"/>
          <w:sz w:val="20"/>
          <w:szCs w:val="20"/>
          <w:color w:val="auto"/>
        </w:rPr>
      </w:pPr>
      <w:r>
        <w:rPr>
          <w:rFonts w:ascii="Arial" w:cs="Arial" w:eastAsia="Arial" w:hAnsi="Arial"/>
          <w:sz w:val="20"/>
          <w:szCs w:val="20"/>
          <w:color w:val="auto"/>
        </w:rPr>
        <w:t>neither the Company nor the Employer shall be liable for any foreign exchange rate fuctuaton between Partcipant’s local currency and the U.S. dollar that may afect the value of the PSUs or of any amounts due to Partcipant pursuant to the setlement of the PSUs or the subsequent sale of any Shares acquired upon setlement.</w:t>
      </w:r>
    </w:p>
    <w:p>
      <w:pPr>
        <w:spacing w:after="0" w:line="16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Foreign Asset/</w:t>
      </w:r>
      <w:r>
        <w:rPr>
          <w:rFonts w:ascii="Arial" w:cs="Arial" w:eastAsia="Arial" w:hAnsi="Arial"/>
          <w:sz w:val="18"/>
          <w:szCs w:val="18"/>
          <w:u w:val="single" w:color="auto"/>
          <w:color w:val="auto"/>
          <w:highlight w:val="white"/>
        </w:rPr>
        <w:t>Account, Exchange Control and Tax Reportng and Other Requirements</w:t>
      </w:r>
      <w:r>
        <w:rPr>
          <w:rFonts w:ascii="Arial" w:cs="Arial" w:eastAsia="Arial" w:hAnsi="Arial"/>
          <w:sz w:val="18"/>
          <w:szCs w:val="18"/>
          <w:color w:val="auto"/>
          <w:highlight w:val="white"/>
        </w:rPr>
        <w:t>. Depending on Partcipant’s country,</w:t>
      </w:r>
      <w:r>
        <w:rPr>
          <w:rFonts w:ascii="Arial" w:cs="Arial" w:eastAsia="Arial" w:hAnsi="Arial"/>
          <w:sz w:val="18"/>
          <w:szCs w:val="18"/>
          <w:color w:val="auto"/>
        </w:rPr>
        <w:t xml:space="preserve"> Partcipant may be subject to foreign asset/account, exchange control and/or tax reportng requirements as a result of the vestng of the PSUs, the acquisiton, holding and/or transfer of Shares or cash resultng from partcipaton in the Plan and/or the opening and maintaining of a brokerage or bank account in connecton with the Plan. Partcipant may be required to report such assets, accounts, account balances and values, and/or related transactons to the applicable authorites in Partcipant’s country. Partcipant may also be required to repatriate sale proceeds or other funds received as a result of Partcipant’s partcipaton in the Plan to Partcipant’s country through a designated bank or broker and/or within a certain tme afer receipt. Partcipant acknowledges that Partcipant is responsible for ensuring compliance with any applicable foreign asset/account, exchange control and tax reportng and other requirements. Partcipant further understands that Partcipant should consult Partcipant’s personal tax and legal advisors, as applicable on these maters.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-1004570</wp:posOffset>
            </wp:positionV>
            <wp:extent cx="7132320" cy="8826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2650"/>
                    </a:xfrm>
                    <a:prstGeom prst="rect">
                      <a:avLst/>
                    </a:prstGeom>
                    <a:noFill/>
                  </pic:spPr>
                </pic:pic>
              </a:graphicData>
            </a:graphic>
          </wp:anchor>
        </w:drawing>
      </w:r>
    </w:p>
    <w:p>
      <w:pPr>
        <w:spacing w:after="0" w:line="140"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Insider</w:t>
      </w:r>
      <w:r>
        <w:rPr>
          <w:rFonts w:ascii="Arial" w:cs="Arial" w:eastAsia="Arial" w:hAnsi="Arial"/>
          <w:sz w:val="19"/>
          <w:szCs w:val="19"/>
          <w:color w:val="auto"/>
        </w:rPr>
        <w:t xml:space="preserve"> </w:t>
      </w:r>
      <w:r>
        <w:rPr>
          <w:rFonts w:ascii="Arial" w:cs="Arial" w:eastAsia="Arial" w:hAnsi="Arial"/>
          <w:sz w:val="19"/>
          <w:szCs w:val="19"/>
          <w:u w:val="single" w:color="auto"/>
          <w:color w:val="auto"/>
          <w:highlight w:val="white"/>
        </w:rPr>
        <w:t>Trading/Market Abuse Laws</w:t>
      </w:r>
      <w:r>
        <w:rPr>
          <w:rFonts w:ascii="Arial" w:cs="Arial" w:eastAsia="Arial" w:hAnsi="Arial"/>
          <w:sz w:val="19"/>
          <w:szCs w:val="19"/>
          <w:color w:val="auto"/>
          <w:highlight w:val="white"/>
        </w:rPr>
        <w:t>. Partcipant acknowledges that Partcipant may be subject to insider trading restrictons</w:t>
      </w:r>
      <w:r>
        <w:rPr>
          <w:rFonts w:ascii="Arial" w:cs="Arial" w:eastAsia="Arial" w:hAnsi="Arial"/>
          <w:sz w:val="19"/>
          <w:szCs w:val="19"/>
          <w:color w:val="auto"/>
        </w:rPr>
        <w:t xml:space="preserve"> and/or market abuse laws in applicable jurisdictons including, but not limited to, the United States and Partcipant’s country of residence, which may afect Partcipant’s ability to acquire or sell Shares or rights to Shares (e.g., PSUs) under the Plan during such tme as Partcipant is considered to have “inside informaton” regarding the Company (as defned by the laws in the applicable jurisdictons). Local insider trading laws and regulatons may prohibit the cancellaton or amendment of orders Partcipant placed before Partcipant possessed inside informaton. Further, Partcipant could be prohibited from (i) disclosing the inside informaton to any third party and (ii) “tpping” third partes or causing them otherwise to buy or sell securites. Partcipant should keep in mind third partes includes fellow employees. Any restrictons under these laws or regulatons are separate from and in additon to any restrictons that may be imposed under any applicable insider trading policy of the Company. Partcipant is responsible for ensuring compliance with any applicable restrictons and should consult with Partcipant’s personal legal advisor on this mater.</w:t>
      </w:r>
    </w:p>
    <w:p>
      <w:pPr>
        <w:spacing w:after="0" w:line="170"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fnancial advice, nor is the Company making any recommendatons regarding Partcipant’s partcipaton in the Plan or the Agreement or any receipt of the PSUs or sale of Shares acquired upon setlement of the PSUs. Partcipant should consult Partcipant’s own personal tax, legal and fnancial advisors regarding Partcipant’s partcipaton in the Plan and the Agreement before taking any acton related to the PSUs or the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240"/>
          </w:cols>
          <w:pgMar w:left="320" w:top="1370"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EXHIBIT B</w:t>
      </w:r>
    </w:p>
    <w:p>
      <w:pPr>
        <w:jc w:val="center"/>
        <w:spacing w:after="0" w:line="234" w:lineRule="auto"/>
        <w:rPr>
          <w:sz w:val="20"/>
          <w:szCs w:val="20"/>
          <w:color w:val="auto"/>
        </w:rPr>
      </w:pPr>
      <w:r>
        <w:rPr>
          <w:rFonts w:ascii="Arial" w:cs="Arial" w:eastAsia="Arial" w:hAnsi="Arial"/>
          <w:sz w:val="20"/>
          <w:szCs w:val="20"/>
          <w:b w:val="1"/>
          <w:bCs w:val="1"/>
          <w:color w:val="auto"/>
        </w:rPr>
        <w:t>TO PERFORMANCE STOCK UNIT AWARD GRANT NOTICE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CONDITIONS</w:t>
      </w:r>
    </w:p>
    <w:p>
      <w:pPr>
        <w:spacing w:after="0" w:line="18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Defnitons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660" w:right="5960"/>
        <w:spacing w:after="0" w:line="452" w:lineRule="auto"/>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Accountng Principles. “</w:t>
      </w:r>
      <w:r>
        <w:rPr>
          <w:rFonts w:ascii="Arial" w:cs="Arial" w:eastAsia="Arial" w:hAnsi="Arial"/>
          <w:sz w:val="19"/>
          <w:szCs w:val="19"/>
          <w:u w:val="single" w:color="auto"/>
          <w:color w:val="auto"/>
        </w:rPr>
        <w:t>Non-GAAP EPS</w:t>
      </w:r>
      <w:r>
        <w:rPr>
          <w:rFonts w:ascii="Arial" w:cs="Arial" w:eastAsia="Arial" w:hAnsi="Arial"/>
          <w:sz w:val="19"/>
          <w:szCs w:val="19"/>
          <w:color w:val="auto"/>
        </w:rPr>
        <w:t>” means [___________].</w:t>
      </w:r>
    </w:p>
    <w:p>
      <w:pPr>
        <w:jc w:val="both"/>
        <w:ind w:left="660"/>
        <w:spacing w:after="0" w:line="238"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commencing on January 1, 20__ and ending on the earlier of (i) December 31, 20__, or (ii) in the event of a Change in Control, (A) if the PSUs are not contnued, converted, assumed, substtuted or replaced by the surviving or successor entty in such Change in Control, immediately prior to the consummaton of a Change in Control, or (B) if the PSUs contnue in efect, or are assumed or an equivalent award is substtuted in connecton with such Change in Control, and Partcipant incurs a Terminaton of Service without “cause” (as set forth in Secton 12.2 of the Plan and Secton 2.3 of the Agreement) upon or within 12 months following the Change in Control, immediately upon such Partcipant’s Terminaton of Service.</w:t>
      </w:r>
    </w:p>
    <w:p>
      <w:pPr>
        <w:spacing w:after="0" w:line="172" w:lineRule="exact"/>
        <w:rPr>
          <w:rFonts w:ascii="Arial" w:cs="Arial" w:eastAsia="Arial" w:hAnsi="Arial"/>
          <w:sz w:val="20"/>
          <w:szCs w:val="20"/>
          <w:color w:val="auto"/>
        </w:rPr>
      </w:pPr>
    </w:p>
    <w:p>
      <w:pPr>
        <w:jc w:val="both"/>
        <w:ind w:firstLine="332"/>
        <w:spacing w:after="0" w:line="214"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Achievement Factor</w:t>
      </w:r>
      <w:r>
        <w:rPr>
          <w:rFonts w:ascii="Arial" w:cs="Arial" w:eastAsia="Arial" w:hAnsi="Arial"/>
          <w:sz w:val="20"/>
          <w:szCs w:val="20"/>
          <w:color w:val="auto"/>
        </w:rPr>
        <w:t>. As soon as administratvely practcable (but in no event later than the frst regularly scheduled meetng of the Commitee following the completon of the Performance Period, or in the event the Performance Period ends immediately prior to the consummaton of a Change in Control, no later than the latest date that permits the issuance of Shares before the consummaton of the Change in Control), the Commitee shall determine the Non-GAAP EPS for the Performance Period and calculate the Achievement Factor (such date of determinaton, the “</w:t>
      </w:r>
      <w:r>
        <w:rPr>
          <w:rFonts w:ascii="Arial" w:cs="Arial" w:eastAsia="Arial" w:hAnsi="Arial"/>
          <w:sz w:val="20"/>
          <w:szCs w:val="20"/>
          <w:u w:val="single" w:color="auto"/>
          <w:color w:val="auto"/>
        </w:rPr>
        <w:t>Determinaton Date</w:t>
      </w:r>
      <w:r>
        <w:rPr>
          <w:rFonts w:ascii="Arial" w:cs="Arial" w:eastAsia="Arial" w:hAnsi="Arial"/>
          <w:sz w:val="20"/>
          <w:szCs w:val="20"/>
          <w:color w:val="auto"/>
        </w:rPr>
        <w:t>”). For the purposes hereof, “</w:t>
      </w:r>
      <w:r>
        <w:rPr>
          <w:rFonts w:ascii="Arial" w:cs="Arial" w:eastAsia="Arial" w:hAnsi="Arial"/>
          <w:sz w:val="20"/>
          <w:szCs w:val="20"/>
          <w:u w:val="single" w:color="auto"/>
          <w:color w:val="auto"/>
        </w:rPr>
        <w:t>Achievement Factor</w:t>
      </w:r>
      <w:r>
        <w:rPr>
          <w:rFonts w:ascii="Arial" w:cs="Arial" w:eastAsia="Arial" w:hAnsi="Arial"/>
          <w:sz w:val="20"/>
          <w:szCs w:val="20"/>
          <w:color w:val="auto"/>
        </w:rPr>
        <w:t>” means that factor determined using the following table:</w:t>
      </w:r>
    </w:p>
    <w:p>
      <w:pPr>
        <w:spacing w:after="0" w:line="246" w:lineRule="exact"/>
        <w:rPr>
          <w:sz w:val="20"/>
          <w:szCs w:val="20"/>
          <w:color w:val="auto"/>
        </w:rPr>
      </w:pPr>
    </w:p>
    <w:tbl>
      <w:tblPr>
        <w:tblLayout w:type="fixed"/>
        <w:tblInd w:w="670" w:type="dxa"/>
        <w:tblCellMar>
          <w:top w:w="0" w:type="dxa"/>
          <w:left w:w="0" w:type="dxa"/>
          <w:bottom w:w="0" w:type="dxa"/>
          <w:right w:w="0" w:type="dxa"/>
        </w:tblCellMar>
      </w:tblPr>
      <w:tr>
        <w:trPr>
          <w:trHeight w:val="256"/>
        </w:trPr>
        <w:tc>
          <w:tcPr>
            <w:tcW w:w="26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Performance Level</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4"/>
              </w:rPr>
              <w:t>Threshold</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1"/>
              </w:rPr>
              <w:t>Target</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Maximum</w:t>
            </w:r>
          </w:p>
        </w:tc>
      </w:tr>
      <w:tr>
        <w:trPr>
          <w:trHeight w:val="248"/>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Non-GAAP EPS</w:t>
            </w:r>
          </w:p>
        </w:tc>
        <w:tc>
          <w:tcPr>
            <w:tcW w:w="254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r>
      <w:tr>
        <w:trPr>
          <w:trHeight w:val="250"/>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Achievement Factor</w:t>
            </w:r>
          </w:p>
        </w:tc>
        <w:tc>
          <w:tcPr>
            <w:tcW w:w="2540" w:type="dxa"/>
            <w:vAlign w:val="bottom"/>
            <w:tcBorders>
              <w:bottom w:val="single" w:sz="8" w:color="auto"/>
              <w:right w:val="single" w:sz="8" w:color="auto"/>
            </w:tcBorders>
          </w:tcPr>
          <w:p>
            <w:pPr>
              <w:jc w:val="right"/>
              <w:ind w:right="1001"/>
              <w:spacing w:after="0"/>
              <w:rPr>
                <w:sz w:val="20"/>
                <w:szCs w:val="20"/>
                <w:color w:val="auto"/>
              </w:rPr>
            </w:pPr>
            <w:r>
              <w:rPr>
                <w:rFonts w:ascii="Arial" w:cs="Arial" w:eastAsia="Arial" w:hAnsi="Arial"/>
                <w:sz w:val="20"/>
                <w:szCs w:val="20"/>
                <w:color w:val="auto"/>
              </w:rPr>
              <w:t>50%</w:t>
            </w:r>
          </w:p>
        </w:tc>
        <w:tc>
          <w:tcPr>
            <w:tcW w:w="2400" w:type="dxa"/>
            <w:vAlign w:val="bottom"/>
            <w:tcBorders>
              <w:bottom w:val="single" w:sz="8" w:color="auto"/>
              <w:right w:val="single" w:sz="8" w:color="auto"/>
            </w:tcBorders>
          </w:tcPr>
          <w:p>
            <w:pPr>
              <w:jc w:val="right"/>
              <w:ind w:right="881"/>
              <w:spacing w:after="0"/>
              <w:rPr>
                <w:sz w:val="20"/>
                <w:szCs w:val="20"/>
                <w:color w:val="auto"/>
              </w:rPr>
            </w:pPr>
            <w:r>
              <w:rPr>
                <w:rFonts w:ascii="Arial" w:cs="Arial" w:eastAsia="Arial" w:hAnsi="Arial"/>
                <w:sz w:val="20"/>
                <w:szCs w:val="20"/>
                <w:color w:val="auto"/>
              </w:rPr>
              <w:t>100%</w:t>
            </w:r>
          </w:p>
        </w:tc>
        <w:tc>
          <w:tcPr>
            <w:tcW w:w="2180" w:type="dxa"/>
            <w:vAlign w:val="bottom"/>
            <w:tcBorders>
              <w:bottom w:val="single" w:sz="8" w:color="auto"/>
              <w:right w:val="single" w:sz="8" w:color="auto"/>
            </w:tcBorders>
          </w:tcPr>
          <w:p>
            <w:pPr>
              <w:jc w:val="right"/>
              <w:ind w:right="781"/>
              <w:spacing w:after="0"/>
              <w:rPr>
                <w:sz w:val="20"/>
                <w:szCs w:val="20"/>
                <w:color w:val="auto"/>
              </w:rPr>
            </w:pPr>
            <w:r>
              <w:rPr>
                <w:rFonts w:ascii="Arial" w:cs="Arial" w:eastAsia="Arial" w:hAnsi="Arial"/>
                <w:sz w:val="20"/>
                <w:szCs w:val="20"/>
                <w:color w:val="auto"/>
              </w:rPr>
              <w:t>200%</w:t>
            </w:r>
          </w:p>
        </w:tc>
      </w:tr>
    </w:tbl>
    <w:p>
      <w:pPr>
        <w:spacing w:after="0" w:line="2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Non-GAAP EPS achieved during the Performance Period is between two of the levels set forth in the table above, the Achievement Factor shall be determined using linear interpolaton. For the avoidance of doubt, in no event shall the Achievement Factor exceed 200%, and if the Non-GAAP EPS is less than the “Threshold” set forth in the table above, the Achievement Factor shall be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|US-DOCS\137653249.1||</w:t>
      </w:r>
    </w:p>
    <w:p>
      <w:pPr>
        <w:sectPr>
          <w:pgSz w:w="11900" w:h="16838" w:orient="portrait"/>
          <w:cols w:equalWidth="0" w:num="1">
            <w:col w:w="11240"/>
          </w:cols>
          <w:pgMar w:left="320" w:top="137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PERFORMANCE STOCK UNIT AWARD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Provisions for PSUs for Partcipants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Conditons</w:t>
      </w:r>
    </w:p>
    <w:p>
      <w:pPr>
        <w:spacing w:after="0" w:line="189" w:lineRule="exact"/>
        <w:rPr>
          <w:sz w:val="20"/>
          <w:szCs w:val="20"/>
          <w:color w:val="auto"/>
        </w:rPr>
      </w:pPr>
    </w:p>
    <w:p>
      <w:pPr>
        <w:jc w:val="both"/>
        <w:spacing w:after="0" w:line="214" w:lineRule="auto"/>
        <w:rPr>
          <w:sz w:val="20"/>
          <w:szCs w:val="20"/>
          <w:color w:val="auto"/>
        </w:rPr>
      </w:pPr>
      <w:r>
        <w:rPr>
          <w:rFonts w:ascii="Arial" w:cs="Arial" w:eastAsia="Arial" w:hAnsi="Arial"/>
          <w:sz w:val="20"/>
          <w:szCs w:val="20"/>
          <w:color w:val="auto"/>
        </w:rPr>
        <w:t>This Appendix includes additonal terms and conditons that govern the Award granted pursuant to the terms and conditons of The Cooper Companies, Inc. 2023 Long-Term Incentve Plan, as amended from tme to tme (the “</w:t>
      </w:r>
      <w:r>
        <w:rPr>
          <w:rFonts w:ascii="Arial" w:cs="Arial" w:eastAsia="Arial" w:hAnsi="Arial"/>
          <w:sz w:val="20"/>
          <w:szCs w:val="20"/>
          <w:u w:val="single" w:color="auto"/>
          <w:color w:val="auto"/>
        </w:rPr>
        <w:t>Plan</w:t>
      </w:r>
      <w:r>
        <w:rPr>
          <w:rFonts w:ascii="Arial" w:cs="Arial" w:eastAsia="Arial" w:hAnsi="Arial"/>
          <w:sz w:val="20"/>
          <w:szCs w:val="20"/>
          <w:color w:val="auto"/>
        </w:rPr>
        <w:t>”) and the Performance Stock Unit Award Agreement to which this Appendix is atached (the “</w:t>
      </w:r>
      <w:r>
        <w:rPr>
          <w:rFonts w:ascii="Arial" w:cs="Arial" w:eastAsia="Arial" w:hAnsi="Arial"/>
          <w:sz w:val="20"/>
          <w:szCs w:val="20"/>
          <w:u w:val="single" w:color="auto"/>
          <w:color w:val="auto"/>
        </w:rPr>
        <w:t>Agreement</w:t>
      </w:r>
      <w:r>
        <w:rPr>
          <w:rFonts w:ascii="Arial" w:cs="Arial" w:eastAsia="Arial" w:hAnsi="Arial"/>
          <w:sz w:val="20"/>
          <w:szCs w:val="20"/>
          <w:color w:val="auto"/>
        </w:rPr>
        <w:t>”) to the extent Partcipant resides and/or works in one of the countries listed below. To the extent there are any inconsistencies between these terms and conditons and those set forth in the Agreement, these terms and conditons shall prevail. Any capitalized term used in this Appendix without defniton shall have the meaning ascribed to such term in the Plan or the Agreement, as applicable.</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If Partcipant is a citzen or resident of a country (or if Partcipant is considered as such for local law purposes) other than the one in which Partcipant is currently residing and/or working, or if Partcipant transfers to another country afer being granted the PSUs, the Company will, in its discreton, determine the extent to which the terms and conditons contained herein will be applicable to Partcipant.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Partcipant acknowledges and agrees to the data privacy provisions set forth in Secton 10.8 of the Plan.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Notfcatons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 xml:space="preserve">This Appendix also includes informaton relatng to securites laws and certain other issues of which Partcipant should be aware with respect to Partcipant’s partcipaton in the Plan. The informaton is based on the securites and other laws in efect in the respectve countries as of </w:t>
      </w:r>
      <w:r>
        <w:rPr>
          <w:rFonts w:ascii="Arial" w:cs="Arial" w:eastAsia="Arial" w:hAnsi="Arial"/>
          <w:sz w:val="19"/>
          <w:szCs w:val="19"/>
          <w:b w:val="1"/>
          <w:bCs w:val="1"/>
          <w:color w:val="auto"/>
        </w:rPr>
        <w:t>[_____]</w:t>
      </w:r>
      <w:r>
        <w:rPr>
          <w:rFonts w:ascii="Arial" w:cs="Arial" w:eastAsia="Arial" w:hAnsi="Arial"/>
          <w:sz w:val="19"/>
          <w:szCs w:val="19"/>
          <w:color w:val="auto"/>
        </w:rPr>
        <w:t>. Such laws are ofen complex and change frequently. As a result, Partcipant should not rely on the informaton</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herein as the only source of informaton relatng to the consequences of partcipaton in the Plan because the informaton may be out of date at the tme PSUs vest and are setled or Shares acquired under the Plan are sold.</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additon, the informaton is general in nature and may not apply to the partcular situaton of Partcipant, and the Company is not in a positon to assure Partcipant of any partcular result. Accordingly, Partcipant is advised to seek appropriate professional advice as to how the relevant laws in Partcipant’s country may apply to Partcipant’s situaton. Finally, if Partcipant is a citzen or resident of a country other than the one in which Partcipant is currently working (or if Partcipant is considered as such for local law purposes), or if Partcipant transfers to another country afer being granted the PSUs, the informaton contained herein may not be applicable to Partcipant.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[Insert Individual Country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Appendix-1</w:t>
      </w:r>
    </w:p>
    <w:p>
      <w:pPr>
        <w:sectPr>
          <w:pgSz w:w="11900" w:h="16838" w:orient="portrait"/>
          <w:cols w:equalWidth="0" w:num="1">
            <w:col w:w="11240"/>
          </w:cols>
          <w:pgMar w:left="320" w:top="137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2, 2023</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856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Albert G. White III</w:t>
      </w:r>
    </w:p>
    <w:p>
      <w:pPr>
        <w:spacing w:after="0" w:line="3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2, 2023</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22860</wp:posOffset>
            </wp:positionV>
            <wp:extent cx="25114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Brian G. Andrews</w:t>
      </w:r>
    </w:p>
    <w:p>
      <w:pPr>
        <w:spacing w:after="0" w:line="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Executive Vice President, Chief Financial Officer and</w:t>
      </w:r>
    </w:p>
    <w:p>
      <w:pPr>
        <w:jc w:val="center"/>
        <w:ind w:right="-31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64" w:right="339" w:bottom="1440" w:gutter="0" w:footer="0" w:header="0"/>
        </w:sectPr>
      </w:pPr>
    </w:p>
    <w:bookmarkStart w:id="68" w:name="page69"/>
    <w:bookmarkEnd w:id="6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April 30, 2023,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June 2,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69" w:name="page70"/>
    <w:bookmarkEnd w:id="69"/>
    <w:p>
      <w:pPr>
        <w:ind w:left="1032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April 30, 2023,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June 2,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3"/>
    </w:lvl>
  </w:abstractNum>
  <w:abstractNum w:abstractNumId="6">
    <w:nsid w:val="2443A858"/>
    <w:multiLevelType w:val="hybridMultilevel"/>
    <w:lvl w:ilvl="0">
      <w:lvlJc w:val="left"/>
      <w:lvlText w:val="%1"/>
      <w:numFmt w:val="lowerLetter"/>
      <w:start w:val="1"/>
    </w:lvl>
    <w:lvl w:ilvl="1">
      <w:lvlJc w:val="left"/>
      <w:lvlText w:val="(%2)"/>
      <w:numFmt w:val="lowerLetter"/>
      <w:start w:val="1"/>
    </w:lvl>
  </w:abstractNum>
  <w:abstractNum w:abstractNumId="7">
    <w:nsid w:val="2D1D5AE9"/>
    <w:multiLevelType w:val="hybridMultilevel"/>
    <w:lvl w:ilvl="0">
      <w:lvlJc w:val="left"/>
      <w:lvlText w:val="(%1)"/>
      <w:numFmt w:val="lowerLetter"/>
      <w:start w:val="6"/>
    </w:lvl>
    <w:lvl w:ilvl="1">
      <w:lvlJc w:val="left"/>
      <w:lvlText w:val="%2"/>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2"/>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4"/>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3"/>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2"/>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8"/>
    </w:lvl>
  </w:abstractNum>
  <w:abstractNum w:abstractNumId="24">
    <w:nsid w:val="737B8DDC"/>
    <w:multiLevelType w:val="hybridMultilevel"/>
    <w:lvl w:ilvl="0">
      <w:lvlJc w:val="left"/>
      <w:lvlText w:val="1"/>
      <w:numFmt w:val="bullet"/>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3"/>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3"/>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2"/>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8"/>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48" Type="http://schemas.openxmlformats.org/officeDocument/2006/relationships/hyperlink" Target="https://www.sec.gov/Archives/edgar/data/711404/000119312523019077/d448199ddef14a.htm#toc448199_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2023-06-02T15:25:38Z</dcterms:created>
  <dcterms:modified xsi:type="dcterms:W3CDTF">2023-06-02T15:25:38Z</dcterms:modified>
</cp:coreProperties>
</file>