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862"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24" w:lineRule="exact"/>
        <w:rPr>
          <w:sz w:val="24"/>
          <w:szCs w:val="24"/>
          <w:color w:val="auto"/>
        </w:rPr>
      </w:pPr>
    </w:p>
    <w:p>
      <w:pPr>
        <w:sectPr>
          <w:pgSz w:w="11900" w:h="16838" w:orient="portrait"/>
          <w:cols w:equalWidth="0" w:num="2">
            <w:col w:w="1360" w:space="720"/>
            <w:col w:w="9160"/>
          </w:cols>
          <w:pgMar w:left="320" w:top="86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31, 2024</w:t>
      </w:r>
    </w:p>
    <w:p>
      <w:pPr>
        <w:sectPr>
          <w:pgSz w:w="11900" w:h="16838" w:orient="portrait"/>
          <w:cols w:equalWidth="0" w:num="1">
            <w:col w:w="11240"/>
          </w:cols>
          <w:pgMar w:left="320" w:top="862" w:right="339" w:bottom="1440" w:gutter="0" w:footer="0" w:header="0"/>
          <w:type w:val="continuous"/>
        </w:sectPr>
      </w:pPr>
    </w:p>
    <w:p>
      <w:pPr>
        <w:spacing w:after="0" w:line="102"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1" w:lineRule="exact"/>
        <w:rPr>
          <w:sz w:val="24"/>
          <w:szCs w:val="24"/>
          <w:color w:val="auto"/>
        </w:rPr>
      </w:pPr>
    </w:p>
    <w:p>
      <w:pPr>
        <w:sectPr>
          <w:pgSz w:w="11900" w:h="16838" w:orient="portrait"/>
          <w:cols w:equalWidth="0" w:num="2">
            <w:col w:w="1360" w:space="720"/>
            <w:col w:w="9160"/>
          </w:cols>
          <w:pgMar w:left="320" w:top="862" w:right="33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sectPr>
          <w:pgSz w:w="11900" w:h="16838" w:orient="portrait"/>
          <w:cols w:equalWidth="0" w:num="2">
            <w:col w:w="6100" w:space="640"/>
            <w:col w:w="4500"/>
          </w:cols>
          <w:pgMar w:left="320" w:top="86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1-8597</w:t>
      </w:r>
    </w:p>
    <w:p>
      <w:pPr>
        <w:spacing w:after="0" w:line="6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862" w:right="339" w:bottom="1440" w:gutter="0" w:footer="0" w:header="0"/>
          <w:type w:val="continuous"/>
        </w:sectPr>
      </w:pPr>
    </w:p>
    <w:p>
      <w:pPr>
        <w:spacing w:after="0" w:line="17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94-2657368</w:t>
      </w:r>
    </w:p>
    <w:p>
      <w:pPr>
        <w:spacing w:after="0" w:line="37" w:lineRule="exact"/>
        <w:rPr>
          <w:sz w:val="24"/>
          <w:szCs w:val="24"/>
          <w:color w:val="auto"/>
        </w:rPr>
      </w:pPr>
    </w:p>
    <w:p>
      <w:pPr>
        <w:sectPr>
          <w:pgSz w:w="11900" w:h="16838" w:orient="portrait"/>
          <w:cols w:equalWidth="0" w:num="2">
            <w:col w:w="7480" w:space="720"/>
            <w:col w:w="3040"/>
          </w:cols>
          <w:pgMar w:left="320" w:top="862" w:right="33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2">
            <w:col w:w="7360" w:space="720"/>
            <w:col w:w="3160"/>
          </w:cols>
          <w:pgMar w:left="320" w:top="862" w:right="33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San Ramon, California 94583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(925) 460-3600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ind w:right="559"/>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August 23, 2024, 199,155,603 shares of Common Stock, $0.10 par value,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2" w:name="page3"/>
    <w:bookmarkEnd w:id="2"/>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INDEX</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7"/>
                <w:szCs w:val="17"/>
                <w:color w:val="auto"/>
              </w:rPr>
              <w:t>Page No.</w:t>
            </w:r>
          </w:p>
        </w:tc>
      </w:tr>
      <w:tr>
        <w:trPr>
          <w:trHeight w:val="162"/>
        </w:trPr>
        <w:tc>
          <w:tcPr>
            <w:tcW w:w="1320" w:type="dxa"/>
            <w:vAlign w:val="bottom"/>
            <w:gridSpan w:val="3"/>
          </w:tcPr>
          <w:p>
            <w:pPr>
              <w:spacing w:after="0" w:line="162" w:lineRule="exact"/>
              <w:rPr>
                <w:sz w:val="20"/>
                <w:szCs w:val="20"/>
                <w:color w:val="auto"/>
              </w:rPr>
            </w:pPr>
            <w:r>
              <w:rPr>
                <w:rFonts w:ascii="Times New Roman" w:cs="Times New Roman" w:eastAsia="Times New Roman" w:hAnsi="Times New Roman"/>
                <w:sz w:val="17"/>
                <w:szCs w:val="17"/>
                <w:color w:val="auto"/>
              </w:rPr>
              <w:t>PART I.</w:t>
            </w:r>
          </w:p>
        </w:tc>
        <w:tc>
          <w:tcPr>
            <w:tcW w:w="2140" w:type="dxa"/>
            <w:vAlign w:val="bottom"/>
            <w:tcBorders>
              <w:bottom w:val="single" w:sz="8" w:color="0000FF"/>
            </w:tcBorders>
            <w:gridSpan w:val="7"/>
          </w:tcPr>
          <w:p>
            <w:pPr>
              <w:spacing w:after="0" w:line="162" w:lineRule="exact"/>
              <w:rPr>
                <w:sz w:val="20"/>
                <w:szCs w:val="20"/>
                <w:color w:val="auto"/>
              </w:rPr>
            </w:pPr>
            <w:r>
              <w:rPr>
                <w:rFonts w:ascii="Times New Roman" w:cs="Times New Roman" w:eastAsia="Times New Roman" w:hAnsi="Times New Roman"/>
                <w:sz w:val="17"/>
                <w:szCs w:val="17"/>
                <w:color w:val="0000FF"/>
                <w:w w:val="98"/>
              </w:rPr>
              <w:t>FINANCIAL INFORMATION</w:t>
            </w:r>
          </w:p>
        </w:tc>
        <w:tc>
          <w:tcPr>
            <w:tcW w:w="6160" w:type="dxa"/>
            <w:vAlign w:val="bottom"/>
            <w:gridSpan w:val="11"/>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Unaudited Financial Statements</w:t>
            </w:r>
          </w:p>
        </w:tc>
        <w:tc>
          <w:tcPr>
            <w:tcW w:w="610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Condensed Statements of Income and Comprehensive Income</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Condensed Balance Sheets</w:t>
            </w:r>
          </w:p>
        </w:tc>
        <w:tc>
          <w:tcPr>
            <w:tcW w:w="298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Consolidated Condensed Statements of Stockholders' Equity</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Condensed Statements of Cash Flows</w:t>
            </w:r>
          </w:p>
        </w:tc>
        <w:tc>
          <w:tcPr>
            <w:tcW w:w="404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Notes to Consolidated Condensed Financial Statements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3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6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 About Market Risk</w:t>
            </w: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Controls and Procedures</w:t>
            </w:r>
          </w:p>
        </w:tc>
        <w:tc>
          <w:tcPr>
            <w:tcW w:w="2380" w:type="dxa"/>
            <w:vAlign w:val="bottom"/>
            <w:gridSpan w:val="7"/>
          </w:tcPr>
          <w:p>
            <w:pPr>
              <w:spacing w:after="0"/>
              <w:rPr>
                <w:sz w:val="24"/>
                <w:szCs w:val="24"/>
                <w:color w:val="auto"/>
              </w:rPr>
            </w:pPr>
          </w:p>
        </w:tc>
        <w:tc>
          <w:tcPr>
            <w:tcW w:w="4240" w:type="dxa"/>
            <w:vAlign w:val="bottom"/>
            <w:gridSpan w:val="6"/>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PART II.</w:t>
            </w:r>
          </w:p>
        </w:tc>
        <w:tc>
          <w:tcPr>
            <w:tcW w:w="83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520" w:type="dxa"/>
            <w:vAlign w:val="bottom"/>
            <w:gridSpan w:val="1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380" w:type="dxa"/>
            <w:vAlign w:val="bottom"/>
          </w:tcPr>
          <w:p>
            <w:pPr>
              <w:spacing w:after="0"/>
              <w:rPr>
                <w:sz w:val="24"/>
                <w:szCs w:val="24"/>
                <w:color w:val="auto"/>
              </w:rPr>
            </w:pP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3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418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Mine Safety Disclosures</w:t>
            </w:r>
          </w:p>
        </w:tc>
        <w:tc>
          <w:tcPr>
            <w:tcW w:w="520" w:type="dxa"/>
            <w:vAlign w:val="bottom"/>
            <w:gridSpan w:val="3"/>
          </w:tcPr>
          <w:p>
            <w:pPr>
              <w:spacing w:after="0"/>
              <w:rPr>
                <w:sz w:val="24"/>
                <w:szCs w:val="24"/>
                <w:color w:val="auto"/>
              </w:rPr>
            </w:pPr>
          </w:p>
        </w:tc>
        <w:tc>
          <w:tcPr>
            <w:tcW w:w="6100" w:type="dxa"/>
            <w:vAlign w:val="bottom"/>
            <w:gridSpan w:val="10"/>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2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62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060" w:type="dxa"/>
            <w:vAlign w:val="bottom"/>
            <w:gridSpan w:val="1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ind w:left="416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Item 1. Unaudited Financial Statements</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Income and Comprehensive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2,666.1</w:t>
            </w:r>
          </w:p>
        </w:tc>
        <w:tc>
          <w:tcPr>
            <w:tcW w:w="0" w:type="dxa"/>
            <w:vAlign w:val="bottom"/>
          </w:tcPr>
          <w:p>
            <w:pPr>
              <w:spacing w:after="0"/>
              <w:rPr>
                <w:sz w:val="1"/>
                <w:szCs w:val="1"/>
                <w:color w:val="auto"/>
              </w:rPr>
            </w:pPr>
          </w:p>
        </w:tc>
      </w:tr>
      <w:tr>
        <w:trPr>
          <w:trHeight w:val="22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959.0</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914.7</w:t>
            </w: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0" w:type="dxa"/>
            <w:vAlign w:val="bottom"/>
          </w:tcPr>
          <w:p>
            <w:pPr>
              <w:spacing w:after="0"/>
              <w:rPr>
                <w:sz w:val="1"/>
                <w:szCs w:val="1"/>
                <w:color w:val="auto"/>
              </w:rPr>
            </w:pPr>
          </w:p>
        </w:tc>
      </w:t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1,113.6</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0" w:type="dxa"/>
            <w:vAlign w:val="bottom"/>
          </w:tcPr>
          <w:p>
            <w:pPr>
              <w:spacing w:after="0"/>
              <w:rPr>
                <w:sz w:val="1"/>
                <w:szCs w:val="1"/>
                <w:color w:val="auto"/>
              </w:rPr>
            </w:pPr>
          </w:p>
        </w:tc>
      </w:tr>
      <w:tr>
        <w:trPr>
          <w:trHeight w:val="22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0" w:type="dxa"/>
            <w:vAlign w:val="bottom"/>
          </w:tcPr>
          <w:p>
            <w:pPr>
              <w:spacing w:after="0"/>
              <w:rPr>
                <w:sz w:val="1"/>
                <w:szCs w:val="1"/>
                <w:color w:val="auto"/>
              </w:rPr>
            </w:pPr>
          </w:p>
        </w:tc>
      </w:tr>
      <w:tr>
        <w:trPr>
          <w:trHeight w:val="22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397.4</w:t>
            </w:r>
          </w:p>
        </w:tc>
        <w:tc>
          <w:tcPr>
            <w:tcW w:w="0" w:type="dxa"/>
            <w:vAlign w:val="bottom"/>
          </w:tcPr>
          <w:p>
            <w:pPr>
              <w:spacing w:after="0"/>
              <w:rPr>
                <w:sz w:val="1"/>
                <w:szCs w:val="1"/>
                <w:color w:val="auto"/>
              </w:rPr>
            </w:pPr>
          </w:p>
        </w:tc>
      </w:t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19"/>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 (Note 6)</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6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(Note 7)*:</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shares used to compute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flow hedges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(27.2)</w:t>
            </w:r>
          </w:p>
        </w:tc>
        <w:tc>
          <w:tcPr>
            <w:tcW w:w="16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6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60" w:right="640" w:hanging="328"/>
        <w:spacing w:after="0" w:line="281" w:lineRule="auto"/>
        <w:tabs>
          <w:tab w:leader="none" w:pos="65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Balance Sheets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July 31, 2024</w:t>
            </w:r>
          </w:p>
        </w:tc>
        <w:tc>
          <w:tcPr>
            <w:tcW w:w="200" w:type="dxa"/>
            <w:vAlign w:val="bottom"/>
          </w:tcPr>
          <w:p>
            <w:pPr>
              <w:spacing w:after="0"/>
              <w:rPr>
                <w:sz w:val="20"/>
                <w:szCs w:val="20"/>
                <w:color w:val="auto"/>
              </w:rPr>
            </w:pPr>
          </w:p>
        </w:tc>
        <w:tc>
          <w:tcPr>
            <w:tcW w:w="16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0" w:type="dxa"/>
            <w:vAlign w:val="bottom"/>
          </w:tcPr>
          <w:p>
            <w:pPr>
              <w:spacing w:after="0"/>
              <w:rPr>
                <w:sz w:val="1"/>
                <w:szCs w:val="1"/>
                <w:color w:val="auto"/>
              </w:rPr>
            </w:pPr>
          </w:p>
        </w:tc>
      </w:tr>
      <w:tr>
        <w:trPr>
          <w:trHeight w:val="167"/>
        </w:trPr>
        <w:tc>
          <w:tcPr>
            <w:tcW w:w="7400" w:type="dxa"/>
            <w:vAlign w:val="bottom"/>
          </w:tcPr>
          <w:p>
            <w:pPr>
              <w:ind w:left="360"/>
              <w:spacing w:after="0" w:line="167" w:lineRule="exact"/>
              <w:rPr>
                <w:sz w:val="20"/>
                <w:szCs w:val="20"/>
                <w:color w:val="auto"/>
              </w:rPr>
            </w:pPr>
            <w:r>
              <w:rPr>
                <w:rFonts w:ascii="Times New Roman" w:cs="Times New Roman" w:eastAsia="Times New Roman" w:hAnsi="Times New Roman"/>
                <w:sz w:val="17"/>
                <w:szCs w:val="17"/>
                <w:color w:val="auto"/>
              </w:rPr>
              <w:t>Trade accounts receivable, net of allowance for credit losses of $42.8 at July 31, 2024, and $31.3 at</w:t>
            </w: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609.7</w:t>
            </w:r>
          </w:p>
        </w:tc>
        <w:tc>
          <w:tcPr>
            <w:tcW w:w="0" w:type="dxa"/>
            <w:vAlign w:val="bottom"/>
          </w:tcPr>
          <w:p>
            <w:pPr>
              <w:spacing w:after="0"/>
              <w:rPr>
                <w:sz w:val="1"/>
                <w:szCs w:val="1"/>
                <w:color w:val="auto"/>
              </w:rPr>
            </w:pP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October 31, 2023</w:t>
            </w:r>
          </w:p>
        </w:tc>
        <w:tc>
          <w:tcPr>
            <w:tcW w:w="2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 (Note 3)</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1,704.9</w:t>
            </w:r>
          </w:p>
        </w:tc>
        <w:tc>
          <w:tcPr>
            <w:tcW w:w="0" w:type="dxa"/>
            <w:vAlign w:val="bottom"/>
          </w:tcPr>
          <w:p>
            <w:pPr>
              <w:spacing w:after="0"/>
              <w:rPr>
                <w:sz w:val="1"/>
                <w:szCs w:val="1"/>
                <w:color w:val="auto"/>
              </w:rPr>
            </w:pP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1,632.6</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3,624.5</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intangibles, net (Note 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2,349.5</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637.1</w:t>
            </w:r>
          </w:p>
        </w:tc>
        <w:tc>
          <w:tcPr>
            <w:tcW w:w="0" w:type="dxa"/>
            <w:vAlign w:val="bottom"/>
          </w:tcPr>
          <w:p>
            <w:pPr>
              <w:spacing w:after="0"/>
              <w:rPr>
                <w:sz w:val="1"/>
                <w:szCs w:val="1"/>
                <w:color w:val="auto"/>
              </w:rPr>
            </w:pPr>
          </w:p>
        </w:tc>
      </w:tr>
      <w:tr>
        <w:trPr>
          <w:trHeight w:val="252"/>
        </w:trPr>
        <w:tc>
          <w:tcPr>
            <w:tcW w:w="7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Short-term debt (Note 5)</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969.0</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(Note 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tax payable</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4,107.9</w:t>
            </w:r>
          </w:p>
        </w:tc>
        <w:tc>
          <w:tcPr>
            <w:tcW w:w="0" w:type="dxa"/>
            <w:vAlign w:val="bottom"/>
          </w:tcPr>
          <w:p>
            <w:pPr>
              <w:spacing w:after="0"/>
              <w:rPr>
                <w:sz w:val="1"/>
                <w:szCs w:val="1"/>
                <w:color w:val="auto"/>
              </w:rPr>
            </w:pP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Contingencies (Note 10)</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Preferred stock, $0.10 par value, 1.0 shares authorized, zero shares issued or outstanding</w:t>
            </w:r>
          </w:p>
        </w:tc>
        <w:tc>
          <w:tcPr>
            <w:tcW w:w="2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360"/>
              <w:spacing w:after="0" w:line="171" w:lineRule="exact"/>
              <w:rPr>
                <w:sz w:val="20"/>
                <w:szCs w:val="20"/>
                <w:color w:val="auto"/>
              </w:rPr>
            </w:pPr>
            <w:r>
              <w:rPr>
                <w:rFonts w:ascii="Times New Roman" w:cs="Times New Roman" w:eastAsia="Times New Roman" w:hAnsi="Times New Roman"/>
                <w:sz w:val="17"/>
                <w:szCs w:val="17"/>
                <w:color w:val="auto"/>
              </w:rPr>
              <w:t>Common stock, $0.10 par value, 480.0 shares authorized, 216.7 issued and 199.1 outstanding at</w:t>
            </w:r>
          </w:p>
        </w:tc>
        <w:tc>
          <w:tcPr>
            <w:tcW w:w="2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July 31, 2024, and 215.8 issued and 198.1 outstanding at October 31, 2023</w:t>
            </w:r>
          </w:p>
        </w:tc>
        <w:tc>
          <w:tcPr>
            <w:tcW w:w="2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1,817.2</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6,876.1</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Treasury stock at cost: 17.6 shares at July 31, 2024, and 17.7 shares at October 31, 2023</w:t>
            </w: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(710.3)</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Cooper stockholders’ equity</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7,550.8</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Stockholders’ equity (Note 9)</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252"/>
        </w:trPr>
        <w:tc>
          <w:tcPr>
            <w:tcW w:w="7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660" w:right="640" w:hanging="328"/>
        <w:spacing w:after="0" w:line="281" w:lineRule="auto"/>
        <w:tabs>
          <w:tab w:leader="none" w:pos="65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ectPr>
          <w:pgSz w:w="11900" w:h="16838" w:orient="portrait"/>
          <w:cols w:equalWidth="0" w:num="1">
            <w:col w:w="11240"/>
          </w:cols>
          <w:pgMar w:left="320" w:top="1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
        </w:trPr>
        <w:tc>
          <w:tcPr>
            <w:tcW w:w="2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November 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$ 1,749.4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$ 6,584.9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(714.5)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7,174.7</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8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Dividends on common stock ($0.01 per</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7"/>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31, 2023*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$ 1,763.1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$ 6,668.0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(713.3)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7,335.7</w:t>
            </w: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166"/>
        </w:trPr>
        <w:tc>
          <w:tcPr>
            <w:tcW w:w="2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6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4"/>
                <w:szCs w:val="14"/>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at April 30,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$ 1,784.5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$ 6,707.8</w:t>
            </w:r>
          </w:p>
        </w:tc>
        <w:tc>
          <w:tcPr>
            <w:tcW w:w="10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(712.3)</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7,378.0</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Dividends on common stock ($0.01 per</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27"/>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July 31,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$ 1,801.2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$ 6,791.6</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(711.3)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7,528.5</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600" w:hanging="328"/>
        <w:spacing w:after="0" w:line="281" w:lineRule="auto"/>
        <w:tabs>
          <w:tab w:leader="none" w:pos="65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8"/>
                <w:szCs w:val="8"/>
                <w:color w:val="auto"/>
              </w:rPr>
            </w:pPr>
          </w:p>
        </w:tc>
        <w:tc>
          <w:tcPr>
            <w:tcW w:w="10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1"/>
        </w:trPr>
        <w:tc>
          <w:tcPr>
            <w:tcW w:w="28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November 1, 2023*</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$ 1,817.2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$ 6,876.1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(710.3)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7,551.0</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at January 31, 2024*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$ 1,847.4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(422.0)</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$ 6,957.3</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(709.2)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7,695.3</w:t>
            </w:r>
          </w:p>
        </w:tc>
        <w:tc>
          <w:tcPr>
            <w:tcW w:w="0" w:type="dxa"/>
            <w:vAlign w:val="bottom"/>
          </w:tcPr>
          <w:p>
            <w:pPr>
              <w:spacing w:after="0"/>
              <w:rPr>
                <w:sz w:val="1"/>
                <w:szCs w:val="1"/>
                <w:color w:val="auto"/>
              </w:rPr>
            </w:pPr>
          </w:p>
        </w:tc>
      </w:tr>
      <w:tr>
        <w:trPr>
          <w:trHeight w:val="22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6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3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27"/>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April 30, 2024*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$ 1,866.7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$ 7,046.2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(708.3)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7,803.9</w:t>
            </w:r>
          </w:p>
        </w:tc>
        <w:tc>
          <w:tcPr>
            <w:tcW w:w="0" w:type="dxa"/>
            <w:vAlign w:val="bottom"/>
          </w:tcPr>
          <w:p>
            <w:pPr>
              <w:spacing w:after="0"/>
              <w:rPr>
                <w:sz w:val="1"/>
                <w:szCs w:val="1"/>
                <w:color w:val="auto"/>
              </w:rPr>
            </w:pPr>
          </w:p>
        </w:tc>
      </w:tr>
      <w:tr>
        <w:trPr>
          <w:trHeight w:val="219"/>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0" w:type="dxa"/>
            <w:vAlign w:val="bottom"/>
          </w:tcPr>
          <w:p>
            <w:pPr>
              <w:spacing w:after="0"/>
              <w:rPr>
                <w:sz w:val="1"/>
                <w:szCs w:val="1"/>
                <w:color w:val="auto"/>
              </w:rPr>
            </w:pPr>
          </w:p>
        </w:tc>
      </w:tr>
      <w:tr>
        <w:trPr>
          <w:trHeight w:val="166"/>
        </w:trPr>
        <w:tc>
          <w:tcPr>
            <w:tcW w:w="28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Other comprehensive income (loss), net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tax</w:t>
            </w:r>
          </w:p>
        </w:tc>
        <w:tc>
          <w:tcPr>
            <w:tcW w:w="6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for stock</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net and employee stock purchase</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6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July 31, 2024*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$ 1,884.7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$ 7,150.9</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(707.2)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7,925.2</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640" w:hanging="328"/>
        <w:spacing w:after="0" w:line="281" w:lineRule="auto"/>
        <w:tabs>
          <w:tab w:leader="none" w:pos="65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periods presented have been adjusted to reflect the four-for-one stock split effected on February 16, 2024. Refer to Note 1. General for further information.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THE COOPER COMPANIES, INC. AND SUBSIDIARIES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Cash Flows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1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Accrual for acquisition termination fee</w:t>
            </w:r>
          </w:p>
        </w:tc>
        <w:tc>
          <w:tcPr>
            <w:tcW w:w="1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changes in operating capital</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non-cash items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433.3</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Acquisitions of businesses and assets, net of cash acquired, and other</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long-term debt, net of issuance costs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1,652.0</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(1,490.4)</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repayments of short-term debt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(335.5)</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proceeds related to share-based compensation awards</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1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Issuance of common stock for employee stock purchase plan</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(167.4)</w:t>
            </w:r>
          </w:p>
        </w:tc>
      </w:tr>
      <w:tr>
        <w:trPr>
          <w:trHeight w:val="22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flow information:</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r>
      <w:tr>
        <w:trPr>
          <w:trHeight w:val="23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 General</w:t>
      </w:r>
    </w:p>
    <w:p>
      <w:pPr>
        <w:spacing w:after="0" w:line="25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20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2023. The Consolidated Condensed Financial Statements include all adjustments (consisting only of normal recurring adjustments) and accruals necessary in the judgment of management for a fair presentation of the results for the interim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Policies</w:t>
      </w:r>
    </w:p>
    <w:p>
      <w:pPr>
        <w:spacing w:after="0" w:line="246"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17"/>
          <w:szCs w:val="17"/>
          <w:color w:val="auto"/>
        </w:rPr>
        <w:t>There have been no material changes to our significant accounting policies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described in our Annual Report on Form 10-K for the fiscal year ended October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Estimates</w:t>
      </w:r>
    </w:p>
    <w:p>
      <w:pPr>
        <w:spacing w:after="0" w:line="2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Split</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The par value of the common stock remains at $0.10 per share. Accordingly, an amount equal to the par value of the increased shares resulting from the stock split was reclassified from "Additional paid-in capital" to "Common stock". All share and per share information has been retroactively adjusted to reflect the stock split for all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Issued But Not Yet Adopted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ASU 2023-09, </w:t>
      </w:r>
      <w:r>
        <w:rPr>
          <w:rFonts w:ascii="Times New Roman" w:cs="Times New Roman" w:eastAsia="Times New Roman" w:hAnsi="Times New Roman"/>
          <w:sz w:val="17"/>
          <w:szCs w:val="17"/>
          <w:i w:val="1"/>
          <w:iCs w:val="1"/>
          <w:color w:val="auto"/>
        </w:rPr>
        <w:t>Income Taxes (Topic 740): Improvements to Income Tax Disclosures.</w:t>
      </w:r>
    </w:p>
    <w:p>
      <w:pPr>
        <w:spacing w:after="0" w:line="1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w:t>
      </w:r>
    </w:p>
    <w:p>
      <w:pPr>
        <w:spacing w:after="0" w:line="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color w:val="auto"/>
        </w:rPr>
        <w:t>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enhances the</w:t>
      </w:r>
    </w:p>
    <w:p>
      <w:pPr>
        <w:spacing w:after="0" w:line="16"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disclosures required for operating segments in our annual and interim consolidated financial statements. The ASU is effective for us beginning on November 1, 2024, and will be applied retrospectively. Early adoption is permitted. We are currently evaluating the impact of adopting this ASU on our consolidated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 and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2. Acquisitions and Joint Venture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acquisitions were funded by cash generated from operations or facility borrowings.</w:t>
      </w:r>
    </w:p>
    <w:p>
      <w:pPr>
        <w:spacing w:after="0" w:line="26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On June 7, 2024, CooperSurgical acquired a fertility company that specializes in sperm separation devices. The purchase price of the acquisition was $33.5 million. The Company accounted for this acquisition as an asset acquisition, whereby the Company allocated the total cost of the acquisition to the net assets acquired on the basis of their estimated relative fair values on the acquisition date. The primary asset acquired in this asset acquisition is a composite intangible asset of $39.6 million. The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6" w:lineRule="exact"/>
        <w:rPr>
          <w:sz w:val="20"/>
          <w:szCs w:val="20"/>
          <w:color w:val="auto"/>
        </w:rPr>
      </w:pPr>
    </w:p>
    <w:p>
      <w:pPr>
        <w:ind w:right="100" w:firstLine="8"/>
        <w:spacing w:after="0" w:line="214"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To further clarify the policy detailed in our Annual Report on Form 10-K for the fiscal year ended October 31, 2023, the current portion of the deferred revenue balances at the beginning of each period presented were generally fully recognized in a ratable manner in the subsequent 12-month period. We recognized revenue of approximately $30.0 million and $92.0 million for the three and nine months ended July 31, 2024, respectively, that was included in the deferred revenue balance at April 30, 2024, and October 31, 2023. We recognized revenue of approximately $30.0 million and $80.0 million for the three and nine months ended July 31, 2023, respectively, that was included in the deferred revenue balance at April 30, 2023, and October 31, 2022.</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the composite intangible asset reflects, in addition to the purchase price, a deferred tax liability of $8.3 million arising from book/tax basis differences generated upon the acquisition. The composite intangible asset encompasses the portfolio of intellectual property associated with the sperm separation devices including the patents, trademarks, customer relationships, regulatory approvals, and commercialization rights, which have been valued as a single composite intangible asset as they are inextricably linked.</w:t>
      </w:r>
    </w:p>
    <w:p>
      <w:pPr>
        <w:spacing w:after="0" w:line="19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 Assets acquired primarily comprised of $157.9 million of technologies, $26.6 million of customer relationship related intangibles, and $107.2 million of goodwill. The goodwill is deductible for tax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Venture</w:t>
      </w:r>
    </w:p>
    <w:p>
      <w:pPr>
        <w:spacing w:after="0" w:line="25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CooperVision and Essilor International SAS (Essilor) executed a Contribution Agreement and a Stock Purchase Agreement (the Agreements) in March 2022 to form a joint venture in SightGlass Vision, Inc. (SGV), which is a medical device company developing spectacle lenses for myopia management. Essilor paid CooperVision $52.1 million in exchange for a 50% interest in SGV and their proportionate share of the revenue payments. As part of the Agreements, each party contributed their interest in SGV and $10 million in cash. Prior to March 2022, CooperVision owned 100% of SGV.</w:t>
      </w:r>
    </w:p>
    <w:p>
      <w:pPr>
        <w:spacing w:after="0" w:line="20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Further information regarding the joint venture is included in the notes to our consolidated financial statements in our Annual Report on Form 10-K for the fiscal year ended October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w:t>
      </w:r>
    </w:p>
    <w:p>
      <w:pPr>
        <w:spacing w:after="0" w:line="254"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7"/>
          <w:szCs w:val="17"/>
          <w:color w:val="auto"/>
        </w:rPr>
        <w:t>On August 1, 2024, subsequent to fiscal quarter ended July 31, 2024, CooperSurgical completed the acquisition of obp Surgical, a U.S.-based medical device company with a suite of single-use cordless surgical retractors with integrated light source and evacuation channels. The purchase price of the acquisition was approximately $100.0 million, paid on August 1, 2024. The Company is in the process of finalizing purchase accounting information.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Note 3. Inventories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July 31, 2024</w:t>
            </w: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r>
      <w:tr>
        <w:trPr>
          <w:trHeight w:val="226"/>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r>
      <w:tr>
        <w:trPr>
          <w:trHeight w:val="227"/>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inventories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735.6</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Note 4. Intangible Assets</w:t>
            </w: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4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Intangible assets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7"/>
                <w:szCs w:val="17"/>
                <w:b w:val="1"/>
                <w:bCs w:val="1"/>
                <w:color w:val="auto"/>
              </w:rPr>
              <w:t>July 31, 2024</w:t>
            </w:r>
          </w:p>
        </w:tc>
        <w:tc>
          <w:tcPr>
            <w:tcW w:w="140" w:type="dxa"/>
            <w:vAlign w:val="bottom"/>
          </w:tcPr>
          <w:p>
            <w:pPr>
              <w:spacing w:after="0"/>
              <w:rPr>
                <w:sz w:val="24"/>
                <w:szCs w:val="24"/>
                <w:color w:val="auto"/>
              </w:rPr>
            </w:pPr>
          </w:p>
        </w:tc>
        <w:tc>
          <w:tcPr>
            <w:tcW w:w="2340" w:type="dxa"/>
            <w:vAlign w:val="bottom"/>
            <w:gridSpan w:val="4"/>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Amortization Period</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3"/>
                <w:szCs w:val="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15"/>
                <w:szCs w:val="15"/>
                <w:color w:val="auto"/>
              </w:rPr>
            </w:pPr>
          </w:p>
        </w:tc>
        <w:tc>
          <w:tcPr>
            <w:tcW w:w="980" w:type="dxa"/>
            <w:vAlign w:val="bottom"/>
          </w:tcPr>
          <w:p>
            <w:pPr>
              <w:jc w:val="center"/>
              <w:ind w:right="75"/>
              <w:spacing w:after="0" w:line="174"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35"/>
              <w:spacing w:after="0" w:line="174"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line="155" w:lineRule="exact"/>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5"/>
                <w:szCs w:val="15"/>
                <w:color w:val="auto"/>
              </w:rPr>
            </w:pPr>
          </w:p>
        </w:tc>
        <w:tc>
          <w:tcPr>
            <w:tcW w:w="860" w:type="dxa"/>
            <w:vAlign w:val="bottom"/>
          </w:tcPr>
          <w:p>
            <w:pPr>
              <w:jc w:val="center"/>
              <w:ind w:right="55"/>
              <w:spacing w:after="0" w:line="155" w:lineRule="exact"/>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15"/>
              <w:spacing w:after="0" w:line="155"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260" w:type="dxa"/>
            <w:vAlign w:val="bottom"/>
            <w:gridSpan w:val="3"/>
            <w:shd w:val="clear" w:color="auto" w:fill="CCEEFF"/>
          </w:tcPr>
          <w:p>
            <w:pPr>
              <w:ind w:left="120"/>
              <w:spacing w:after="0" w:line="233" w:lineRule="exact"/>
              <w:rPr>
                <w:sz w:val="20"/>
                <w:szCs w:val="20"/>
                <w:color w:val="auto"/>
              </w:rPr>
            </w:pPr>
            <w:r>
              <w:rPr>
                <w:rFonts w:ascii="Times New Roman" w:cs="Times New Roman" w:eastAsia="Times New Roman" w:hAnsi="Times New Roman"/>
                <w:sz w:val="17"/>
                <w:szCs w:val="17"/>
                <w:color w:val="auto"/>
              </w:rPr>
              <w:t xml:space="preserve">Composite intangible assets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Technology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Trademarks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License and distribution rights and 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Less: accumulated amortization and translation</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1,351.8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CCEEFF"/>
            </w:tcBorders>
            <w:vMerge w:val="continue"/>
          </w:tcPr>
          <w:p>
            <w:pPr>
              <w:spacing w:after="0"/>
              <w:rPr>
                <w:sz w:val="15"/>
                <w:szCs w:val="15"/>
                <w:color w:val="auto"/>
              </w:rPr>
            </w:pPr>
          </w:p>
        </w:tc>
        <w:tc>
          <w:tcPr>
            <w:tcW w:w="4260" w:type="dxa"/>
            <w:vAlign w:val="bottom"/>
            <w:tcBorders>
              <w:bottom w:val="single" w:sz="8" w:color="CCEEFF"/>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 net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3"/>
          </w:tcPr>
          <w:p>
            <w:pPr>
              <w:spacing w:after="0" w:line="229" w:lineRule="exact"/>
              <w:rPr>
                <w:sz w:val="20"/>
                <w:szCs w:val="20"/>
                <w:color w:val="auto"/>
              </w:rPr>
            </w:pPr>
            <w:r>
              <w:rPr>
                <w:rFonts w:ascii="Times New Roman" w:cs="Times New Roman" w:eastAsia="Times New Roman" w:hAnsi="Times New Roman"/>
                <w:sz w:val="17"/>
                <w:szCs w:val="17"/>
                <w:color w:val="auto"/>
              </w:rPr>
              <w:t xml:space="preserve">Intangible assets with indefinite lives, net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intangibles,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firstLine="8"/>
        <w:spacing w:after="0" w:line="355" w:lineRule="auto"/>
        <w:tabs>
          <w:tab w:leader="none" w:pos="140" w:val="left"/>
        </w:tabs>
        <w:numPr>
          <w:ilvl w:val="0"/>
          <w:numId w:val="6"/>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3"/>
          <w:szCs w:val="13"/>
          <w:i w:val="1"/>
          <w:iCs w:val="1"/>
          <w:color w:val="auto"/>
        </w:rPr>
        <w:t>Composite intangible assets primarily consist of technology, trade name, New Drug Application approval and physician relationships</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i w:val="1"/>
          <w:iCs w:val="1"/>
          <w:color w:val="auto"/>
        </w:rPr>
        <w:t xml:space="preserve"> The components are not reflected separately or within the corresponding categories because they are inextricably linked.</w:t>
      </w:r>
    </w:p>
    <w:p>
      <w:pPr>
        <w:spacing w:after="0" w:line="47" w:lineRule="exact"/>
        <w:rPr>
          <w:rFonts w:ascii="Times New Roman" w:cs="Times New Roman" w:eastAsia="Times New Roman" w:hAnsi="Times New Roman"/>
          <w:sz w:val="16"/>
          <w:szCs w:val="16"/>
          <w:i w:val="1"/>
          <w:iCs w:val="1"/>
          <w:color w:val="auto"/>
          <w:vertAlign w:val="superscript"/>
        </w:rPr>
      </w:pPr>
    </w:p>
    <w:p>
      <w:pPr>
        <w:ind w:left="140" w:hanging="132"/>
        <w:spacing w:after="0"/>
        <w:tabs>
          <w:tab w:leader="none" w:pos="140" w:val="left"/>
        </w:tabs>
        <w:numPr>
          <w:ilvl w:val="0"/>
          <w:numId w:val="6"/>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5"/>
          <w:szCs w:val="15"/>
          <w:i w:val="1"/>
          <w:iCs w:val="1"/>
          <w:color w:val="auto"/>
        </w:rPr>
        <w:t>Intangible assets with indefinite lives include technology and trademarks.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Balances include foreign currency translation adjustments.</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5"/>
        </w:trPr>
        <w:tc>
          <w:tcPr>
            <w:tcW w:w="8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of July 31, 2024, the estimate of future amortization expenses for intangible assets with definite lives is as follows:</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400" w:type="dxa"/>
            <w:vAlign w:val="bottom"/>
          </w:tcPr>
          <w:p>
            <w:pPr>
              <w:spacing w:after="0"/>
              <w:rPr>
                <w:sz w:val="24"/>
                <w:szCs w:val="24"/>
                <w:color w:val="auto"/>
              </w:rPr>
            </w:pPr>
          </w:p>
        </w:tc>
        <w:tc>
          <w:tcPr>
            <w:tcW w:w="1880" w:type="dxa"/>
            <w:vAlign w:val="bottom"/>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2024</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2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w:t>
            </w:r>
          </w:p>
        </w:tc>
      </w:tr>
      <w:tr>
        <w:trPr>
          <w:trHeight w:val="233"/>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w:t>
            </w:r>
          </w:p>
        </w:tc>
      </w:tr>
      <w:tr>
        <w:trPr>
          <w:trHeight w:val="22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33"/>
        </w:trPr>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w:t>
            </w:r>
          </w:p>
        </w:tc>
      </w:tr>
      <w:tr>
        <w:trPr>
          <w:trHeight w:val="226"/>
        </w:trPr>
        <w:tc>
          <w:tcPr>
            <w:tcW w:w="2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1,025.8</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remaining amortization for intangible assets with definite lives</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Company performed its annual impairment assessment in the third quarter of fiscal 2024 and concluded there was no material impairment of goodwill or intangible assets recorded in the nine months ended July 31, 2024. Further information regarding our annual impairment assessment is included in our notes to our consolidated financial statements in our Annual Report on Form 10-K for the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Note 5. Financing Arrangements</w:t>
            </w:r>
          </w:p>
        </w:tc>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64"/>
        </w:trPr>
        <w:tc>
          <w:tcPr>
            <w:tcW w:w="7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Company had outstanding debt as follows: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6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July 31, 2024</w:t>
            </w: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excluding financing leases</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4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Revolving credit</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r>
      <w:tr>
        <w:trPr>
          <w:trHeight w:val="226"/>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Term loans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2,350.0</w:t>
            </w:r>
          </w:p>
        </w:tc>
      </w:tr>
      <w:tr>
        <w:trPr>
          <w:trHeight w:val="233"/>
        </w:trPr>
        <w:tc>
          <w:tcPr>
            <w:tcW w:w="20" w:type="dxa"/>
            <w:vAlign w:val="bottom"/>
            <w:shd w:val="clear" w:color="auto" w:fill="CCEEFF"/>
          </w:tcPr>
          <w:p>
            <w:pPr>
              <w:spacing w:after="0"/>
              <w:rPr>
                <w:sz w:val="20"/>
                <w:szCs w:val="20"/>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7"/>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excluding financing leases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2,520.4</w:t>
            </w: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2,523.8</w:t>
            </w:r>
          </w:p>
        </w:tc>
      </w:tr>
      <w:tr>
        <w:trPr>
          <w:trHeight w:val="227"/>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debt</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2,569.2</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Additional information regarding our indebtedness is included in our notes to our consolidated financial statements in our Annual Report on Form 10-K for the fiscal year ended October 31, 2023. The carrying value of the Company's revolving credit facility and term loans approximates fair value based on current market rates (Level 2). As of July 31, 2024, the Company was in compliance with all debt covenants.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Agreement on May 1, 2024</w:t>
      </w:r>
    </w:p>
    <w:p>
      <w:pPr>
        <w:spacing w:after="0" w:line="2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 billion which, unless terminated earlier, matures on May 1, 2029. On May 1, 2024, the Company used $1,170 million under the 2024 Revolving Credit Facility to fully repay all borrowings outstanding under the 2020 Term Loan Facility and the 2020 Revolving Credit Facility, and terminated the 2020 Credit Agreement. The Company has an uncommitted option to increase the revolving credit facility or establish a new term loan in an aggregate amount up to the greater of $1,150 million or 100% of consolidated Earnings Before Interest, Taxes, Depreciation and Amortization (EBITDA), as defined in the 2024 Credit Agreement.</w:t>
      </w:r>
    </w:p>
    <w:p>
      <w:pPr>
        <w:spacing w:after="0" w:line="21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w:t>
      </w:r>
    </w:p>
    <w:p>
      <w:pPr>
        <w:spacing w:after="0" w:line="216"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The Company pays an annual commitment fee that ranges from 0.10% to 0.20% of the unused portion of the 2024 Revolving Credit Facility based upon the Company’s Total Leverage Ratio, as defined in the 2024 Credit Agreement.</w:t>
      </w:r>
    </w:p>
    <w:p>
      <w:pPr>
        <w:spacing w:after="0" w:line="19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2024 Credit Agreement contains customary restrictive covenants, as well as financial covenants that require the Company to maintain a certain Total Leverage Ratio and Interest Coverage Ratio, each as defined in the 2024 Credit Agreement, consistent with the 2020 Credit Agreement discussed above.</w:t>
      </w:r>
    </w:p>
    <w:p>
      <w:pPr>
        <w:spacing w:after="0" w:line="190"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7"/>
          <w:szCs w:val="17"/>
          <w:color w:val="auto"/>
        </w:rPr>
        <w:t>On July 31, 2024, the Company had $1.1 billion outstanding under the 2024 Revolving Credit Facility and the weighted-average interest rate on the 2024 Revolving Credit Facility was 6.57%.</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Agreement on December 17, 2021</w:t>
      </w:r>
    </w:p>
    <w:p>
      <w:pPr>
        <w:spacing w:after="0" w:line="2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31, 2024, the Company had $1.5 billion outstanding under the 2021 Term Loan Facility and the interest rate was 6.44%.</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and Term Loan Agreement on April 1, 2020</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$1,290 million and (b) a term loan facility (the 2020 Term Loan Facility) in an aggregate principal amount of $850.0 million, each of which, unless terminated earlier, mature on April 1, 2025. The Company has an uncommitted option to increase the revolving credit facility or establish a new term loan in an aggregate amount up to $1,605 million.</w:t>
      </w:r>
    </w:p>
    <w:p>
      <w:pPr>
        <w:spacing w:after="0" w:line="21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terminated the 2020 Credit Agreement. In connection with the termination, all borrowings outstanding under the 2020 Credit Agreement were repaid.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6. Income Taxes</w:t>
      </w:r>
    </w:p>
    <w:p>
      <w:pPr>
        <w:spacing w:after="0" w:line="241" w:lineRule="exact"/>
        <w:rPr>
          <w:sz w:val="20"/>
          <w:szCs w:val="20"/>
          <w:color w:val="auto"/>
        </w:rPr>
      </w:pPr>
    </w:p>
    <w:p>
      <w:pPr>
        <w:jc w:val="both"/>
        <w:ind w:right="140"/>
        <w:spacing w:after="0" w:line="248" w:lineRule="auto"/>
        <w:rPr>
          <w:sz w:val="20"/>
          <w:szCs w:val="20"/>
          <w:color w:val="auto"/>
        </w:rPr>
      </w:pPr>
      <w:r>
        <w:rPr>
          <w:rFonts w:ascii="Times New Roman" w:cs="Times New Roman" w:eastAsia="Times New Roman" w:hAnsi="Times New Roman"/>
          <w:sz w:val="17"/>
          <w:szCs w:val="17"/>
          <w:color w:val="auto"/>
        </w:rPr>
        <w:t>The effective tax rates for the three months ended July 31, 2024, and 2023, were 36.1% and 28.2%, respectively. The effective tax rates for the nine months ended July 31, 2024, and 2023, were 33.6% and 31.6%, respectively. The increases were primarily due to changes in the geographic composition of pre-tax earnings and an increase in the UK statutory tax rate from 19% to 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Note 7. Earnings Per Share</w:t>
            </w:r>
          </w:p>
        </w:tc>
        <w:tc>
          <w:tcPr>
            <w:tcW w:w="26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i w:val="1"/>
                <w:iCs w:val="1"/>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2"/>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dilutive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Diluted weighted-average common 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7"/>
          <w:szCs w:val="17"/>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23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26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thousands, except exercise prices)</w:t>
            </w:r>
          </w:p>
        </w:tc>
        <w:tc>
          <w:tcPr>
            <w:tcW w:w="17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5"/>
                <w:szCs w:val="15"/>
                <w:color w:val="auto"/>
              </w:rPr>
            </w:pPr>
          </w:p>
        </w:tc>
        <w:tc>
          <w:tcPr>
            <w:tcW w:w="174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shares excluded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r>
      <w:tr>
        <w:trPr>
          <w:trHeight w:val="226"/>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$75.03 - $101.54</w:t>
            </w:r>
          </w:p>
        </w:tc>
      </w:tr>
      <w:tr>
        <w:trPr>
          <w:trHeight w:val="233"/>
        </w:trPr>
        <w:tc>
          <w:tcPr>
            <w:tcW w:w="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 excluded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8. Share-Based Compensation</w:t>
      </w:r>
    </w:p>
    <w:p>
      <w:pPr>
        <w:spacing w:after="0" w:line="135"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7"/>
          <w:szCs w:val="17"/>
          <w:color w:val="auto"/>
        </w:rPr>
        <w:t>The Company has several stock plans that are described in the Company’s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fiscal year ended October 31, 2023. The compensation expense and related income tax benefit recognized in our Consolidated Condensed Statements of Income and Comprehensive Income for share-based awards, including the Employee Stock Purchase Plan,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06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6"/>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7"/>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9.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Analysis of Changes in Accumulated Other Comprehensive Loss: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Foreign Currency</w:t>
            </w:r>
          </w:p>
        </w:tc>
        <w:tc>
          <w:tcPr>
            <w:tcW w:w="100" w:type="dxa"/>
            <w:vAlign w:val="bottom"/>
          </w:tcPr>
          <w:p>
            <w:pPr>
              <w:spacing w:after="0"/>
              <w:rPr>
                <w:sz w:val="17"/>
                <w:szCs w:val="17"/>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Minimum Pension</w:t>
            </w:r>
          </w:p>
        </w:tc>
        <w:tc>
          <w:tcPr>
            <w:tcW w:w="240" w:type="dxa"/>
            <w:vAlign w:val="bottom"/>
          </w:tcPr>
          <w:p>
            <w:pPr>
              <w:spacing w:after="0"/>
              <w:rPr>
                <w:sz w:val="17"/>
                <w:szCs w:val="17"/>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7"/>
                <w:szCs w:val="17"/>
                <w:b w:val="1"/>
                <w:bCs w:val="1"/>
                <w:color w:val="auto"/>
              </w:rPr>
              <w:t>Adjustment</w:t>
            </w:r>
          </w:p>
        </w:tc>
        <w:tc>
          <w:tcPr>
            <w:tcW w:w="100" w:type="dxa"/>
            <w:vAlign w:val="bottom"/>
          </w:tcPr>
          <w:p>
            <w:pPr>
              <w:spacing w:after="0"/>
              <w:rPr>
                <w:sz w:val="15"/>
                <w:szCs w:val="15"/>
                <w:color w:val="auto"/>
              </w:rPr>
            </w:pPr>
          </w:p>
        </w:tc>
        <w:tc>
          <w:tcPr>
            <w:tcW w:w="15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7"/>
                <w:szCs w:val="17"/>
                <w:b w:val="1"/>
                <w:bCs w:val="1"/>
                <w:color w:val="auto"/>
              </w:rPr>
              <w:t>Liability</w:t>
            </w:r>
          </w:p>
        </w:tc>
        <w:tc>
          <w:tcPr>
            <w:tcW w:w="240" w:type="dxa"/>
            <w:vAlign w:val="bottom"/>
          </w:tcPr>
          <w:p>
            <w:pPr>
              <w:spacing w:after="0"/>
              <w:rPr>
                <w:sz w:val="15"/>
                <w:szCs w:val="15"/>
                <w:color w:val="auto"/>
              </w:rPr>
            </w:pPr>
          </w:p>
        </w:tc>
        <w:tc>
          <w:tcPr>
            <w:tcW w:w="14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7"/>
                <w:szCs w:val="17"/>
                <w:b w:val="1"/>
                <w:bCs w:val="1"/>
                <w:color w:val="auto"/>
                <w:w w:val="99"/>
              </w:rPr>
              <w:t>Instruments</w:t>
            </w: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July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effect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52"/>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July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7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In March 2017, the authorization under the 2012 Share Repurchase Program was increased to $1.0 billion by the Company's Board of Directors. As of July 31, 2024, $256.4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nine months ended July 31, 2024, and 2023, there were no share repurchases.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paid dividends of approximately $1.5 million during the nine months ended July 31,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10. Contingencies and Commitments</w:t>
      </w:r>
    </w:p>
    <w:p>
      <w:pPr>
        <w:spacing w:after="0" w:line="2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ind w:right="880"/>
        <w:spacing w:after="0" w:line="281" w:lineRule="auto"/>
        <w:rPr>
          <w:sz w:val="20"/>
          <w:szCs w:val="20"/>
          <w:color w:val="auto"/>
        </w:rPr>
      </w:pPr>
      <w:r>
        <w:rPr>
          <w:rFonts w:ascii="Times New Roman" w:cs="Times New Roman" w:eastAsia="Times New Roman" w:hAnsi="Times New Roman"/>
          <w:sz w:val="17"/>
          <w:szCs w:val="17"/>
          <w:color w:val="auto"/>
        </w:rPr>
        <w:t xml:space="preserve">period, the Company evaluates whether or not a potential loss amount or a potential range of loss is probable and reasonably estimable under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Legal fees are expensed as incurred.</w:t>
      </w:r>
    </w:p>
    <w:p>
      <w:pPr>
        <w:spacing w:after="0" w:line="190" w:lineRule="exact"/>
        <w:rPr>
          <w:sz w:val="20"/>
          <w:szCs w:val="20"/>
          <w:color w:val="auto"/>
        </w:rPr>
      </w:pPr>
    </w:p>
    <w:p>
      <w:pPr>
        <w:jc w:val="both"/>
        <w:ind w:right="280"/>
        <w:spacing w:after="0" w:line="273" w:lineRule="auto"/>
        <w:rPr>
          <w:sz w:val="20"/>
          <w:szCs w:val="20"/>
          <w:color w:val="auto"/>
        </w:rPr>
      </w:pPr>
      <w:r>
        <w:rPr>
          <w:rFonts w:ascii="Times New Roman" w:cs="Times New Roman" w:eastAsia="Times New Roman" w:hAnsi="Times New Roman"/>
          <w:sz w:val="17"/>
          <w:szCs w:val="17"/>
          <w:color w:val="auto"/>
        </w:rPr>
        <w:t>As of July 31, 2024, the Company entered into additional leases that have not yet commenced in order to expand capacity. The undiscounted lease payments are estimated at $214.0 million for leases that will commence between the fourth quarter of fiscal 2024 through fiscal 2026, with initial terms ranging from 15 to 25 years.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11. Business Segment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revenue and other financial information by reportable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Segment information: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net sales by category: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Toric and multifocal</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0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14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Sphere, other</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999.0</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CooperVision net sales</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net sales by category: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Office and surgical</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0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4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571.9</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Fertility</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CooperSurgical net sales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865.3</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net sales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6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CooperVision</w:t>
            </w: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CooperSurgical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Corporate</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July 31, 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identifiable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CooperVision</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7,172.0</w:t>
            </w:r>
          </w:p>
        </w:tc>
        <w:tc>
          <w:tcPr>
            <w:tcW w:w="1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7,044.0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CooperSurgical</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4,716.8</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4,351.8</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Corporate</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11,658.9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Geographic information:</w:t>
            </w: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5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27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9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 to unaffiliated customers by country of domicile: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140" w:type="dxa"/>
            <w:vAlign w:val="bottom"/>
          </w:tcPr>
          <w:p>
            <w:pPr>
              <w:spacing w:after="0"/>
              <w:rPr>
                <w:sz w:val="19"/>
                <w:szCs w:val="19"/>
                <w:color w:val="auto"/>
              </w:rPr>
            </w:pP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462.5</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5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777.4</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7"/>
                <w:szCs w:val="17"/>
                <w:color w:val="auto"/>
              </w:rPr>
              <w:t>Rest of world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6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July 31, 2024</w:t>
            </w:r>
          </w:p>
        </w:tc>
        <w:tc>
          <w:tcPr>
            <w:tcW w:w="180" w:type="dxa"/>
            <w:vAlign w:val="bottom"/>
          </w:tcPr>
          <w:p>
            <w:pPr>
              <w:spacing w:after="0"/>
              <w:rPr>
                <w:sz w:val="17"/>
                <w:szCs w:val="17"/>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2023</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property, plant and equipment by country of domicile: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1,027.6</w:t>
            </w:r>
          </w:p>
        </w:tc>
      </w:tr>
      <w:tr>
        <w:trPr>
          <w:trHeight w:val="233"/>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Europe</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w:t>
            </w:r>
          </w:p>
        </w:tc>
      </w:tr>
      <w:tr>
        <w:trPr>
          <w:trHeight w:val="226"/>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7"/>
                <w:szCs w:val="17"/>
                <w:color w:val="auto"/>
              </w:rPr>
              <w:t>Rest of world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279.1</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12. Financial Derivatives and Hedging</w:t>
      </w:r>
    </w:p>
    <w:p>
      <w:pPr>
        <w:spacing w:after="0" w:line="17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As of July 31, 2024, the notional amount of outstanding foreign currency forward contracts was $58.6 million. The resulting impact on our Consolidated Financial Statements from currency hedging activities was not significant for the three and nine months ended July 31, 2024, and July 31, 2023.</w:t>
      </w:r>
    </w:p>
    <w:p>
      <w:pPr>
        <w:spacing w:after="0" w:line="10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As of July 31, 2024, the Company has 9 interest rate swap contracts that have a total notional amount of $1.8 billion and remaining maturities of less than four years.</w:t>
      </w:r>
    </w:p>
    <w:p>
      <w:pPr>
        <w:spacing w:after="0" w:line="10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7"/>
          <w:szCs w:val="17"/>
          <w:color w:val="auto"/>
        </w:rPr>
        <w:t>The following table summarizes the amounts recognized with respect to our derivative instruments within the accompanying Consolidated Condensed Statements of Income and Comprehensive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40" w:type="dxa"/>
            <w:vAlign w:val="bottom"/>
          </w:tcPr>
          <w:p>
            <w:pPr>
              <w:spacing w:after="0"/>
              <w:rPr>
                <w:sz w:val="20"/>
                <w:szCs w:val="20"/>
                <w:color w:val="auto"/>
              </w:rPr>
            </w:pPr>
          </w:p>
        </w:tc>
        <w:tc>
          <w:tcPr>
            <w:tcW w:w="2000" w:type="dxa"/>
            <w:vAlign w:val="bottom"/>
            <w:gridSpan w:val="4"/>
          </w:tcPr>
          <w:p>
            <w:pPr>
              <w:ind w:left="400"/>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Derivatives designated as cash flow hedges</w:t>
            </w:r>
          </w:p>
        </w:tc>
        <w:tc>
          <w:tcPr>
            <w:tcW w:w="680" w:type="dxa"/>
            <w:vAlign w:val="bottom"/>
            <w:shd w:val="clear" w:color="auto" w:fill="CCEEFF"/>
          </w:tcPr>
          <w:p>
            <w:pPr>
              <w:spacing w:after="0"/>
              <w:rPr>
                <w:sz w:val="13"/>
                <w:szCs w:val="13"/>
                <w:color w:val="auto"/>
              </w:rPr>
            </w:pPr>
          </w:p>
        </w:tc>
        <w:tc>
          <w:tcPr>
            <w:tcW w:w="2220" w:type="dxa"/>
            <w:vAlign w:val="bottom"/>
            <w:gridSpan w:val="4"/>
            <w:shd w:val="clear" w:color="auto" w:fill="CCEEFF"/>
          </w:tcPr>
          <w:p>
            <w:pPr>
              <w:ind w:left="100"/>
              <w:spacing w:after="0" w:line="157" w:lineRule="exact"/>
              <w:rPr>
                <w:sz w:val="20"/>
                <w:szCs w:val="20"/>
                <w:color w:val="auto"/>
              </w:rPr>
            </w:pPr>
            <w:r>
              <w:rPr>
                <w:rFonts w:ascii="Times New Roman" w:cs="Times New Roman" w:eastAsia="Times New Roman" w:hAnsi="Times New Roman"/>
                <w:sz w:val="17"/>
                <w:szCs w:val="17"/>
                <w:b w:val="1"/>
                <w:bCs w:val="1"/>
                <w:color w:val="auto"/>
              </w:rPr>
              <w:t>Location of (Gain)/Loss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CCEEFF"/>
            </w:tcBorders>
            <w:gridSpan w:val="2"/>
            <w:vMerge w:val="continue"/>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 contracts</w:t>
            </w:r>
          </w:p>
        </w:tc>
        <w:tc>
          <w:tcPr>
            <w:tcW w:w="400" w:type="dxa"/>
            <w:vAlign w:val="bottom"/>
          </w:tcPr>
          <w:p>
            <w:pPr>
              <w:spacing w:after="0"/>
              <w:rPr>
                <w:sz w:val="18"/>
                <w:szCs w:val="18"/>
                <w:color w:val="auto"/>
              </w:rPr>
            </w:pPr>
          </w:p>
        </w:tc>
        <w:tc>
          <w:tcPr>
            <w:tcW w:w="290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Interest expense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gain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Amount recognized in accumulated other comprehensive income</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on interest rate swap contracts, gross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Amount reclassified from accumulated other comprehensive</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into earnings, gross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gain</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The amount recognized in other comprehensive income on interest rate swap contracts was $(16.5) million and $(2.7) million, net of tax, for the three and nine months ended July 31, 2024, respectively, and $23.8 million and $11.1 million, net of tax, for the three and nine months ended July 31, 2023, respectively.</w:t>
      </w:r>
    </w:p>
    <w:p>
      <w:pPr>
        <w:spacing w:after="0" w:line="20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amount reclassified from other comprehensive income into earnings was $(10.7) million and $(31.1) million, net of tax, for the three and nine months ended July 31, 2024, respectively, and $(9.2) million and $(23.0) million, net of tax, for the three and nine months ended July 31,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9. Stockholders' Equity for amounts presented net of the related tax impact in "Accumulated other comprehensive loss."</w:t>
      </w:r>
    </w:p>
    <w:p>
      <w:pPr>
        <w:spacing w:after="0" w:line="25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The Company expects that $(41.8) million recorded as a component of "Accumulated other comprehensive loss" will be realized in the Consolidated Condensed Statements of Income over the next twelve months and the amount will vary depending on prevailing interest rates.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numbers refer to “Notes to Consolidated Condensed Financial Statements” in Item 1. Unaudited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32" w:lineRule="exact"/>
        <w:rPr>
          <w:sz w:val="20"/>
          <w:szCs w:val="20"/>
          <w:color w:val="auto"/>
        </w:rPr>
      </w:pPr>
    </w:p>
    <w:p>
      <w:pPr>
        <w:ind w:left="660" w:right="220" w:hanging="652"/>
        <w:spacing w:after="0" w:line="250"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spacing w:after="0" w:line="1" w:lineRule="exact"/>
        <w:rPr>
          <w:rFonts w:ascii="Times New Roman" w:cs="Times New Roman" w:eastAsia="Times New Roman" w:hAnsi="Times New Roman"/>
          <w:sz w:val="17"/>
          <w:szCs w:val="17"/>
          <w:color w:val="auto"/>
        </w:rPr>
      </w:pPr>
    </w:p>
    <w:p>
      <w:pPr>
        <w:ind w:left="660" w:right="440" w:hanging="652"/>
        <w:spacing w:after="0" w:line="231" w:lineRule="auto"/>
        <w:tabs>
          <w:tab w:leader="none" w:pos="651" w:val="left"/>
        </w:tabs>
        <w:numPr>
          <w:ilvl w:val="0"/>
          <w:numId w:val="7"/>
        </w:numPr>
        <w:rPr>
          <w:rFonts w:ascii="Calibri" w:cs="Calibri" w:eastAsia="Calibri" w:hAnsi="Calibri"/>
          <w:sz w:val="14"/>
          <w:szCs w:val="14"/>
          <w:color w:val="auto"/>
        </w:rPr>
      </w:pPr>
      <w:r>
        <w:rPr>
          <w:rFonts w:ascii="Times New Roman" w:cs="Times New Roman" w:eastAsia="Times New Roman" w:hAnsi="Times New Roman"/>
          <w:sz w:val="17"/>
          <w:szCs w:val="17"/>
          <w:color w:val="auto"/>
        </w:rPr>
        <w:t>The impact of international conflicts and the global response to international conflicts on the global economy, European economy, financial markets, energy markets, currency rates and our ability to supply product to, or through, affected countries.</w:t>
      </w:r>
    </w:p>
    <w:p>
      <w:pPr>
        <w:ind w:left="660" w:right="700" w:hanging="652"/>
        <w:spacing w:after="0" w:line="256"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and expanding international operations and the challenges of managing an organization spread throughout multiple countries and complying with a variety of legal, compliance and regulatory requirements.</w:t>
      </w:r>
    </w:p>
    <w:p>
      <w:pPr>
        <w:spacing w:after="0" w:line="1" w:lineRule="exact"/>
        <w:rPr>
          <w:rFonts w:ascii="Times New Roman" w:cs="Times New Roman" w:eastAsia="Times New Roman" w:hAnsi="Times New Roman"/>
          <w:sz w:val="17"/>
          <w:szCs w:val="17"/>
          <w:color w:val="auto"/>
        </w:rPr>
      </w:pPr>
    </w:p>
    <w:p>
      <w:pPr>
        <w:ind w:left="660" w:right="48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Times New Roman" w:cs="Times New Roman" w:eastAsia="Times New Roman" w:hAnsi="Times New Roman"/>
          <w:sz w:val="17"/>
          <w:szCs w:val="17"/>
          <w:color w:val="auto"/>
        </w:rPr>
      </w:pPr>
    </w:p>
    <w:p>
      <w:pPr>
        <w:ind w:left="660" w:right="40" w:hanging="652"/>
        <w:spacing w:after="0" w:line="249"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examinations by tax authorities, and changes in our geographic composition of income.</w:t>
      </w:r>
    </w:p>
    <w:p>
      <w:pPr>
        <w:spacing w:after="0" w:line="18" w:lineRule="exact"/>
        <w:rPr>
          <w:rFonts w:ascii="Times New Roman" w:cs="Times New Roman" w:eastAsia="Times New Roman" w:hAnsi="Times New Roman"/>
          <w:sz w:val="17"/>
          <w:szCs w:val="17"/>
          <w:color w:val="auto"/>
        </w:rPr>
      </w:pPr>
    </w:p>
    <w:p>
      <w:pPr>
        <w:ind w:left="660" w:right="160" w:hanging="652"/>
        <w:spacing w:after="0" w:line="251"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 w:lineRule="exact"/>
        <w:rPr>
          <w:rFonts w:ascii="Times New Roman" w:cs="Times New Roman" w:eastAsia="Times New Roman" w:hAnsi="Times New Roman"/>
          <w:sz w:val="17"/>
          <w:szCs w:val="17"/>
          <w:color w:val="auto"/>
        </w:rPr>
      </w:pPr>
    </w:p>
    <w:p>
      <w:pPr>
        <w:ind w:left="660" w:right="2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spacing w:after="0" w:line="1" w:lineRule="exact"/>
        <w:rPr>
          <w:rFonts w:ascii="Times New Roman" w:cs="Times New Roman" w:eastAsia="Times New Roman" w:hAnsi="Times New Roman"/>
          <w:sz w:val="17"/>
          <w:szCs w:val="17"/>
          <w:color w:val="auto"/>
        </w:rPr>
      </w:pPr>
    </w:p>
    <w:p>
      <w:pPr>
        <w:jc w:val="both"/>
        <w:ind w:left="660" w:right="320" w:hanging="652"/>
        <w:spacing w:after="0" w:line="254"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ind w:left="660" w:right="200" w:hanging="652"/>
        <w:spacing w:after="0" w:line="249"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ind w:left="660" w:right="220" w:hanging="652"/>
        <w:spacing w:after="0" w:line="255"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supplies of raw materials, particularly components used to manufacture our silicone hydrogel lenses.</w:t>
      </w:r>
    </w:p>
    <w:p>
      <w:pPr>
        <w:spacing w:after="0" w:line="7" w:lineRule="exact"/>
        <w:rPr>
          <w:rFonts w:ascii="Times New Roman" w:cs="Times New Roman" w:eastAsia="Times New Roman" w:hAnsi="Times New Roman"/>
          <w:sz w:val="17"/>
          <w:szCs w:val="17"/>
          <w:color w:val="auto"/>
        </w:rPr>
      </w:pPr>
    </w:p>
    <w:p>
      <w:pPr>
        <w:ind w:left="660" w:right="120" w:hanging="652"/>
        <w:spacing w:after="0" w:line="262"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but not limited to the EU Medical Devices Regulation (MDR) and the EU In Vitro Diagnostic Medical Devices Regulation (IVDR).</w:t>
      </w:r>
    </w:p>
    <w:p>
      <w:pPr>
        <w:spacing w:after="0" w:line="25" w:lineRule="exact"/>
        <w:rPr>
          <w:sz w:val="20"/>
          <w:szCs w:val="20"/>
          <w:color w:val="auto"/>
        </w:rPr>
      </w:pPr>
    </w:p>
    <w:p>
      <w:pPr>
        <w:ind w:left="660" w:hanging="652"/>
        <w:spacing w:after="0" w:line="249"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insurance expenses, settlement costs and the risk of an adverse decision, prohibitive injunction or settlement related to product liability, patent infringement, contractual disputes, or other litigation.</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sales following product introductions due to poor market acceptance.</w:t>
      </w:r>
    </w:p>
    <w:p>
      <w:pPr>
        <w:spacing w:after="0" w:line="18" w:lineRule="exact"/>
        <w:rPr>
          <w:rFonts w:ascii="Times New Roman" w:cs="Times New Roman" w:eastAsia="Times New Roman" w:hAnsi="Times New Roman"/>
          <w:sz w:val="17"/>
          <w:szCs w:val="17"/>
          <w:color w:val="auto"/>
        </w:rPr>
      </w:pPr>
    </w:p>
    <w:p>
      <w:pPr>
        <w:ind w:left="660" w:right="360" w:hanging="652"/>
        <w:spacing w:after="0" w:line="24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Times New Roman" w:cs="Times New Roman" w:eastAsia="Times New Roman" w:hAnsi="Times New Roman"/>
          <w:sz w:val="17"/>
          <w:szCs w:val="17"/>
          <w:color w:val="auto"/>
        </w:rPr>
      </w:pPr>
    </w:p>
    <w:p>
      <w:pPr>
        <w:ind w:left="660" w:right="240" w:hanging="652"/>
        <w:spacing w:after="0" w:line="249"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sales, loss of customers, reputational harm and costs and expenses, including from claims and litigation related to product recalls and warning letters.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or delays in receiving, regulatory approvals or certifications for products.</w:t>
      </w:r>
    </w:p>
    <w:p>
      <w:pPr>
        <w:spacing w:after="0" w:line="1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customers and end users to obtain adequate coverage and reimbursement from third-party payers for our products and services.</w:t>
      </w:r>
    </w:p>
    <w:p>
      <w:pPr>
        <w:spacing w:after="0" w:line="7" w:lineRule="exact"/>
        <w:rPr>
          <w:rFonts w:ascii="Times New Roman" w:cs="Times New Roman" w:eastAsia="Times New Roman" w:hAnsi="Times New Roman"/>
          <w:sz w:val="17"/>
          <w:szCs w:val="17"/>
          <w:color w:val="auto"/>
        </w:rPr>
      </w:pPr>
    </w:p>
    <w:p>
      <w:pPr>
        <w:ind w:left="660" w:right="100" w:hanging="652"/>
        <w:spacing w:after="0" w:line="24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and development activities and other start-up projects.</w:t>
      </w:r>
    </w:p>
    <w:p>
      <w:pPr>
        <w:spacing w:after="0" w:line="7"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to earnings per share from acquisitions or issuing stock.</w:t>
      </w:r>
    </w:p>
    <w:p>
      <w:pPr>
        <w:spacing w:after="0" w:line="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and costs incurred from changes in accounting standards and policies.</w:t>
      </w:r>
    </w:p>
    <w:p>
      <w:pPr>
        <w:spacing w:after="0" w:line="18" w:lineRule="exact"/>
        <w:rPr>
          <w:rFonts w:ascii="Times New Roman" w:cs="Times New Roman" w:eastAsia="Times New Roman" w:hAnsi="Times New Roman"/>
          <w:sz w:val="17"/>
          <w:szCs w:val="17"/>
          <w:color w:val="auto"/>
        </w:rPr>
      </w:pPr>
    </w:p>
    <w:p>
      <w:pPr>
        <w:ind w:left="660" w:right="300" w:hanging="652"/>
        <w:spacing w:after="0" w:line="248"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laws and requirements applicable to our facilities, products or manufacturing processes, including evolving regulations regarding the use of hazardous substances or chemicals in our products.</w:t>
      </w:r>
    </w:p>
    <w:p>
      <w:pPr>
        <w:spacing w:after="0" w:line="1" w:lineRule="exact"/>
        <w:rPr>
          <w:rFonts w:ascii="Times New Roman" w:cs="Times New Roman" w:eastAsia="Times New Roman" w:hAnsi="Times New Roman"/>
          <w:sz w:val="17"/>
          <w:szCs w:val="17"/>
          <w:color w:val="auto"/>
        </w:rPr>
      </w:pPr>
    </w:p>
    <w:p>
      <w:pPr>
        <w:ind w:left="660" w:right="140" w:hanging="652"/>
        <w:spacing w:after="0" w:line="249"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social and corporate governance (ESG) issues, including those related to regulatory and disclosure requirements, climate change and sustainability.</w:t>
      </w:r>
    </w:p>
    <w:p>
      <w:pPr>
        <w:spacing w:after="0" w:line="1" w:lineRule="exact"/>
        <w:rPr>
          <w:rFonts w:ascii="Times New Roman" w:cs="Times New Roman" w:eastAsia="Times New Roman" w:hAnsi="Times New Roman"/>
          <w:sz w:val="17"/>
          <w:szCs w:val="17"/>
          <w:color w:val="auto"/>
        </w:rPr>
      </w:pPr>
    </w:p>
    <w:p>
      <w:pPr>
        <w:ind w:left="660" w:right="20" w:hanging="652"/>
        <w:spacing w:after="0" w:line="273" w:lineRule="auto"/>
        <w:tabs>
          <w:tab w:leader="none" w:pos="6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described in our Securities and Exchange Commission filings, including the “Business” and “Risk Factors” sections in our Annual Report on Form 10-K for the fiscal year ended October 31, 2023, as such Risk Factors may be updated in quarterly filings including updates made in this filing.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this section, we discuss the results of our operations for the third quarter of fiscal 2024 ended July 31, 2024, compared with the same period of fiscal 2023.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These risks and uncertainties have adversely affected our sales, cash flow and performance in the past and could further adversely affect our future sales, cash flow and performance.</w:t>
      </w:r>
    </w:p>
    <w:p>
      <w:pPr>
        <w:spacing w:after="0" w:line="1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 We compete in the worldwide contact lens market with our spherical, toric, multifocal, and toric multifocal contact lenses offered in materials like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has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 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CooperSurgical - </w:t>
      </w:r>
      <w:r>
        <w:rPr>
          <w:rFonts w:ascii="Times New Roman" w:cs="Times New Roman" w:eastAsia="Times New Roman" w:hAnsi="Times New Roman"/>
          <w:sz w:val="17"/>
          <w:szCs w:val="17"/>
          <w:color w:val="auto"/>
        </w:rPr>
        <w:t>Our CooperSurgical business competes in the fertility and women's health care market through its diversified portfolio of products and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w:t>
      </w:r>
    </w:p>
    <w:p>
      <w:pPr>
        <w:spacing w:after="0" w:line="22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10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w:t>
      </w:r>
    </w:p>
    <w:p>
      <w:pPr>
        <w:spacing w:after="0" w:line="21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12065</wp:posOffset>
            </wp:positionV>
            <wp:extent cx="5572125" cy="2177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21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contact lens market has two major product categories:</w:t>
      </w:r>
    </w:p>
    <w:p>
      <w:pPr>
        <w:spacing w:after="0" w:line="169" w:lineRule="exact"/>
        <w:rPr>
          <w:sz w:val="20"/>
          <w:szCs w:val="20"/>
          <w:color w:val="auto"/>
        </w:rPr>
      </w:pPr>
    </w:p>
    <w:p>
      <w:pPr>
        <w:ind w:left="340" w:right="140" w:hanging="332"/>
        <w:spacing w:after="0" w:line="281" w:lineRule="auto"/>
        <w:tabs>
          <w:tab w:leader="none" w:pos="3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spacing w:after="0" w:line="122" w:lineRule="exact"/>
        <w:rPr>
          <w:rFonts w:ascii="Times New Roman" w:cs="Times New Roman" w:eastAsia="Times New Roman" w:hAnsi="Times New Roman"/>
          <w:sz w:val="17"/>
          <w:szCs w:val="17"/>
          <w:color w:val="auto"/>
        </w:rPr>
      </w:pPr>
    </w:p>
    <w:p>
      <w:pPr>
        <w:ind w:left="340" w:right="320" w:hanging="332"/>
        <w:spacing w:after="0" w:line="281" w:lineRule="auto"/>
        <w:tabs>
          <w:tab w:leader="none" w:pos="3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20955</wp:posOffset>
            </wp:positionV>
            <wp:extent cx="5143500" cy="2451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Toric and Multifocal</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Sphere, other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333.7</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52"/>
        </w:trPr>
        <w:tc>
          <w:tcPr>
            <w:tcW w:w="56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323215</wp:posOffset>
            </wp:positionV>
            <wp:extent cx="5143500" cy="2451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400" w:type="dxa"/>
            <w:vAlign w:val="bottom"/>
          </w:tcPr>
          <w:p>
            <w:pPr>
              <w:spacing w:after="0"/>
              <w:rPr>
                <w:sz w:val="21"/>
                <w:szCs w:val="21"/>
                <w:color w:val="auto"/>
              </w:rPr>
            </w:pPr>
          </w:p>
        </w:tc>
        <w:tc>
          <w:tcPr>
            <w:tcW w:w="1320" w:type="dxa"/>
            <w:vAlign w:val="bottom"/>
            <w:vMerge w:val="restart"/>
          </w:tcPr>
          <w:p>
            <w:pPr>
              <w:jc w:val="right"/>
              <w:ind w:right="61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vMerge w:val="restart"/>
          </w:tcPr>
          <w:p>
            <w:pPr>
              <w:jc w:val="right"/>
              <w:ind w:right="61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8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Toric and Multifocal</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Sphere,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7"/>
          <w:szCs w:val="17"/>
          <w:color w:val="auto"/>
        </w:rPr>
        <w:t>In the three and nine months ended July 31, 2024, the growth experienced across all categories was partially offset by unfavorable foreign exchange rate fluctuations of approximately $13.1 million and $19.8 million, respectively.</w:t>
      </w:r>
    </w:p>
    <w:p>
      <w:pPr>
        <w:spacing w:after="0" w:line="12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grew primarily through the success of Biofinity and MyDay.</w:t>
      </w:r>
    </w:p>
    <w:p>
      <w:pPr>
        <w:spacing w:after="0" w:line="169"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Sphere, other grew primarily through Biofinity, MiSight, and MyDay.</w:t>
      </w:r>
    </w:p>
    <w:p>
      <w:pPr>
        <w:spacing w:after="0" w:line="169"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products represented approximately 1% of net sales in the three and nine months ended July 31, 2024, and 2023,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Geography</w:t>
      </w:r>
    </w:p>
    <w:p>
      <w:pPr>
        <w:spacing w:after="0" w:line="25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in three primary regions: the Americas, EMEA (Europe, Middle East and Africa) and Asia Pacific.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00" w:type="dxa"/>
            <w:vAlign w:val="bottom"/>
          </w:tcPr>
          <w:p>
            <w:pPr>
              <w:spacing w:after="0"/>
              <w:rPr>
                <w:sz w:val="14"/>
                <w:szCs w:val="14"/>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4"/>
                <w:szCs w:val="14"/>
                <w:color w:val="auto"/>
              </w:rPr>
            </w:pPr>
          </w:p>
        </w:tc>
        <w:tc>
          <w:tcPr>
            <w:tcW w:w="146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2024 vs 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4"/>
                <w:szCs w:val="14"/>
                <w:color w:val="auto"/>
              </w:rPr>
            </w:pPr>
          </w:p>
        </w:tc>
        <w:tc>
          <w:tcPr>
            <w:tcW w:w="1440" w:type="dxa"/>
            <w:vAlign w:val="bottom"/>
          </w:tcPr>
          <w:p>
            <w:pPr>
              <w:jc w:val="right"/>
              <w:ind w:right="175"/>
              <w:spacing w:after="0" w:line="163" w:lineRule="exact"/>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227"/>
        </w:trPr>
        <w:tc>
          <w:tcPr>
            <w:tcW w:w="26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CooperVision's growth in net sales across all regions was primarily attributable to market gains of silicone hydrogel contact lenses. Refer to CooperVision Net Sales by Category above for further discussion.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CooperSurgical supplies the fertility and women's health care market with a diversified portfolio of products and services in two categories:</w:t>
      </w:r>
    </w:p>
    <w:p>
      <w:pPr>
        <w:spacing w:after="0" w:line="169" w:lineRule="exact"/>
        <w:rPr>
          <w:sz w:val="20"/>
          <w:szCs w:val="20"/>
          <w:color w:val="auto"/>
        </w:rPr>
      </w:pPr>
    </w:p>
    <w:p>
      <w:pPr>
        <w:ind w:left="340" w:right="120" w:hanging="332"/>
        <w:spacing w:after="0" w:line="273" w:lineRule="auto"/>
        <w:tabs>
          <w:tab w:leader="none" w:pos="3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spacing w:after="0" w:line="115" w:lineRule="exact"/>
        <w:rPr>
          <w:rFonts w:ascii="Times New Roman" w:cs="Times New Roman" w:eastAsia="Times New Roman" w:hAnsi="Times New Roman"/>
          <w:sz w:val="17"/>
          <w:szCs w:val="17"/>
          <w:color w:val="auto"/>
        </w:rPr>
      </w:pPr>
    </w:p>
    <w:p>
      <w:pPr>
        <w:ind w:left="340" w:right="320" w:hanging="332"/>
        <w:spacing w:after="0" w:line="265" w:lineRule="auto"/>
        <w:tabs>
          <w:tab w:leader="none" w:pos="33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Fertility offerings include highly specialized products and services that target the IVF process, including diagnostics testing with a goal to make fertility treatment safer, more efficient and convenient. This includes fertility consumables and equipment, donor gamete services, and genomic services (including genetic testing).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123825</wp:posOffset>
            </wp:positionV>
            <wp:extent cx="2708910" cy="254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455"/>
              <w:spacing w:after="0" w:line="155"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and surgical</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Fertility</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365760</wp:posOffset>
            </wp:positionV>
            <wp:extent cx="5417820" cy="254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782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455"/>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and surgical</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506.6</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Fertility</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358.7</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color w:val="auto"/>
        </w:rPr>
        <w:t>In the three months ended July 31, 2024, office and surgical net sales increased primarily due to the addition of Cook Medical on November 1, 2023. Fertility net sales increased due to an increase in revenue from consumable products and genetic testing.</w:t>
      </w:r>
    </w:p>
    <w:p>
      <w:pPr>
        <w:spacing w:after="0" w:line="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nine months ended July 31, 2024, office and surgical net sales increased primarily due to the addition of Cook Medical on November 1, 2023, and an increase in revenue from Paragard. Fertility net sales increased due to an increase in revenue from consumable products and genomic services, partially offset by a decrease in revenue from gamete services.</w:t>
      </w:r>
    </w:p>
    <w:p>
      <w:pPr>
        <w:spacing w:after="0" w:line="12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The above growth experienced across all categories was partially offset by unfavorable foreign exchange rate fluctuations of approximately $3.0 million and $9.7 million for the three and nine months ended July 31,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257"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color w:val="auto"/>
        </w:rPr>
        <w:t>Consolidated gross margin was relatively flat at 66% and 67% in the three and nine months ended July 31, 2024, respectively, compared to 66% in the three and nine months ended July 31, 2023.</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 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60" w:type="dxa"/>
            <w:vAlign w:val="bottom"/>
          </w:tcPr>
          <w:p>
            <w:pPr>
              <w:spacing w:after="0"/>
              <w:rPr>
                <w:sz w:val="17"/>
                <w:szCs w:val="17"/>
                <w:color w:val="auto"/>
              </w:rPr>
            </w:pPr>
          </w:p>
        </w:tc>
        <w:tc>
          <w:tcPr>
            <w:tcW w:w="114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60" w:type="dxa"/>
            <w:vAlign w:val="bottom"/>
          </w:tcPr>
          <w:p>
            <w:pPr>
              <w:spacing w:after="0"/>
              <w:rPr>
                <w:sz w:val="17"/>
                <w:szCs w:val="17"/>
                <w:color w:val="auto"/>
              </w:rPr>
            </w:pPr>
          </w:p>
        </w:tc>
        <w:tc>
          <w:tcPr>
            <w:tcW w:w="114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49 %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1,113.6</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42 %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CooperVision's SGA expenses increased in the three months ended July 31, 2024, compared to the three months ended July 31, 2023, due to increase in advertising and marketing activities. The increase in the nine months ended July 31, 2024, was primarily due to $31.8 million release of contingent consideration liability associated with SightGlass Vision's regulatory approval milestone in the nine months ended July 31, 2023.</w:t>
      </w:r>
    </w:p>
    <w:p>
      <w:pPr>
        <w:spacing w:after="0" w:line="10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CooperSurgical's SGA expenses was relatively flat in the three months ended July 31, 2024, compared to the three months ended July 31, 2023. The decrease in the nine months ended July 31, 2024 was due to an accrual of $45.0 million associated with the payment of a termination fee under an asset purchase agreement related to Cook Medical’s reproductive health business in the nine months ended July 31, 2023, partially offset by an increase in selling activities and distribution costs.</w:t>
      </w:r>
    </w:p>
    <w:p>
      <w:pPr>
        <w:spacing w:after="0" w:line="32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Corporate SGA expenses increased in the three and nine months ended July 31, 2024, compared to the three and nine months ended July 31, 2023, primarily due to share-based compensation related expenses.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 (R&amp;D)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CooperVision's R&amp;D expenses increased in the three and nine months ended July 31, 2024, compared to the three and nine months ended July 31, 2023, primarily due to myopia management programs and R&amp;D projects. CooperVision's R&amp;D activities are primarily focused on the development of contact lenses, manufacturing technology and process enhancements.</w:t>
      </w:r>
    </w:p>
    <w:p>
      <w:pPr>
        <w:spacing w:after="0" w:line="116"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7"/>
          <w:szCs w:val="17"/>
          <w:color w:val="auto"/>
        </w:rPr>
        <w:t>CooperSurgical's R&amp;D expenses increased in the three and nine months ended July 31, 2024, compared to the three and nine months ended July 31, 2023, mainly due to an increase in R&amp;D project spend. CooperSurgical's R&amp;D activities are focused on developing and refining diagnostic and therapeutic products including medical interventions, surgical devices and fertility solutions.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Amortization Expense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7"/>
                <w:szCs w:val="17"/>
                <w:color w:val="auto"/>
              </w:rPr>
            </w:pPr>
          </w:p>
        </w:tc>
        <w:tc>
          <w:tcPr>
            <w:tcW w:w="1320" w:type="dxa"/>
            <w:vAlign w:val="bottom"/>
            <w:vMerge w:val="restart"/>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7"/>
                <w:szCs w:val="17"/>
                <w:color w:val="auto"/>
              </w:rPr>
            </w:pPr>
          </w:p>
        </w:tc>
        <w:tc>
          <w:tcPr>
            <w:tcW w:w="1320" w:type="dxa"/>
            <w:vAlign w:val="bottom"/>
            <w:vMerge w:val="restart"/>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CooperVision's amortization expense for the three and nine months ended July 31, 2024, remained relatively flat year over year. CooperSurgical's amortization expense increased in the three and nine months ended July 31, 2024, compared to the three and nine months ended July 31, 2023, primarily due to the amortization of intangible assets recently acquired through acquisitions.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4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28,003 %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7"/>
          <w:szCs w:val="17"/>
          <w:color w:val="auto"/>
        </w:rPr>
        <w:t>CooperVision's operating income increased in the three and nine months ended July 31, 2024, compared to the three and nine months ended July 31, 2023, primarily due to a net increase in net sales, partially offset by a net increase in operating expenses.</w:t>
      </w:r>
    </w:p>
    <w:p>
      <w:pPr>
        <w:spacing w:after="0" w:line="204"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7"/>
          <w:szCs w:val="17"/>
          <w:color w:val="auto"/>
        </w:rPr>
        <w:t>CooperSurgical's operating income increased in the three months ended July 31, 2024, compared to the three months ended July 31, 2023, primarily due to a net increase in net sales, partially offset by a net increase in operating expenses. The increase in the nine months ended July 31, 2023, was due to an accrual of $45.0 million associated with the payment of a termination fee under an asset purchase agreement related to Cook Medical’s reproductive health business.</w:t>
      </w:r>
    </w:p>
    <w:p>
      <w:pPr>
        <w:spacing w:after="0" w:line="19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Corporate operating loss increased in the three and nine months ended July 31, 2024, compared to the three and nine months ended July 31, 2023, primarily due to higher share-based compensation expenses.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July 31,</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0" w:type="dxa"/>
            <w:vAlign w:val="bottom"/>
          </w:tcPr>
          <w:p>
            <w:pPr>
              <w:spacing w:after="0"/>
              <w:rPr>
                <w:sz w:val="24"/>
                <w:szCs w:val="24"/>
                <w:color w:val="auto"/>
              </w:rPr>
            </w:pPr>
          </w:p>
        </w:tc>
        <w:tc>
          <w:tcPr>
            <w:tcW w:w="34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 vs 2023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Interest expense increased during the three and nine months ended July 31, 2024, compared to the three and nine months ended July 31, 2023, primarily due to higher debt balances and higher interest rates.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Expense, Net</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July 31,</w:t>
            </w: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106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5"/>
                <w:szCs w:val="15"/>
                <w:color w:val="auto"/>
              </w:rPr>
            </w:pPr>
          </w:p>
        </w:tc>
        <w:tc>
          <w:tcPr>
            <w:tcW w:w="136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jc w:val="right"/>
              <w:ind w:right="65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w w:val="98"/>
              </w:rPr>
              <w:t>(0.5)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6"/>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35"/>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Foreign exchange (gain) loss was primarily associated with the relative weakening of the U.S. dollar against foreign currencies and the effect on intercompany receivables during the three and nine months ended July 31, 2024.</w:t>
      </w:r>
    </w:p>
    <w:p>
      <w:pPr>
        <w:spacing w:after="0" w:line="150"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7"/>
          <w:szCs w:val="17"/>
          <w:color w:val="auto"/>
        </w:rPr>
        <w:t>Other expense, net decreased in the three and nine months ended July 31, 2024, compared to the three and nine months ended July 31, 2023, primarily due to a decrease in loss on minority investments.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tax rates for the three months ended July 31, 2024, and 2023, were 36.1% and 28.2%, respectively. The effective tax rates for the nine months ended</w:t>
      </w:r>
    </w:p>
    <w:p>
      <w:pPr>
        <w:spacing w:after="0" w:line="12"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7"/>
          <w:szCs w:val="17"/>
          <w:color w:val="auto"/>
        </w:rPr>
        <w:t>July 31, 2024, and 2023, were 33.6% and 31.6%, respectively. The increases were primarily due to changes in the geographic composition of pre-tax earnings and an increase in the UK statutory tax rate from 19% to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 and Liquidity</w:t>
      </w: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Working capital as of July 31, 2024, and October 31, 2023, was $957.2 million and $735.9 million, respectively. The increase in working capital was primarily due to an increase in trade accounts receivable mainly due to higher sales and timing of collections, an increase in prepaid expenses and other current assets, and an increase in inventories.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Nine Months Ended July 31,</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76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6"/>
                <w:szCs w:val="16"/>
                <w:color w:val="auto"/>
              </w:rPr>
            </w:pPr>
          </w:p>
        </w:tc>
        <w:tc>
          <w:tcPr>
            <w:tcW w:w="1340" w:type="dxa"/>
            <w:vAlign w:val="bottom"/>
          </w:tcPr>
          <w:p>
            <w:pPr>
              <w:jc w:val="right"/>
              <w:ind w:right="615"/>
              <w:spacing w:after="0" w:line="191"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615"/>
              <w:spacing w:after="0" w:line="191"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6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433.3</w:t>
            </w:r>
          </w:p>
        </w:tc>
      </w:tr>
      <w:tr>
        <w:trPr>
          <w:trHeight w:val="235"/>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w:t>
            </w:r>
          </w:p>
        </w:tc>
      </w:tr>
      <w:tr>
        <w:trPr>
          <w:trHeight w:val="251"/>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r>
      <w:tr>
        <w:trPr>
          <w:trHeight w:val="237"/>
        </w:trPr>
        <w:tc>
          <w:tcPr>
            <w:tcW w:w="20" w:type="dxa"/>
            <w:vAlign w:val="bottom"/>
            <w:tcBorders>
              <w:bottom w:val="single" w:sz="8" w:color="CCEEFF"/>
            </w:tcBorders>
          </w:tcPr>
          <w:p>
            <w:pPr>
              <w:spacing w:after="0"/>
              <w:rPr>
                <w:sz w:val="20"/>
                <w:szCs w:val="20"/>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restricted cash</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6"/>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Cash Flow</w:t>
      </w:r>
    </w:p>
    <w:p>
      <w:pPr>
        <w:spacing w:after="0" w:line="1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Cash provided by operating activities in the first nine months of fiscal 2024 increased compared to the first nine months of fiscal 2023, primarily due to net changes in other non-cash items and the $31.8 million release of contingent consideration liability associated with SightGlass Vision's regulatory approval milestone in the first nine months of fiscal 2023, partially offset by net changes in operating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Cash Flow</w:t>
      </w:r>
    </w:p>
    <w:p>
      <w:pPr>
        <w:spacing w:after="0" w:line="268"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7"/>
          <w:szCs w:val="17"/>
          <w:color w:val="auto"/>
        </w:rPr>
        <w:t>Cash used in investing activities in the first nine months of fiscal 2024 increased compared to the first nine months of fiscal 2023, primarily attributable to $233.5 million cash paid for acquisitions in the first nine months of fiscal 2024, and an increase in purchases of property, plant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Cash Flow</w:t>
      </w:r>
    </w:p>
    <w:p>
      <w:pPr>
        <w:spacing w:after="0" w:line="17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Cash provided by financing activities in the first nine months of fiscal 2024 was primarily attributable to funds received from the 2024 Revolving Credit Facility, partially offset by repayments to fully repay all borrowings outstanding under the 2020 Term Loan Facility and the 2020 Revolving Credit Facility.</w:t>
      </w:r>
    </w:p>
    <w:p>
      <w:pPr>
        <w:spacing w:after="0" w:line="109"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Cash used in financing activities in the first nine months of fiscal 2023 was primarily due to repayments of $338.0 million on the 2021 364-day term loan, partially offset by $163.5 million of funds drawn on the 2020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maximum commitments and the net amounts available to us under different credit facilities as of July 31, 2024:</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7"/>
              </w:rPr>
              <w:t>Total Amount</w:t>
            </w:r>
          </w:p>
        </w:tc>
        <w:tc>
          <w:tcPr>
            <w:tcW w:w="212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5"/>
        </w:trPr>
        <w:tc>
          <w:tcPr>
            <w:tcW w:w="3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w w:val="98"/>
              </w:rPr>
              <w:t>Borrowings</w:t>
            </w:r>
          </w:p>
        </w:tc>
        <w:tc>
          <w:tcPr>
            <w:tcW w:w="146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7"/>
                <w:szCs w:val="17"/>
                <w:b w:val="1"/>
                <w:bCs w:val="1"/>
                <w:color w:val="auto"/>
              </w:rPr>
              <w:t>Letters of Credit</w:t>
            </w:r>
          </w:p>
        </w:tc>
        <w:tc>
          <w:tcPr>
            <w:tcW w:w="100" w:type="dxa"/>
            <w:vAlign w:val="bottom"/>
          </w:tcPr>
          <w:p>
            <w:pPr>
              <w:spacing w:after="0"/>
              <w:rPr>
                <w:sz w:val="15"/>
                <w:szCs w:val="15"/>
                <w:color w:val="auto"/>
              </w:rPr>
            </w:pPr>
          </w:p>
        </w:tc>
        <w:tc>
          <w:tcPr>
            <w:tcW w:w="1140" w:type="dxa"/>
            <w:vAlign w:val="bottom"/>
          </w:tcPr>
          <w:p>
            <w:pPr>
              <w:jc w:val="right"/>
              <w:ind w:right="195"/>
              <w:spacing w:after="0" w:line="176"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0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Revolving Credit: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Revolving Credit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1,207.4</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May 1, 2029</w:t>
            </w: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 loan:</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Term Loan</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December 17, 2026</w:t>
            </w:r>
          </w:p>
        </w:tc>
        <w:tc>
          <w:tcPr>
            <w:tcW w:w="0" w:type="dxa"/>
            <w:vAlign w:val="bottom"/>
          </w:tcPr>
          <w:p>
            <w:pPr>
              <w:spacing w:after="0"/>
              <w:rPr>
                <w:sz w:val="1"/>
                <w:szCs w:val="1"/>
                <w:color w:val="auto"/>
              </w:rPr>
            </w:pPr>
          </w:p>
        </w:tc>
      </w:tr>
      <w:tr>
        <w:trPr>
          <w:trHeight w:val="227"/>
        </w:trPr>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1,207.4</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As of July 31, 2024, the Company was in compliance with all debt covenants. On May 1, 2024, the Company entered into a Revolving Credit Agreement (the 2024 Credit Agreement). The Company drew on the 2024 Credit Agreement to fully repay borrowings outstanding under the 2020 Term Loan and 2020 Revolving Credit Facility and terminated the 2020 Credit Agreement. See Note 5. Financing Arrangements of the Consolidated Condensed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Considering recent market conditions, 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for acquisitions, share repurchases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w:t>
      </w:r>
    </w:p>
    <w:p>
      <w:pPr>
        <w:spacing w:after="0" w:line="18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In March 2017, the authorization under the 2012 Share Repurchase Program was increased to $1.0 billion by the Company's Board of Directors. As of July 31, 2024, $256.4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July 31, 2024, and 2023, there were no share repurchases.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December 2023, the Company's Board of Directors decided to end the declaration of the semiannual dividend.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Split</w:t>
      </w:r>
    </w:p>
    <w:p>
      <w:pPr>
        <w:spacing w:after="0" w:line="18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On February 16, 2024, the Company effected a four-for-one stock split of its outstanding shares of common stock. All share and per share information has been retroactively adjusted to reflect the stock split for all periods presented. The par value of the common stock remains $0.10 per share.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Estimates and Critical Accounting Policies</w:t>
      </w:r>
    </w:p>
    <w:p>
      <w:pPr>
        <w:spacing w:after="0" w:line="254"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7"/>
          <w:szCs w:val="17"/>
          <w:color w:val="auto"/>
        </w:rPr>
        <w:t>Information regarding estimates and critical accounting policies is included in Management's Discussion and Analysis in our Form 10-K for the fiscal year ended October 31, 2023. There have been no material changes in our policies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from those previously discussed in our Form 10-K for the fiscal year ended October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Information regarding new accounting pronouncements is included in Note 1. General of the Consolidated Condensed Financial Statements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714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firstLine="8"/>
        <w:spacing w:after="0" w:line="209" w:lineRule="auto"/>
        <w:tabs>
          <w:tab w:leader="none" w:pos="10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To further clarify the policy detailed in our Annual Report on Form 10-K for the fiscal year ended October 31, 2023, the current portion of the deferred revenue balances at the beginning of each period presented were generally fully recognized in a ratable manner in the subsequent 12-month period. We recognized revenue of approximately $30.0 million and $92.0 million for the three and nine months ended July 31, 2024, respectively, that was included in the deferred revenue balance at April 30, 2024, and October 31, 2023.We recognized revenue of approximately $30.0 million and $80.0 million for the three and nine months ended July 31, 2023, respectively, that was included in the deferred revenue balance at April 30, 2023, and October 31,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Quantitative and Qualitative Disclosure About Market Risk</w:t>
      </w:r>
    </w:p>
    <w:p>
      <w:pPr>
        <w:spacing w:after="0" w:line="169"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w:t>
      </w:r>
    </w:p>
    <w:p>
      <w:pPr>
        <w:spacing w:after="0" w:line="13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At July 31, 2024, a uniform hypothetical 10% increase or decrease in the foreign currency exchange rates in comparison to the value of the U.S. dollar would have resulted in a corresponding increase or decrease of approximately $22.0 million in operating income for the fiscal quarter ended July 31, 2024. See Note 12. Financial Derivatives and Hedging of the Consolidated Condensed Financial Statements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as the interest rates on our revolving lines of credit and term loans may vary with the federal funds rate and SOFR. As of July 31, 2024, we had outstanding debt for an aggregate carrying amount of $2.6 billion. We have entered, and in the future may enter, into interest rate swaps to manage interest rate risk.</w:t>
      </w:r>
    </w:p>
    <w:p>
      <w:pPr>
        <w:spacing w:after="0" w:line="12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third quarter of fiscal 2024. See Note 5. Financing Arrangements of the Consolidated Condensed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as of July 31, 2024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required by Rules 13a-15(d) and 15d-15(d) of the Exchange Act during our third quarter of fiscal 2024, that have materially affected, or are reasonably likely to materially affect, our internal control over financial reporting.</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PART II—OTHER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 Legal Proceedings</w:t>
      </w:r>
    </w:p>
    <w:p>
      <w:pPr>
        <w:spacing w:after="0" w:line="25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Information regarding legal proceedings is included in Note 10. Contingencies of the Consolidated Condensed Financial Statements of this Quarterly Report on Form 10-Q.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4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7"/>
          <w:szCs w:val="17"/>
          <w:color w:val="auto"/>
        </w:rPr>
        <w:t>Risk factors describing the major risks to our business can be found under Item 1A. Risk Factors in our Annual Report on Form 10-K for the fiscal year ended October 31, 2023. There have been no material changes to the risk factors previously disclosed in our Annual Report on Form 10-K for the fiscal year ended October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955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5925" cy="8890"/>
                    </a:xfrm>
                    <a:prstGeom prst="rect">
                      <a:avLst/>
                    </a:prstGeom>
                    <a:noFill/>
                  </pic:spPr>
                </pic:pic>
              </a:graphicData>
            </a:graphic>
          </wp:anchor>
        </w:drawing>
      </w:r>
    </w:p>
    <w:p>
      <w:pPr>
        <w:spacing w:after="0" w:line="13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In March 2017, the authorization under the 2012 Share Repurchase Program was increased to $1.0 billion by the Company's Board of Directors. As of July 31, 2024, $256.4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July 31, 2024, and 2023, there were no share repurchases.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Defaults Upon Senior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Mine Safety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26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During the three months ended July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30" w:name="page31"/>
    <w:bookmarkEnd w:id="30"/>
    <w:p>
      <w:pPr>
        <w:jc w:val="center"/>
        <w:ind w:right="-1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Exhibit</w:t>
            </w:r>
          </w:p>
        </w:tc>
        <w:tc>
          <w:tcPr>
            <w:tcW w:w="1540" w:type="dxa"/>
            <w:vAlign w:val="bottom"/>
          </w:tcPr>
          <w:p>
            <w:pPr>
              <w:spacing w:after="0"/>
              <w:rPr>
                <w:sz w:val="16"/>
                <w:szCs w:val="16"/>
                <w:color w:val="auto"/>
              </w:rPr>
            </w:pPr>
          </w:p>
        </w:tc>
        <w:tc>
          <w:tcPr>
            <w:tcW w:w="5820" w:type="dxa"/>
            <w:vAlign w:val="bottom"/>
            <w:gridSpan w:val="7"/>
          </w:tcPr>
          <w:p>
            <w:pPr>
              <w:ind w:left="860"/>
              <w:spacing w:after="0" w:line="188" w:lineRule="exact"/>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2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Number</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8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Period End</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0"/>
        </w:trPr>
        <w:tc>
          <w:tcPr>
            <w:tcW w:w="6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3"/>
              </w:rPr>
              <w:t>31.1</w:t>
            </w:r>
          </w:p>
        </w:tc>
        <w:tc>
          <w:tcPr>
            <w:tcW w:w="200" w:type="dxa"/>
            <w:vAlign w:val="bottom"/>
          </w:tcPr>
          <w:p>
            <w:pPr>
              <w:spacing w:after="0"/>
              <w:rPr>
                <w:sz w:val="23"/>
                <w:szCs w:val="23"/>
                <w:color w:val="auto"/>
              </w:rPr>
            </w:pPr>
          </w:p>
        </w:tc>
        <w:tc>
          <w:tcPr>
            <w:tcW w:w="73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13a-14(a) under the Securities</w:t>
            </w:r>
          </w:p>
        </w:tc>
        <w:tc>
          <w:tcPr>
            <w:tcW w:w="8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300" w:type="dxa"/>
            <w:vAlign w:val="bottom"/>
            <w:tcBorders>
              <w:top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7"/>
                <w:szCs w:val="17"/>
                <w:color w:val="0000FF"/>
              </w:rPr>
              <w:t>Exchange Act of 1934</w:t>
            </w: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3"/>
              </w:rPr>
              <w:t>31.2</w:t>
            </w:r>
          </w:p>
        </w:tc>
        <w:tc>
          <w:tcPr>
            <w:tcW w:w="200" w:type="dxa"/>
            <w:vAlign w:val="bottom"/>
          </w:tcPr>
          <w:p>
            <w:pPr>
              <w:spacing w:after="0"/>
              <w:rPr>
                <w:sz w:val="24"/>
                <w:szCs w:val="24"/>
                <w:color w:val="auto"/>
              </w:rPr>
            </w:pPr>
          </w:p>
        </w:tc>
        <w:tc>
          <w:tcPr>
            <w:tcW w:w="73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13a-14(a) under the Securities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60" w:type="dxa"/>
            <w:vAlign w:val="bottom"/>
            <w:tcBorders>
              <w:top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7"/>
                <w:szCs w:val="17"/>
                <w:color w:val="0000FF"/>
              </w:rPr>
              <w:t>Exchange Act of 1934</w:t>
            </w:r>
          </w:p>
        </w:tc>
        <w:tc>
          <w:tcPr>
            <w:tcW w:w="110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rPr>
              <w:t>32.1*</w:t>
            </w:r>
          </w:p>
        </w:tc>
        <w:tc>
          <w:tcPr>
            <w:tcW w:w="200" w:type="dxa"/>
            <w:vAlign w:val="bottom"/>
          </w:tcPr>
          <w:p>
            <w:pPr>
              <w:spacing w:after="0"/>
              <w:rPr>
                <w:sz w:val="24"/>
                <w:szCs w:val="24"/>
                <w:color w:val="auto"/>
              </w:rPr>
            </w:pPr>
          </w:p>
        </w:tc>
        <w:tc>
          <w:tcPr>
            <w:tcW w:w="73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18 U.S.C. Section 1350</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6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rPr>
              <w:t>32.2*</w:t>
            </w:r>
          </w:p>
        </w:tc>
        <w:tc>
          <w:tcPr>
            <w:tcW w:w="200" w:type="dxa"/>
            <w:vAlign w:val="bottom"/>
          </w:tcPr>
          <w:p>
            <w:pPr>
              <w:spacing w:after="0"/>
              <w:rPr>
                <w:sz w:val="24"/>
                <w:szCs w:val="24"/>
                <w:color w:val="auto"/>
              </w:rPr>
            </w:pPr>
          </w:p>
        </w:tc>
        <w:tc>
          <w:tcPr>
            <w:tcW w:w="5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18 U.S.C. Section 1350</w:t>
            </w:r>
          </w:p>
        </w:tc>
        <w:tc>
          <w:tcPr>
            <w:tcW w:w="40" w:type="dxa"/>
            <w:vAlign w:val="bottom"/>
            <w:tcBorders>
              <w:top w:val="single" w:sz="8" w:color="0000FF"/>
            </w:tcBorders>
          </w:tcPr>
          <w:p>
            <w:pPr>
              <w:spacing w:after="0"/>
              <w:rPr>
                <w:sz w:val="24"/>
                <w:szCs w:val="24"/>
                <w:color w:val="auto"/>
              </w:rPr>
            </w:pPr>
          </w:p>
        </w:tc>
        <w:tc>
          <w:tcPr>
            <w:tcW w:w="18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96"/>
        </w:trPr>
        <w:tc>
          <w:tcPr>
            <w:tcW w:w="6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rPr>
              <w:t>101.1</w:t>
            </w:r>
          </w:p>
        </w:tc>
        <w:tc>
          <w:tcPr>
            <w:tcW w:w="200" w:type="dxa"/>
            <w:vAlign w:val="bottom"/>
          </w:tcPr>
          <w:p>
            <w:pPr>
              <w:spacing w:after="0"/>
              <w:rPr>
                <w:sz w:val="24"/>
                <w:szCs w:val="24"/>
                <w:color w:val="auto"/>
              </w:rPr>
            </w:pPr>
          </w:p>
        </w:tc>
        <w:tc>
          <w:tcPr>
            <w:tcW w:w="73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materials from the Company's Quarterly Report on Form 10-Q for the three and</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360" w:type="dxa"/>
            <w:vAlign w:val="bottom"/>
            <w:gridSpan w:val="8"/>
          </w:tcPr>
          <w:p>
            <w:pPr>
              <w:spacing w:after="0" w:line="171" w:lineRule="exact"/>
              <w:rPr>
                <w:sz w:val="20"/>
                <w:szCs w:val="20"/>
                <w:color w:val="auto"/>
              </w:rPr>
            </w:pPr>
            <w:r>
              <w:rPr>
                <w:rFonts w:ascii="Times New Roman" w:cs="Times New Roman" w:eastAsia="Times New Roman" w:hAnsi="Times New Roman"/>
                <w:sz w:val="17"/>
                <w:szCs w:val="17"/>
                <w:color w:val="auto"/>
              </w:rPr>
              <w:t>nine months period ended July 31, 2024 formatted in Inline XBRL (Extensible Business</w:t>
            </w: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360" w:type="dxa"/>
            <w:vAlign w:val="bottom"/>
            <w:gridSpan w:val="8"/>
          </w:tcPr>
          <w:p>
            <w:pPr>
              <w:spacing w:after="0" w:line="167" w:lineRule="exact"/>
              <w:rPr>
                <w:sz w:val="20"/>
                <w:szCs w:val="20"/>
                <w:color w:val="auto"/>
              </w:rPr>
            </w:pPr>
            <w:r>
              <w:rPr>
                <w:rFonts w:ascii="Times New Roman" w:cs="Times New Roman" w:eastAsia="Times New Roman" w:hAnsi="Times New Roman"/>
                <w:sz w:val="17"/>
                <w:szCs w:val="17"/>
                <w:color w:val="auto"/>
              </w:rPr>
              <w:t>Reporting Language): (i) Consolidated Condensed Statements of Income and Comprehensive</w:t>
            </w: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60" w:type="dxa"/>
            <w:vAlign w:val="bottom"/>
            <w:gridSpan w:val="8"/>
          </w:tcPr>
          <w:p>
            <w:pPr>
              <w:spacing w:after="0" w:line="176" w:lineRule="exact"/>
              <w:rPr>
                <w:sz w:val="20"/>
                <w:szCs w:val="20"/>
                <w:color w:val="auto"/>
              </w:rPr>
            </w:pPr>
            <w:r>
              <w:rPr>
                <w:rFonts w:ascii="Times New Roman" w:cs="Times New Roman" w:eastAsia="Times New Roman" w:hAnsi="Times New Roman"/>
                <w:sz w:val="17"/>
                <w:szCs w:val="17"/>
                <w:color w:val="auto"/>
              </w:rPr>
              <w:t>Income, (ii) Consolidated Condensed Balance Sheets, (iii) Consolidated Condensed Statements</w:t>
            </w: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360" w:type="dxa"/>
            <w:vAlign w:val="bottom"/>
            <w:gridSpan w:val="8"/>
          </w:tcPr>
          <w:p>
            <w:pPr>
              <w:spacing w:after="0" w:line="171" w:lineRule="exact"/>
              <w:rPr>
                <w:sz w:val="20"/>
                <w:szCs w:val="20"/>
                <w:color w:val="auto"/>
              </w:rPr>
            </w:pPr>
            <w:r>
              <w:rPr>
                <w:rFonts w:ascii="Times New Roman" w:cs="Times New Roman" w:eastAsia="Times New Roman" w:hAnsi="Times New Roman"/>
                <w:sz w:val="17"/>
                <w:szCs w:val="17"/>
                <w:color w:val="auto"/>
              </w:rPr>
              <w:t>of Stockholders' Equity, (iv) Consolidated Condensed Statements of Cash Flows and (v) related</w:t>
            </w: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Notes to Consolidated Condensed Financial Statements.</w:t>
            </w: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rPr>
              <w:t>104.1</w:t>
            </w:r>
          </w:p>
        </w:tc>
        <w:tc>
          <w:tcPr>
            <w:tcW w:w="200" w:type="dxa"/>
            <w:vAlign w:val="bottom"/>
          </w:tcPr>
          <w:p>
            <w:pPr>
              <w:spacing w:after="0"/>
              <w:rPr>
                <w:sz w:val="24"/>
                <w:szCs w:val="24"/>
                <w:color w:val="auto"/>
              </w:rPr>
            </w:pPr>
          </w:p>
        </w:tc>
        <w:tc>
          <w:tcPr>
            <w:tcW w:w="73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96" w:right="519" w:bottom="1440" w:gutter="0" w:footer="0" w:header="0"/>
        </w:sectPr>
      </w:pPr>
    </w:p>
    <w:bookmarkStart w:id="31" w:name="page32"/>
    <w:bookmarkEnd w:id="31"/>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26670</wp:posOffset>
            </wp:positionV>
            <wp:extent cx="33343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7"/>
          <w:szCs w:val="17"/>
          <w:color w:val="auto"/>
        </w:rPr>
        <w:t>(Registrant)</w:t>
      </w:r>
    </w:p>
    <w:p>
      <w:pPr>
        <w:spacing w:after="0" w:line="304" w:lineRule="exact"/>
        <w:rPr>
          <w:sz w:val="20"/>
          <w:szCs w:val="20"/>
          <w:color w:val="auto"/>
        </w:rPr>
      </w:pPr>
    </w:p>
    <w:p>
      <w:pPr>
        <w:ind w:left="20"/>
        <w:spacing w:after="0"/>
        <w:tabs>
          <w:tab w:leader="none" w:pos="7160" w:val="left"/>
        </w:tabs>
        <w:rPr>
          <w:sz w:val="20"/>
          <w:szCs w:val="20"/>
          <w:color w:val="auto"/>
        </w:rPr>
      </w:pPr>
      <w:r>
        <w:rPr>
          <w:rFonts w:ascii="Times New Roman" w:cs="Times New Roman" w:eastAsia="Times New Roman" w:hAnsi="Times New Roman"/>
          <w:sz w:val="17"/>
          <w:szCs w:val="17"/>
          <w:color w:val="auto"/>
        </w:rPr>
        <w:t>Date: August 29, 2024</w:t>
      </w:r>
      <w:r>
        <w:rPr>
          <w:sz w:val="20"/>
          <w:szCs w:val="20"/>
          <w:color w:val="auto"/>
        </w:rPr>
        <w:tab/>
      </w:r>
      <w:r>
        <w:rPr>
          <w:rFonts w:ascii="Times New Roman" w:cs="Times New Roman" w:eastAsia="Times New Roman" w:hAnsi="Times New Roman"/>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26670</wp:posOffset>
            </wp:positionV>
            <wp:extent cx="33343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Brian G. Andrews</w:t>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ind w:left="69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160" w:val="left"/>
        </w:tabs>
        <w:rPr>
          <w:sz w:val="20"/>
          <w:szCs w:val="20"/>
          <w:color w:val="auto"/>
        </w:rPr>
      </w:pPr>
      <w:r>
        <w:rPr>
          <w:rFonts w:ascii="Times New Roman" w:cs="Times New Roman" w:eastAsia="Times New Roman" w:hAnsi="Times New Roman"/>
          <w:sz w:val="17"/>
          <w:szCs w:val="17"/>
          <w:color w:val="auto"/>
        </w:rPr>
        <w:t>Date: August 29, 2024</w:t>
      </w:r>
      <w:r>
        <w:rPr>
          <w:sz w:val="20"/>
          <w:szCs w:val="20"/>
          <w:color w:val="auto"/>
        </w:rPr>
        <w:tab/>
      </w:r>
      <w:r>
        <w:rPr>
          <w:rFonts w:ascii="Times New Roman" w:cs="Times New Roman" w:eastAsia="Times New Roman" w:hAnsi="Times New Roman"/>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26670</wp:posOffset>
            </wp:positionV>
            <wp:extent cx="33343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Agostino Ricupati</w:t>
      </w:r>
    </w:p>
    <w:p>
      <w:pPr>
        <w:spacing w:after="0" w:line="3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Senior Vice President and Chief Accounting Officer (Principal Accounting</w:t>
      </w:r>
    </w:p>
    <w:p>
      <w:pPr>
        <w:ind w:left="7620"/>
        <w:spacing w:after="0"/>
        <w:rPr>
          <w:sz w:val="20"/>
          <w:szCs w:val="20"/>
          <w:color w:val="auto"/>
        </w:rPr>
      </w:pP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00"/>
          </w:cols>
          <w:pgMar w:left="320" w:top="796"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Brian G. Andrews</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jc w:val="center"/>
        <w:ind w:right="-299"/>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Albert G. White III,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July 31, 2024,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29,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Albert G. White III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G. White III</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Brian G. Andrews,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July 31, 2024,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29,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 Andrews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Andrews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2024-08-29T16:18:15Z</dcterms:created>
  <dcterms:modified xsi:type="dcterms:W3CDTF">2024-08-29T16:18:15Z</dcterms:modified>
</cp:coreProperties>
</file>