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2021</w:t>
      </w:r>
    </w:p>
    <w:p>
      <w:pPr>
        <w:sectPr>
          <w:pgSz w:w="11900" w:h="16838" w:orient="portrait"/>
          <w:cols w:equalWidth="0" w:num="1">
            <w:col w:w="11240"/>
          </w:cols>
          <w:pgMar w:left="320" w:top="1084" w:right="339" w:bottom="1440" w:gutter="0" w:footer="0" w:header="0"/>
          <w:type w:val="continuous"/>
        </w:sectPr>
      </w:pPr>
    </w:p>
    <w:p>
      <w:pPr>
        <w:spacing w:after="0" w:line="124"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65"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31"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12"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28, 2021, 49,247,946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Page No.</w:t>
            </w:r>
          </w:p>
        </w:tc>
      </w:tr>
      <w:tr>
        <w:trPr>
          <w:trHeight w:val="176"/>
        </w:trPr>
        <w:tc>
          <w:tcPr>
            <w:tcW w:w="1320" w:type="dxa"/>
            <w:vAlign w:val="bottom"/>
            <w:gridSpan w:val="3"/>
          </w:tcPr>
          <w:p>
            <w:pPr>
              <w:spacing w:after="0" w:line="176" w:lineRule="exact"/>
              <w:rPr>
                <w:sz w:val="20"/>
                <w:szCs w:val="20"/>
                <w:color w:val="auto"/>
              </w:rPr>
            </w:pPr>
            <w:r>
              <w:rPr>
                <w:rFonts w:ascii="Arial" w:cs="Arial" w:eastAsia="Arial" w:hAnsi="Arial"/>
                <w:sz w:val="18"/>
                <w:szCs w:val="18"/>
                <w:color w:val="auto"/>
              </w:rPr>
              <w:t>PART I.</w:t>
            </w:r>
          </w:p>
        </w:tc>
        <w:tc>
          <w:tcPr>
            <w:tcW w:w="8300" w:type="dxa"/>
            <w:vAlign w:val="bottom"/>
            <w:gridSpan w:val="20"/>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Financial Statements</w:t>
              </w:r>
            </w:hyperlink>
          </w:p>
        </w:tc>
        <w:tc>
          <w:tcPr>
            <w:tcW w:w="60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Income and Comprehensive Income</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11"/>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Condensed Balance Sheets</w:t>
              </w:r>
            </w:hyperlink>
          </w:p>
        </w:tc>
        <w:tc>
          <w:tcPr>
            <w:tcW w:w="1680" w:type="dxa"/>
            <w:vAlign w:val="bottom"/>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Condensed Statements of Stockholders' Equity</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Condensed Statements of Cash Flows</w:t>
              </w:r>
            </w:hyperlink>
          </w:p>
        </w:tc>
        <w:tc>
          <w:tcPr>
            <w:tcW w:w="640" w:type="dxa"/>
            <w:vAlign w:val="bottom"/>
            <w:gridSpan w:val="4"/>
          </w:tcPr>
          <w:p>
            <w:pPr>
              <w:spacing w:after="0"/>
              <w:rPr>
                <w:sz w:val="24"/>
                <w:szCs w:val="24"/>
                <w:color w:val="auto"/>
              </w:rPr>
            </w:pPr>
          </w:p>
        </w:tc>
        <w:tc>
          <w:tcPr>
            <w:tcW w:w="3820" w:type="dxa"/>
            <w:vAlign w:val="bottom"/>
            <w:gridSpan w:val="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Condensed Financial Statements</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 About Market Risk</w:t>
              </w:r>
            </w:hyperlink>
          </w:p>
        </w:tc>
        <w:tc>
          <w:tcPr>
            <w:tcW w:w="158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Controls and Procedures</w:t>
              </w:r>
            </w:hyperlink>
          </w:p>
        </w:tc>
        <w:tc>
          <w:tcPr>
            <w:tcW w:w="2500" w:type="dxa"/>
            <w:vAlign w:val="bottom"/>
            <w:tcBorders>
              <w:top w:val="single" w:sz="8" w:color="0000FF"/>
            </w:tcBorders>
            <w:gridSpan w:val="8"/>
          </w:tcPr>
          <w:p>
            <w:pPr>
              <w:spacing w:after="0"/>
              <w:rPr>
                <w:sz w:val="24"/>
                <w:szCs w:val="24"/>
                <w:color w:val="auto"/>
              </w:rPr>
            </w:pPr>
          </w:p>
        </w:tc>
        <w:tc>
          <w:tcPr>
            <w:tcW w:w="402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c>
          <w:tcPr>
            <w:tcW w:w="20" w:type="dxa"/>
            <w:vAlign w:val="bottom"/>
          </w:tcPr>
          <w:p>
            <w:pPr>
              <w:spacing w:after="0"/>
              <w:rPr>
                <w:sz w:val="24"/>
                <w:szCs w:val="24"/>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OTHER INFORMATION</w:t>
              </w:r>
            </w:hyperlink>
          </w:p>
        </w:tc>
        <w:tc>
          <w:tcPr>
            <w:tcW w:w="6420" w:type="dxa"/>
            <w:vAlign w:val="bottom"/>
            <w:gridSpan w:val="12"/>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5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6980" w:type="dxa"/>
            <w:vAlign w:val="bottom"/>
            <w:gridSpan w:val="1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15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5"/>
          </w:tcPr>
          <w:p>
            <w:pPr>
              <w:spacing w:after="0"/>
              <w:rPr>
                <w:sz w:val="24"/>
                <w:szCs w:val="24"/>
                <w:color w:val="auto"/>
              </w:rPr>
            </w:pPr>
          </w:p>
        </w:tc>
        <w:tc>
          <w:tcPr>
            <w:tcW w:w="396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0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15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2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6540" w:type="dxa"/>
            <w:vAlign w:val="bottom"/>
            <w:gridSpan w:val="1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7000" w:type="dxa"/>
            <w:vAlign w:val="bottom"/>
            <w:gridSpan w:val="16"/>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Borders>
              <w:bottom w:val="single" w:sz="8" w:color="0000FF"/>
            </w:tcBorders>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Signature</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(Note 6)</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117.5</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2,218.6</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(Note 7):</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used to compute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49.6</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2,343.4</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 2021</w:t>
            </w:r>
          </w:p>
        </w:tc>
        <w:tc>
          <w:tcPr>
            <w:tcW w:w="260" w:type="dxa"/>
            <w:vAlign w:val="bottom"/>
          </w:tcPr>
          <w:p>
            <w:pPr>
              <w:spacing w:after="0"/>
              <w:rPr>
                <w:sz w:val="16"/>
                <w:szCs w:val="16"/>
                <w:color w:val="auto"/>
              </w:rPr>
            </w:pPr>
          </w:p>
        </w:tc>
        <w:tc>
          <w:tcPr>
            <w:tcW w:w="1600" w:type="dxa"/>
            <w:vAlign w:val="bottom"/>
          </w:tcPr>
          <w:p>
            <w:pPr>
              <w:jc w:val="right"/>
              <w:ind w:right="331"/>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0"/>
              </w:rPr>
              <w:t>Trade accounts receivable, net of allowance for credit losses of $10.7 at April 30, 2021 and $10.2</w:t>
            </w:r>
          </w:p>
        </w:tc>
        <w:tc>
          <w:tcPr>
            <w:tcW w:w="3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at October 31, 2020</w:t>
            </w:r>
          </w:p>
        </w:tc>
        <w:tc>
          <w:tcPr>
            <w:tcW w:w="3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(Note 3)</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2,474.8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Goodwill (Note 4)</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2,567.7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 (Note 4)</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assets (Note 6)</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 (Note 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(Note 5)</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liabilities (Note 6)</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payable (Note 6)</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liability and other</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2,851.0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2,912.7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(Note 12)</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Stockholders’ equity (Note 9):</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Preferred stock, 10 cents par value, 1.0 shares authorized, zero shares issued or outstanding</w:t>
            </w: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10 cents par value, 120.0 shares authorized, 53.6 issued and 49.2 outstanding at</w:t>
            </w:r>
          </w:p>
        </w:tc>
        <w:tc>
          <w:tcPr>
            <w:tcW w:w="3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April 30, 2021 and 53.4 issued and 49.1 outstanding at October 31, 2020</w:t>
            </w:r>
          </w:p>
        </w:tc>
        <w:tc>
          <w:tcPr>
            <w:tcW w:w="3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 at cost: 4.4 shares at April 30, 2021 and 4.3 shares at October 31, 2020</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Cooper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38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Shares</w:t>
            </w:r>
          </w:p>
        </w:tc>
        <w:tc>
          <w:tcPr>
            <w:tcW w:w="1340" w:type="dxa"/>
            <w:vAlign w:val="bottom"/>
            <w:gridSpan w:val="5"/>
          </w:tcPr>
          <w:p>
            <w:pPr>
              <w:ind w:left="16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$ 1,615.0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$ 3,026.4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Cooper</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Other comprehensive income, net of</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7"/>
              </w:rPr>
              <w:t>Issuance of common stock for stock</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Dividends on common stock ($0.03</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w w:val="95"/>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$ 1,611.6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$ 3,115.4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3,730.9</w:t>
            </w:r>
          </w:p>
        </w:tc>
        <w:tc>
          <w:tcPr>
            <w:tcW w:w="0" w:type="dxa"/>
            <w:vAlign w:val="bottom"/>
          </w:tcPr>
          <w:p>
            <w:pPr>
              <w:spacing w:after="0"/>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Arial" w:cs="Arial" w:eastAsia="Arial" w:hAnsi="Arial"/>
                <w:sz w:val="18"/>
                <w:szCs w:val="18"/>
                <w:color w:val="auto"/>
              </w:rPr>
              <w:t>Net income attributable to Cooper</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Other comprehensive loss, net of tax</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8"/>
                <w:szCs w:val="18"/>
                <w:color w:val="auto"/>
                <w:w w:val="97"/>
              </w:rPr>
              <w:t>Issuance of common stock for stock</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w w:val="95"/>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repurchase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rPr>
              <w:t>Balance at April 30, 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1,626.5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3,126.9</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(618.6)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38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Shares</w:t>
            </w: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$ 1,646.8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$ 3,261.8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Cooper</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2,101.1</w:t>
            </w: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income, net of</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6"/>
              </w:rPr>
              <w:t>Issuance of common stock for stock</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8"/>
              </w:rPr>
              <w:t>Dividends on common stock ($0.03</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per share)</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Treasury stock repurchase</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 2016-13 adoption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January 31,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1,647.2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5,360.0</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(641.5)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5,989.9</w:t>
            </w: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Cooper</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w w:val="95"/>
              </w:rPr>
              <w:t>Other comprehensive income, net of</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tax</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Issuance of common stock for stock</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Treasury stock repurchase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30,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5,477.5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2,218.6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Increase in operating capital</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non-cash items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(1,781.3)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(repayments) from short-term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(payments) proceeds related to share-based compensation awards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for employee stock purchase plan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accompanying Consolidated Condensed Financial Statements of the Cooper Companies, Inc. and its subsidiaries (the Company)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The accompanying Consolidated Condensed Financial Statements and related notes are unaudited and should be read in conjunction with the audited Consolidated Financial Statements of the Cooper Companies, Inc. and its subsidiaries (the Company) and related notes as contained in the Company’s Annual Report on Form 10-K for the fiscal year ended October 31, 2020. The Consolidated Condensed Financial Statements include all adjustments (consisting only of normal recurring adjustments) and accruals necessary in the judgment of management for a fair presentation of the results for the interim periods presented. Readers should not assume that the results reported here either indicate or guarantee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fiscal year ended October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2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allowance for doubtful accounts and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goodwill and other long-lived assets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There was not a material impact to the above estimates in the Company’s Consolidated Condensed Financial Statements for the three and six months ended April 30, 2021.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260"/>
        <w:spacing w:after="0" w:line="465" w:lineRule="auto"/>
        <w:rPr>
          <w:sz w:val="20"/>
          <w:szCs w:val="20"/>
          <w:color w:val="auto"/>
        </w:rPr>
      </w:pPr>
      <w:r>
        <w:rPr>
          <w:rFonts w:ascii="Arial" w:cs="Arial" w:eastAsia="Arial" w:hAnsi="Arial"/>
          <w:sz w:val="18"/>
          <w:szCs w:val="18"/>
          <w:color w:val="auto"/>
        </w:rPr>
        <w:t xml:space="preserve">changes to the estimates and material impacts to the Company’s Consolidated Condensed Financial Statements in future reporting periods. </w:t>
      </w:r>
      <w:r>
        <w:rPr>
          <w:rFonts w:ascii="Arial" w:cs="Arial" w:eastAsia="Arial" w:hAnsi="Arial"/>
          <w:sz w:val="18"/>
          <w:szCs w:val="18"/>
          <w:b w:val="1"/>
          <w:bCs w:val="1"/>
          <w:color w:val="auto"/>
        </w:rPr>
        <w:t>Accounting Pronouncements Recently Adopted</w:t>
      </w:r>
    </w:p>
    <w:p>
      <w:pPr>
        <w:spacing w:after="0" w:line="3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January 2020, the Financial Accounting Standards Board (FASB) issued ASU 2020-01, </w:t>
      </w:r>
      <w:r>
        <w:rPr>
          <w:rFonts w:ascii="Arial" w:cs="Arial" w:eastAsia="Arial" w:hAnsi="Arial"/>
          <w:sz w:val="16"/>
          <w:szCs w:val="16"/>
          <w:i w:val="1"/>
          <w:iCs w:val="1"/>
          <w:color w:val="auto"/>
        </w:rPr>
        <w:t>Investments-Equity Securities (Topic 321), Investments-Equity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Joint Ventures (Topic 323), and Derivatives and Hedging (Topic 815)—Clarifying the Interactions between Topic 321, Topic 323, and Topic 815</w:t>
      </w:r>
      <w:r>
        <w:rPr>
          <w:rFonts w:ascii="Arial" w:cs="Arial" w:eastAsia="Arial" w:hAnsi="Arial"/>
          <w:sz w:val="16"/>
          <w:szCs w:val="16"/>
          <w:color w:val="auto"/>
        </w:rPr>
        <w:t>. This guidance addresses accounting for the transition into and out of the equity method and provides clarification of the interaction of rules for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the equity method of accounting, and forward contracts and purchase options on certain types of securities. This standard is effective for fiscal years and interim periods within those fiscal years beginning after December 15, 2020. Early adoption is permitted. The Company early adopted this guidance in the second quarter of fiscal 2021, and it did not have a material impact on our Consolidated Condensed Financial Statements.</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2019-04</w:t>
      </w:r>
      <w:r>
        <w:rPr>
          <w:rFonts w:ascii="Arial" w:cs="Arial" w:eastAsia="Arial" w:hAnsi="Arial"/>
          <w:sz w:val="17"/>
          <w:szCs w:val="17"/>
          <w:i w:val="1"/>
          <w:iCs w:val="1"/>
          <w:color w:val="auto"/>
        </w:rPr>
        <w:t xml:space="preserve"> Codification Improvements to Topic 326, Financial Instruments-Credit Losses, Topic 815, Derivatives and Hedging, and Topic 825, Financial Instruments</w:t>
      </w:r>
      <w:r>
        <w:rPr>
          <w:rFonts w:ascii="Arial" w:cs="Arial" w:eastAsia="Arial" w:hAnsi="Arial"/>
          <w:sz w:val="17"/>
          <w:szCs w:val="17"/>
          <w:color w:val="auto"/>
        </w:rPr>
        <w:t>, ASU 2019-05</w:t>
      </w:r>
      <w:r>
        <w:rPr>
          <w:rFonts w:ascii="Arial" w:cs="Arial" w:eastAsia="Arial" w:hAnsi="Arial"/>
          <w:sz w:val="17"/>
          <w:szCs w:val="17"/>
          <w:i w:val="1"/>
          <w:iCs w:val="1"/>
          <w:color w:val="auto"/>
        </w:rPr>
        <w:t xml:space="preserve"> Financial Instruments-Credit Losses</w:t>
      </w:r>
      <w:r>
        <w:rPr>
          <w:rFonts w:ascii="Arial" w:cs="Arial" w:eastAsia="Arial" w:hAnsi="Arial"/>
          <w:sz w:val="17"/>
          <w:szCs w:val="17"/>
          <w:color w:val="auto"/>
        </w:rPr>
        <w:t>, ASU 2019-11</w:t>
      </w:r>
      <w:r>
        <w:rPr>
          <w:rFonts w:ascii="Arial" w:cs="Arial" w:eastAsia="Arial" w:hAnsi="Arial"/>
          <w:sz w:val="17"/>
          <w:szCs w:val="17"/>
          <w:i w:val="1"/>
          <w:iCs w:val="1"/>
          <w:color w:val="auto"/>
        </w:rPr>
        <w:t xml:space="preserve"> Codification Improvements to Topic 326, Financial Instruments —Credit Losses</w:t>
      </w:r>
      <w:r>
        <w:rPr>
          <w:rFonts w:ascii="Arial" w:cs="Arial" w:eastAsia="Arial" w:hAnsi="Arial"/>
          <w:sz w:val="17"/>
          <w:szCs w:val="17"/>
          <w:color w:val="auto"/>
        </w:rPr>
        <w:t>, ASU 2020-02</w:t>
      </w:r>
      <w:r>
        <w:rPr>
          <w:rFonts w:ascii="Arial" w:cs="Arial" w:eastAsia="Arial" w:hAnsi="Arial"/>
          <w:sz w:val="17"/>
          <w:szCs w:val="17"/>
          <w:i w:val="1"/>
          <w:iCs w:val="1"/>
          <w:color w:val="auto"/>
        </w:rPr>
        <w:t xml:space="preserve"> Financial Instruments—Credit Losses (Topic 326) and Leases (Topic 842) </w:t>
      </w:r>
      <w:r>
        <w:rPr>
          <w:rFonts w:ascii="Arial" w:cs="Arial" w:eastAsia="Arial" w:hAnsi="Arial"/>
          <w:sz w:val="17"/>
          <w:szCs w:val="17"/>
          <w:color w:val="auto"/>
        </w:rPr>
        <w:t>and ASU 2020-03</w:t>
      </w:r>
      <w:r>
        <w:rPr>
          <w:rFonts w:ascii="Arial" w:cs="Arial" w:eastAsia="Arial" w:hAnsi="Arial"/>
          <w:sz w:val="17"/>
          <w:szCs w:val="17"/>
          <w:i w:val="1"/>
          <w:iCs w:val="1"/>
          <w:color w:val="auto"/>
        </w:rPr>
        <w:t xml:space="preserve"> Codification Improvements to Financial Instruments </w:t>
      </w:r>
      <w:r>
        <w:rPr>
          <w:rFonts w:ascii="Arial" w:cs="Arial" w:eastAsia="Arial" w:hAnsi="Arial"/>
          <w:sz w:val="17"/>
          <w:szCs w:val="17"/>
          <w:color w:val="auto"/>
        </w:rPr>
        <w:t>(collectively, “Topic 326”). Topic 326 requires measurement and recognition of expected credit losses for financial assets held. Topic</w:t>
      </w:r>
      <w:r>
        <w:rPr>
          <w:rFonts w:ascii="Arial" w:cs="Arial" w:eastAsia="Arial" w:hAnsi="Arial"/>
          <w:sz w:val="17"/>
          <w:szCs w:val="17"/>
          <w:i w:val="1"/>
          <w:iCs w:val="1"/>
          <w:color w:val="auto"/>
        </w:rPr>
        <w:t xml:space="preserve"> </w:t>
      </w:r>
      <w:r>
        <w:rPr>
          <w:rFonts w:ascii="Arial" w:cs="Arial" w:eastAsia="Arial" w:hAnsi="Arial"/>
          <w:sz w:val="17"/>
          <w:szCs w:val="17"/>
          <w:color w:val="auto"/>
        </w:rPr>
        <w:t>326 is effective for fiscal years and interim periods within those fiscal years beginning after December 15, 2019. The Company adopted this guidance in the first quarter of fiscal 2021 on a modified retrospective basis, and the most notable impact was related to the assessment of the adequacy of its allowance for doubtful accounts on trade accounts receivable and the recognition of credit losses. The Company recorded a cumulative-effect adjustment of $1.4 million to the Consolidated Condensed Balance Sheet on November 1, 2020.</w:t>
      </w:r>
    </w:p>
    <w:p>
      <w:pPr>
        <w:spacing w:after="0" w:line="2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The Company adopted this guidance on November 1, 2020, and it did not have a material impact on our Consolidated Condensed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Condensed Financial Statements, which is effective for the Company in our fiscal year and interim periods beginning on November 1, 2021.</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and subsequent amendment to the initial guidance: ASU 2021-01,</w:t>
      </w:r>
      <w:r>
        <w:rPr>
          <w:rFonts w:ascii="Arial" w:cs="Arial" w:eastAsia="Arial" w:hAnsi="Arial"/>
          <w:sz w:val="16"/>
          <w:szCs w:val="16"/>
          <w:i w:val="1"/>
          <w:iCs w:val="1"/>
          <w:color w:val="auto"/>
        </w:rPr>
        <w:t xml:space="preserve"> Reference Rate Reform (Topic 848): Scope </w:t>
      </w:r>
      <w:r>
        <w:rPr>
          <w:rFonts w:ascii="Arial" w:cs="Arial" w:eastAsia="Arial" w:hAnsi="Arial"/>
          <w:sz w:val="16"/>
          <w:szCs w:val="16"/>
          <w:color w:val="auto"/>
        </w:rPr>
        <w:t>(collectively, “Topic 848”). Topic</w:t>
      </w:r>
      <w:r>
        <w:rPr>
          <w:rFonts w:ascii="Arial" w:cs="Arial" w:eastAsia="Arial" w:hAnsi="Arial"/>
          <w:sz w:val="16"/>
          <w:szCs w:val="16"/>
          <w:i w:val="1"/>
          <w:iCs w:val="1"/>
          <w:color w:val="auto"/>
        </w:rPr>
        <w:t xml:space="preserve"> </w:t>
      </w:r>
      <w:r>
        <w:rPr>
          <w:rFonts w:ascii="Arial" w:cs="Arial" w:eastAsia="Arial" w:hAnsi="Arial"/>
          <w:sz w:val="16"/>
          <w:szCs w:val="16"/>
          <w:color w:val="auto"/>
        </w:rPr>
        <w:t>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We are currently assessing the impacts of the practical expedients provided in Topic 848 and which, if any, we will adopt.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This update amends the guidance on convertible instruments and the derivatives scope exception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an entity's own equity and improves and amends the related EPS guidance for both Subtopics. This standard is effective for fiscal years and interim periods within those fiscal years beginning after December 15, 2021, which means it will be effective for our fiscal year beginning November 1, 2022. Early adoption is permitted but no earlier than fiscal years beginning after December 15, 2020, including interim periods within those fiscal years. We are currently evaluating the impact of ASU 2020-06 on our Consolidated Condensed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 other recently issued accounting pronouncements had or are expected to have a material impact on our Consolidated Condensed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Acquisitions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the six months ended April 30, 2021 and fiscal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 2021</w:t>
            </w:r>
          </w:p>
        </w:tc>
        <w:tc>
          <w:tcPr>
            <w:tcW w:w="220" w:type="dxa"/>
            <w:vAlign w:val="bottom"/>
          </w:tcPr>
          <w:p>
            <w:pPr>
              <w:spacing w:after="0"/>
              <w:rPr>
                <w:sz w:val="14"/>
                <w:szCs w:val="14"/>
                <w:color w:val="auto"/>
              </w:rPr>
            </w:pPr>
          </w:p>
        </w:tc>
        <w:tc>
          <w:tcPr>
            <w:tcW w:w="146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In-Process Research &amp; Development (IPR&amp;D)</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tangible assets (liabilities)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Total closing purchase price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acquisitions were funded by cash generated from operations or facility borrowings.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believes these acquisitions strengthen CooperSurgical's and CooperVision's businesses through the addition of new distributors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 The purchase price allocation is preliminary, and the Company is in the process of finalizing information and the corresponding impact on goodwill.</w:t>
      </w:r>
    </w:p>
    <w:p>
      <w:pPr>
        <w:spacing w:after="0" w:line="19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March 1, 2021, CooperSurgical completed the acquisition of a privately-held medical device company that designed and developed an innovative obstetric product for use in urgent obstetrics to reduce risks associated with childbirth. The purchase price allocation is preliminary, and the Company is in the process of finalizing information and the corresponding impact on goodwill.</w:t>
      </w:r>
    </w:p>
    <w:p>
      <w:pPr>
        <w:spacing w:after="0" w:line="197"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On February 1, 2021, CooperSurgical acquired all of the remaining equity interests of a privately-held medical device company that developed the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203"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which was recorded in other income.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terms of the acquisition include upfront cash consideration paid at closing of approximately $40.9 million attributable to the equity interests not held by the Company on the closing date. The transaction also includes potential payments of future consideration that are contingent upon the achievement of the regulatory approval milestone (the regulatory approval payment) and the acquired business reaching certain revenue thresholds over a specified period (the revenue payments). The undiscounted range of the contingent consideration is zero to $139.1 million payable to the other former equity interest owners. The purchase price allocation is preliminary, and the Company is in the process of finalizing information primarily related to taxes and the corresponding impact on goodwill.</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estimated fair value of the contingent consideration on the acquisition date was approximately $37.9 million, and, accordingly, the Company recorded a liability of approximately $30.2 million, which represents the fair value of the contingent consideration payable to the other former equity interest owners. 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202"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As of April 30, 2021, no contingent consideration has been paid. The Company remeasured the fair value of the contingent consideration as of April 30, 2021 and determined the fair value of the contingent consideration has not changed since the acquisition date. Therefore, no fair value adjustment was recognized in the Consolidated Statements of Income and Comprehensive Income for the three months ended April 30, 2021.</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CooperSurgical completed the acquisition of a privately-held in vitro fertilization (IVF) cryo-storage software solutions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purchase price allocation is preliminary, and the Company is in the process of finalizing information and the corresponding impact on goodwill.</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 The purchase price allocation is preliminary, and the Company is in the process of finalizing information and the corresponding impact on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2019, CooperSurgical completed the acquisition of a privately-held distributor of IVF medical devices and systems.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 described above was not material to the consolidated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balances of contingent consideration: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100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380" w:type="dxa"/>
            <w:vAlign w:val="bottom"/>
          </w:tcPr>
          <w:p>
            <w:pPr>
              <w:jc w:val="right"/>
              <w:ind w:right="67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Purchase price contingent consideration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Change in fair value</w:t>
            </w:r>
          </w:p>
        </w:tc>
        <w:tc>
          <w:tcPr>
            <w:tcW w:w="4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Inventories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Pr>
          <w:p>
            <w:pPr>
              <w:spacing w:after="0"/>
              <w:rPr>
                <w:sz w:val="14"/>
                <w:szCs w:val="14"/>
                <w:color w:val="auto"/>
              </w:rPr>
            </w:pPr>
          </w:p>
        </w:tc>
        <w:tc>
          <w:tcPr>
            <w:tcW w:w="174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w:t>
            </w: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period additions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Balance at April 30, 2021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2,567.7</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2020, and its analysis indicated that there was no impairment of goodwill in reporting units.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560"/>
              <w:spacing w:after="0"/>
              <w:rPr>
                <w:sz w:val="20"/>
                <w:szCs w:val="20"/>
                <w:color w:val="auto"/>
              </w:rPr>
            </w:pPr>
            <w:r>
              <w:rPr>
                <w:rFonts w:ascii="Arial" w:cs="Arial" w:eastAsia="Arial" w:hAnsi="Arial"/>
                <w:sz w:val="14"/>
                <w:szCs w:val="14"/>
                <w:b w:val="1"/>
                <w:bCs w:val="1"/>
                <w:color w:val="auto"/>
              </w:rPr>
              <w:t>April 30, 2021</w:t>
            </w:r>
          </w:p>
        </w:tc>
        <w:tc>
          <w:tcPr>
            <w:tcW w:w="140" w:type="dxa"/>
            <w:vAlign w:val="bottom"/>
          </w:tcPr>
          <w:p>
            <w:pPr>
              <w:spacing w:after="0"/>
              <w:rPr>
                <w:sz w:val="16"/>
                <w:szCs w:val="16"/>
                <w:color w:val="auto"/>
              </w:rPr>
            </w:pPr>
          </w:p>
        </w:tc>
        <w:tc>
          <w:tcPr>
            <w:tcW w:w="21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Composite intangible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810.8</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488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Intangible assets with indefinite lives include technology and trademarks.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140" w:type="dxa"/>
            <w:vAlign w:val="bottom"/>
            <w:gridSpan w:val="3"/>
          </w:tcPr>
          <w:p>
            <w:pPr>
              <w:jc w:val="center"/>
              <w:ind w:left="1370"/>
              <w:spacing w:after="0"/>
              <w:rPr>
                <w:sz w:val="20"/>
                <w:szCs w:val="20"/>
                <w:color w:val="auto"/>
              </w:rPr>
            </w:pPr>
            <w:r>
              <w:rPr>
                <w:rFonts w:ascii="Arial" w:cs="Arial" w:eastAsia="Arial" w:hAnsi="Arial"/>
                <w:sz w:val="18"/>
                <w:szCs w:val="18"/>
                <w:color w:val="auto"/>
                <w:w w:val="95"/>
              </w:rPr>
              <w:t>THE COOPER COMPANIES, INC. AND SUBSIDIARIES</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340" w:type="dxa"/>
            <w:vAlign w:val="bottom"/>
            <w:gridSpan w:val="2"/>
          </w:tcPr>
          <w:p>
            <w:pPr>
              <w:jc w:val="center"/>
              <w:ind w:right="1340"/>
              <w:spacing w:after="0" w:line="190" w:lineRule="exact"/>
              <w:rPr>
                <w:sz w:val="20"/>
                <w:szCs w:val="20"/>
                <w:color w:val="auto"/>
              </w:rPr>
            </w:pPr>
            <w:r>
              <w:rPr>
                <w:rFonts w:ascii="Arial" w:cs="Arial" w:eastAsia="Arial" w:hAnsi="Arial"/>
                <w:sz w:val="18"/>
                <w:szCs w:val="18"/>
                <w:color w:val="auto"/>
                <w:w w:val="89"/>
              </w:rPr>
              <w:t>Notes to Consolidated Condensed Financial Statements</w:t>
            </w:r>
          </w:p>
        </w:tc>
        <w:tc>
          <w:tcPr>
            <w:tcW w:w="4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702"/>
        </w:trPr>
        <w:tc>
          <w:tcPr>
            <w:tcW w:w="8960" w:type="dxa"/>
            <w:vAlign w:val="bottom"/>
            <w:gridSpan w:val="5"/>
          </w:tcPr>
          <w:p>
            <w:pPr>
              <w:spacing w:after="0"/>
              <w:rPr>
                <w:sz w:val="20"/>
                <w:szCs w:val="20"/>
                <w:color w:val="auto"/>
              </w:rPr>
            </w:pPr>
            <w:r>
              <w:rPr>
                <w:rFonts w:ascii="Arial" w:cs="Arial" w:eastAsia="Arial" w:hAnsi="Arial"/>
                <w:sz w:val="18"/>
                <w:szCs w:val="18"/>
                <w:color w:val="auto"/>
                <w:w w:val="95"/>
              </w:rPr>
              <w:t>As of April 30, 2021, the estimate of future amortization expenses for intangible assets with definite lives is as follows: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4"/>
                <w:szCs w:val="14"/>
                <w:b w:val="1"/>
                <w:bCs w:val="1"/>
                <w:color w:val="auto"/>
              </w:rPr>
              <w:t>Fiscal Years:</w:t>
            </w:r>
          </w:p>
        </w:tc>
        <w:tc>
          <w:tcPr>
            <w:tcW w:w="440" w:type="dxa"/>
            <w:vAlign w:val="bottom"/>
          </w:tcPr>
          <w:p>
            <w:pPr>
              <w:spacing w:after="0"/>
              <w:rPr>
                <w:sz w:val="24"/>
                <w:szCs w:val="24"/>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9"/>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8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29"/>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8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29"/>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30"/>
        </w:trPr>
        <w:tc>
          <w:tcPr>
            <w:tcW w:w="2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w:t>
      </w:r>
    </w:p>
    <w:p>
      <w:pPr>
        <w:spacing w:after="0" w:line="13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 assesses indefinite-lived intangible assets annually in the third quarter of the fiscal year, or whenever events or circumstances indicate that the carrying amount of an indefinite-lived intangible asset (asset group) may not be recoverable, in accordance with related accounting standards. The Company evaluates whether the indefinite-lived intangible asset is impaired by comparing its carrying value to its fair value.</w:t>
      </w:r>
    </w:p>
    <w:p>
      <w:pPr>
        <w:spacing w:after="0" w:line="1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2020 and did not recognize any intangible asset impairment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Debt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2021</w:t>
            </w:r>
          </w:p>
        </w:tc>
        <w:tc>
          <w:tcPr>
            <w:tcW w:w="240" w:type="dxa"/>
            <w:vAlign w:val="bottom"/>
          </w:tcPr>
          <w:p>
            <w:pPr>
              <w:spacing w:after="0"/>
              <w:rPr>
                <w:sz w:val="14"/>
                <w:szCs w:val="14"/>
                <w:color w:val="auto"/>
              </w:rPr>
            </w:pP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debt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r>
      <w:tr>
        <w:trPr>
          <w:trHeight w:val="236"/>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Revolving credit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534.0</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October 16, 2020</w:t>
      </w:r>
    </w:p>
    <w:p>
      <w:pPr>
        <w:spacing w:after="0" w:line="25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October 16, 2020, the Company entered into a 364-day, $350.0 million, term loan agreement by and among the Company, the lenders party thereto and The Bank of Nova Scotia, as administrative agent which matures on October 15, 2021. The funds were used to partially repay outstanding borrowings under the 2020 Revolving Credit Facility (as defined below). At April 30, 2021, the Company had $350.0 million outstanding under this agreement.</w:t>
      </w:r>
    </w:p>
    <w:p>
      <w:pPr>
        <w:spacing w:after="0" w:line="1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Amounts outstanding under this agreement will bear interest, at the Company’s option, at either the base rate, or the adjusted LIBO rate, plus, in each case, an applicable rate of 0.00% in respect of base rate loans and 0.80% in respect of adjusted LIBO rate loans. The interest rate was 0.92% at April 30,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This agreement contains customary restrictive covenants, as well as financial covenants that require the Company to maintain a certain Total Leverage Ratio and Interest Coverage Ratio consistent with the 2020 Credit Agreement discussed below</w:t>
      </w:r>
      <w:r>
        <w:rPr>
          <w:rFonts w:ascii="Arial" w:cs="Arial" w:eastAsia="Arial" w:hAnsi="Arial"/>
          <w:sz w:val="19"/>
          <w:szCs w:val="19"/>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April 1, 2020</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69"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5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4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On April 1, 2020, the Company borrowed $850.0 million under the 2020 Term Loan Facility and $445.0 million under the 2020 Revolving Credit Facility and used the proceeds to repay the outstanding amounts under the previous credit agreement and an outstanding term loan, and for general corporate purposes.</w:t>
      </w:r>
    </w:p>
    <w:p>
      <w:pPr>
        <w:spacing w:after="0" w:line="7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April 30, 2021, the Company had $850.0 million outstanding under the 2020 Term Loan Facility, $475.0 million outstanding under the 2020 Revolving Credit Facility and $813.6 million available under the 2020 Revolving Credit Facility, net of $1.4 million outstanding letters of credit. The interest rate on the 2020 Term Loan Facility was 1.12% at April 30, 2021. During the three and six months ended April 30, 2021, the Company expensed less than $0.1 million related to the debt issuance costs of the 2020 Term Loan Facility.</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April 30, 2021, the Company was in compliance with the Interest Coverage Ratio at 36.81 to 1.00 and the Total Leverage Ratio at 1.78 to 1.00 for the 2020 Credit Agreement.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2020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maximum commitments and the net amounts available to us under credit facilities discussed above as of April 30,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24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Company's effective tax rates for the three months ended April 30, 2021 and April 30, 2020 were 13.8% and (27.7)%, respectively. The increase was primarily due to changes in the geographical composition of pre-tax earnings. The Company's effective tax rate for the second quarter of fiscal 2021 was lower than the U.S. federal statutory tax rate primarily due to earnings in foreign jurisdictions with lower tax rates and excess tax benefits from share-based compensation.</w:t>
      </w:r>
    </w:p>
    <w:p>
      <w:pPr>
        <w:spacing w:after="0" w:line="20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Company's effective tax rates for the six months ended April 30, 2021 and April 30, 2020 were (704.2)% and 4.2%, respectively. The decrease was primarily due to an intra-group transfer of intellectual property, as discussed below. The Company's effective tax rate for the six months ended April 30, 2021 was lower than the U.S. federal statutory tax rate primarily due to the intra-group transfer. The Company's effective tax rates for the six months ended April 30, 2021 and April 30, 2020 were otherwise lower than the U.S. federal statutory tax rate primarily due to earnings in foreign jurisdictions with lower tax rates and excess tax benefits from share-based compensation.</w:t>
      </w:r>
    </w:p>
    <w:p>
      <w:pPr>
        <w:spacing w:after="0" w:line="20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In November 2020, the Company completed an intra-group transfer of certain intellectual property and related assets to a UK subsidiary as part of a group restructuring to establish headquarters operations in the UK. Income before income taxes resulting from this transfer is eliminated upon consolidation.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three months ended January 31, 2021.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2"/>
                <w:szCs w:val="12"/>
                <w:color w:val="auto"/>
              </w:rPr>
            </w:pPr>
          </w:p>
        </w:tc>
        <w:tc>
          <w:tcPr>
            <w:tcW w:w="1180" w:type="dxa"/>
            <w:vAlign w:val="bottom"/>
          </w:tcPr>
          <w:p>
            <w:pPr>
              <w:jc w:val="right"/>
              <w:ind w:right="554"/>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54"/>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Basic:</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20" w:type="dxa"/>
            <w:vAlign w:val="bottom"/>
            <w:gridSpan w:val="2"/>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Weighted average common shares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shares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39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Three Months</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Six Months</w:t>
            </w:r>
          </w:p>
        </w:tc>
        <w:tc>
          <w:tcPr>
            <w:tcW w:w="138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 except exercise prices)</w:t>
            </w:r>
          </w:p>
        </w:tc>
        <w:tc>
          <w:tcPr>
            <w:tcW w:w="460" w:type="dxa"/>
            <w:vAlign w:val="bottom"/>
          </w:tcPr>
          <w:p>
            <w:pPr>
              <w:spacing w:after="0"/>
              <w:rPr>
                <w:sz w:val="12"/>
                <w:szCs w:val="12"/>
                <w:color w:val="auto"/>
              </w:rPr>
            </w:pPr>
          </w:p>
        </w:tc>
        <w:tc>
          <w:tcPr>
            <w:tcW w:w="146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345.74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7"/>
              </w:rPr>
              <w:t>$254.77 – $304.54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345.74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304.54</w:t>
            </w: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 excluded</w:t>
            </w:r>
          </w:p>
        </w:tc>
        <w:tc>
          <w:tcPr>
            <w:tcW w:w="46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Share-Based Compensation Plans</w:t>
      </w:r>
    </w:p>
    <w:p>
      <w:pPr>
        <w:spacing w:after="0" w:line="175" w:lineRule="exact"/>
        <w:rPr>
          <w:sz w:val="20"/>
          <w:szCs w:val="20"/>
          <w:color w:val="auto"/>
        </w:rPr>
      </w:pPr>
    </w:p>
    <w:p>
      <w:pPr>
        <w:jc w:val="both"/>
        <w:ind w:right="32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2020. The compensation expense and related income tax benefit recognized in our Consolidated Statements of Income and Comprehensive Income for share-based awards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553"/>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 Adjustment</w:t>
            </w: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Liability</w:t>
            </w:r>
          </w:p>
        </w:tc>
        <w:tc>
          <w:tcPr>
            <w:tcW w:w="1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for the period</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Tax effect for the period</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30, 2021</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During the three months ended April 30, 2021, there were no share repurchases under the program. During the six months ended April 30, 2021, the Company repurchased 69.6 thousand shares of its common stock for $24.8 million, at an average purchase price of $356.61 per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At April 30, 2021, $334.8 million remained authorized for repurchase under the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six months ended April 30, 2020, the Company repurchased 160.8 thousand shares of its common stock for $47.8 million, at an average purchase price of $296.88 per share, all repurchased in the second quarter of fiscal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paid a semiannual dividend of approximately $1.5 million or 3 cents per share, on February 9, 2021, to stockholders of record on January 22, 2021. The Company paid a semiannual dividend of approximately $1.5 million or 3 cents per share, on February 10, 2020, to stockholders of record on January 23,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At April 30, 2021 and October 31, 2020, the carrying value of cash and cash equivalents, accounts receivable, prepaid expense and other current assets, lines of credit, accounts payable and other current liabilities approximates fair value due to the short-term nature of such instruments and the ability to obtain financing on similar terms.</w:t>
      </w:r>
    </w:p>
    <w:p>
      <w:pPr>
        <w:spacing w:after="0" w:line="197"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carrying value of our revolving credit facility and term loans approximates fair value based on current market rates (Level 2). On April 6, 2020 the Company entered into six interest rate swap contracts which are used to hedge the Company’s exposure to changes in cash flows associated with its variable rate debt and are designated as derivatives in a cash flow hedge. The payment streams are based on a total notional amount of $1.5 billion at the inception of the contracts. The interest rate swap contracts had maturities of seven years or less. As of April 30, 2021, two of the six interest rate swap contracts have matured and the outstanding contracts have a total notional amount of $1.1 billion.</w:t>
      </w:r>
    </w:p>
    <w:p>
      <w:pPr>
        <w:spacing w:after="0" w:line="2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84" w:lineRule="exact"/>
        <w:rPr>
          <w:sz w:val="20"/>
          <w:szCs w:val="20"/>
          <w:color w:val="auto"/>
        </w:rPr>
      </w:pPr>
    </w:p>
    <w:p>
      <w:pPr>
        <w:ind w:right="1520"/>
        <w:spacing w:after="0" w:line="465" w:lineRule="auto"/>
        <w:rPr>
          <w:sz w:val="20"/>
          <w:szCs w:val="20"/>
          <w:color w:val="auto"/>
        </w:rPr>
      </w:pPr>
      <w:r>
        <w:rPr>
          <w:rFonts w:ascii="Arial" w:cs="Arial" w:eastAsia="Arial" w:hAnsi="Arial"/>
          <w:sz w:val="18"/>
          <w:szCs w:val="18"/>
          <w:color w:val="auto"/>
        </w:rPr>
        <w:t xml:space="preserve">The Company did not have any cross currency swaps or foreign currency forward contracts as of April 30, 2021 and October 31, 2020. </w:t>
      </w:r>
      <w:r>
        <w:rPr>
          <w:rFonts w:ascii="Arial" w:cs="Arial" w:eastAsia="Arial" w:hAnsi="Arial"/>
          <w:sz w:val="18"/>
          <w:szCs w:val="18"/>
          <w:b w:val="1"/>
          <w:bCs w:val="1"/>
          <w:color w:val="auto"/>
        </w:rPr>
        <w:t>Nonrecurring fair value measurements</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2. Acquisitions which are considered a Level 3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Employee Benefits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Retirement Income Plan (the Plan), a defined benefit plan, covers substantially all full-time United States employees.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results of operations for the three and six months ended April 30, 2021 and 2020, reflect the following components of net periodic defined benefit costs: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Six Months</w:t>
            </w:r>
          </w:p>
        </w:tc>
        <w:tc>
          <w:tcPr>
            <w:tcW w:w="100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380" w:type="dxa"/>
            <w:vAlign w:val="bottom"/>
          </w:tcPr>
          <w:p>
            <w:pPr>
              <w:jc w:val="right"/>
              <w:ind w:right="67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jc w:val="right"/>
              <w:ind w:right="673"/>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493"/>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auto"/>
                <w:w w:val="87"/>
              </w:rPr>
              <w:t>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87"/>
              </w:rPr>
              <w:t>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7"/>
              </w:rPr>
              <w:t>6.9</w:t>
            </w: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9"/>
                <w:szCs w:val="19"/>
                <w:color w:val="auto"/>
              </w:rPr>
            </w:pPr>
          </w:p>
        </w:tc>
        <w:tc>
          <w:tcPr>
            <w:tcW w:w="1380" w:type="dxa"/>
            <w:vAlign w:val="bottom"/>
          </w:tcPr>
          <w:p>
            <w:pPr>
              <w:jc w:val="center"/>
              <w:ind w:left="915"/>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center"/>
              <w:ind w:left="773"/>
              <w:spacing w:after="0"/>
              <w:rPr>
                <w:sz w:val="20"/>
                <w:szCs w:val="20"/>
                <w:color w:val="auto"/>
              </w:rPr>
            </w:pPr>
            <w:r>
              <w:rPr>
                <w:rFonts w:ascii="Arial" w:cs="Arial" w:eastAsia="Arial" w:hAnsi="Arial"/>
                <w:sz w:val="18"/>
                <w:szCs w:val="18"/>
                <w:color w:val="auto"/>
                <w:w w:val="87"/>
              </w:rPr>
              <w:t>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center"/>
              <w:ind w:left="533"/>
              <w:spacing w:after="0"/>
              <w:rPr>
                <w:sz w:val="20"/>
                <w:szCs w:val="20"/>
                <w:color w:val="auto"/>
              </w:rPr>
            </w:pPr>
            <w:r>
              <w:rPr>
                <w:rFonts w:ascii="Arial" w:cs="Arial" w:eastAsia="Arial" w:hAnsi="Arial"/>
                <w:sz w:val="18"/>
                <w:szCs w:val="18"/>
                <w:color w:val="auto"/>
                <w:w w:val="87"/>
              </w:rPr>
              <w:t>2.6</w:t>
            </w:r>
          </w:p>
        </w:tc>
      </w:tr>
      <w:tr>
        <w:trPr>
          <w:trHeight w:val="22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75"/>
              <w:spacing w:after="0"/>
              <w:rPr>
                <w:sz w:val="20"/>
                <w:szCs w:val="20"/>
                <w:color w:val="auto"/>
              </w:rPr>
            </w:pPr>
            <w:r>
              <w:rPr>
                <w:rFonts w:ascii="Arial" w:cs="Arial" w:eastAsia="Arial" w:hAnsi="Arial"/>
                <w:sz w:val="18"/>
                <w:szCs w:val="18"/>
                <w:color w:val="auto"/>
                <w:w w:val="91"/>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91"/>
              </w:rPr>
              <w:t>(2.7)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7"/>
              </w:rPr>
              <w:t>(5.4)</w:t>
            </w:r>
          </w:p>
        </w:tc>
      </w:tr>
      <w:tr>
        <w:trPr>
          <w:trHeight w:val="229"/>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actuarial loss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3"/>
              <w:spacing w:after="0"/>
              <w:rPr>
                <w:sz w:val="20"/>
                <w:szCs w:val="20"/>
                <w:color w:val="auto"/>
              </w:rPr>
            </w:pPr>
            <w:r>
              <w:rPr>
                <w:rFonts w:ascii="Arial" w:cs="Arial" w:eastAsia="Arial" w:hAnsi="Arial"/>
                <w:sz w:val="18"/>
                <w:szCs w:val="18"/>
                <w:color w:val="auto"/>
                <w:w w:val="87"/>
              </w:rPr>
              <w:t>1.0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3"/>
              <w:spacing w:after="0"/>
              <w:rPr>
                <w:sz w:val="20"/>
                <w:szCs w:val="20"/>
                <w:color w:val="auto"/>
              </w:rPr>
            </w:pPr>
            <w:r>
              <w:rPr>
                <w:rFonts w:ascii="Arial" w:cs="Arial" w:eastAsia="Arial" w:hAnsi="Arial"/>
                <w:sz w:val="18"/>
                <w:szCs w:val="18"/>
                <w:color w:val="auto"/>
                <w:w w:val="87"/>
              </w:rPr>
              <w:t>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915"/>
              <w:spacing w:after="0"/>
              <w:rPr>
                <w:sz w:val="20"/>
                <w:szCs w:val="20"/>
                <w:color w:val="auto"/>
              </w:rPr>
            </w:pPr>
            <w:r>
              <w:rPr>
                <w:rFonts w:ascii="Arial" w:cs="Arial" w:eastAsia="Arial" w:hAnsi="Arial"/>
                <w:sz w:val="18"/>
                <w:szCs w:val="18"/>
                <w:color w:val="auto"/>
                <w:w w:val="87"/>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7"/>
              </w:rPr>
              <w:t>3.1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87"/>
              </w:rPr>
              <w:t>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did not contribute to the Plan in the first half of fiscal 2021 and due to COVID-19 the Company is uncertain of the amount the Company will contribute during the remainder of the year. The Company did not contribute to the Plan in the first half of fiscal 2020. The expected rate of return on Plan assets for determining net periodic benefit plan cost is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Contingencies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0" w:lineRule="exact"/>
        <w:rPr>
          <w:sz w:val="20"/>
          <w:szCs w:val="20"/>
          <w:color w:val="auto"/>
        </w:rPr>
      </w:pPr>
    </w:p>
    <w:p>
      <w:pPr>
        <w:ind w:left="660" w:right="100" w:hanging="328"/>
        <w:spacing w:after="0" w:line="286" w:lineRule="auto"/>
        <w:tabs>
          <w:tab w:leader="none" w:pos="65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277"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CooperSurgical. </w:t>
      </w:r>
      <w:r>
        <w:rPr>
          <w:rFonts w:ascii="Arial" w:cs="Arial" w:eastAsia="Arial" w:hAnsi="Arial"/>
          <w:sz w:val="18"/>
          <w:szCs w:val="18"/>
          <w:color w:val="auto"/>
        </w:rPr>
        <w:t>Competes in the general health care market with a focus on advancing the health of women, babies and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and fertility.</w:t>
      </w:r>
    </w:p>
    <w:p>
      <w:pPr>
        <w:spacing w:after="0" w:line="1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uses operating income, as presented in our financial reports, as the primary measure of segment profitability. The Company does not allocate costs from corporate functions to segment operating income. Items below operating income are not considered when measuring the profitability of a segment. The Company uses the same accounting policies to generate segment results as the Company does for our 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Total identifiable assets are those used in continuing operations except cash and cash equivalents, which the Company includes as corporate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471"/>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Toric lens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335.1</w:t>
            </w:r>
          </w:p>
        </w:tc>
        <w:tc>
          <w:tcPr>
            <w:tcW w:w="80" w:type="dxa"/>
            <w:vAlign w:val="bottom"/>
          </w:tcPr>
          <w:p>
            <w:pPr>
              <w:spacing w:after="0"/>
              <w:rPr>
                <w:sz w:val="19"/>
                <w:szCs w:val="19"/>
                <w:color w:val="auto"/>
              </w:rPr>
            </w:pPr>
          </w:p>
        </w:tc>
        <w:tc>
          <w:tcPr>
            <w:tcW w:w="50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Multifocal lens</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Single-use sphere lens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290.5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 single-use sphere, other</w:t>
            </w: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288.3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CooperVision net sales</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1,029.6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Office and surgical products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216.1</w:t>
            </w:r>
          </w:p>
        </w:tc>
        <w:tc>
          <w:tcPr>
            <w:tcW w:w="80" w:type="dxa"/>
            <w:vAlign w:val="bottom"/>
          </w:tcPr>
          <w:p>
            <w:pPr>
              <w:spacing w:after="0"/>
              <w:rPr>
                <w:sz w:val="19"/>
                <w:szCs w:val="19"/>
                <w:color w:val="auto"/>
              </w:rPr>
            </w:pPr>
          </w:p>
        </w:tc>
        <w:tc>
          <w:tcPr>
            <w:tcW w:w="50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Fertility</w:t>
            </w: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154.3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CooperSurgical net sales</w:t>
            </w: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370.4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259.2</w:t>
            </w:r>
          </w:p>
        </w:tc>
        <w:tc>
          <w:tcPr>
            <w:tcW w:w="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276.6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275.9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April 30, 2021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2"/>
              </w:rPr>
              <w:t>October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6,442.2</w:t>
            </w:r>
          </w:p>
        </w:tc>
        <w:tc>
          <w:tcPr>
            <w:tcW w:w="50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2,374.9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9,013.8</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4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1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9"/>
              </w:rPr>
              <w:t>Six Months</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ind w:right="431"/>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sales to unaffiliated customers by country of domicile: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336.1</w:t>
            </w:r>
          </w:p>
        </w:tc>
        <w:tc>
          <w:tcPr>
            <w:tcW w:w="14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649.1</w:t>
            </w:r>
          </w:p>
        </w:tc>
        <w:tc>
          <w:tcPr>
            <w:tcW w:w="5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153.4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300.1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719.5</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2021</w:t>
            </w:r>
          </w:p>
        </w:tc>
        <w:tc>
          <w:tcPr>
            <w:tcW w:w="240" w:type="dxa"/>
            <w:vAlign w:val="bottom"/>
          </w:tcPr>
          <w:p>
            <w:pPr>
              <w:spacing w:after="0"/>
              <w:rPr>
                <w:sz w:val="14"/>
                <w:szCs w:val="14"/>
                <w:color w:val="auto"/>
              </w:rPr>
            </w:pPr>
          </w:p>
        </w:tc>
        <w:tc>
          <w:tcPr>
            <w:tcW w:w="1560" w:type="dxa"/>
            <w:vAlign w:val="bottom"/>
          </w:tcPr>
          <w:p>
            <w:pPr>
              <w:jc w:val="right"/>
              <w:ind w:right="294"/>
              <w:spacing w:after="0"/>
              <w:rPr>
                <w:sz w:val="20"/>
                <w:szCs w:val="20"/>
                <w:color w:val="auto"/>
              </w:rPr>
            </w:pPr>
            <w:r>
              <w:rPr>
                <w:rFonts w:ascii="Arial" w:cs="Arial" w:eastAsia="Arial" w:hAnsi="Arial"/>
                <w:sz w:val="14"/>
                <w:szCs w:val="14"/>
                <w:b w:val="1"/>
                <w:bCs w:val="1"/>
                <w:color w:val="auto"/>
              </w:rPr>
              <w:t>October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 by country of domicile:</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726.4</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721.3</w:t>
            </w: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Derivatives and Hedging</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0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Sheets for presentation purposes.</w:t>
      </w:r>
    </w:p>
    <w:p>
      <w:pPr>
        <w:spacing w:after="0" w:line="20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2020, the Company had five outstanding derivatives designated as hedging instruments. One of the contracts matured on April 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2021, the Company had the following outstanding derivatives designated as hedging instruments: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number of instruments)</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Instruments</w:t>
            </w:r>
          </w:p>
        </w:tc>
        <w:tc>
          <w:tcPr>
            <w:tcW w:w="2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Notional Value</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62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These contracts have remaining maturities of six years or less.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pre-tax impact of gain on derivatives designated for hedge accounting recognized in other comprehensive income (loss) was $8.9 million ($6.7 million, net of tax) as of April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 Consolidated Condensed Balance Sheets where the instruments are recorded: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October 31, 2020</w:t>
            </w:r>
          </w:p>
        </w:tc>
      </w:tr>
      <w:tr>
        <w:trPr>
          <w:trHeight w:val="143"/>
        </w:trPr>
        <w:tc>
          <w:tcPr>
            <w:tcW w:w="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320" w:type="dxa"/>
            <w:vAlign w:val="bottom"/>
            <w:gridSpan w:val="3"/>
          </w:tcPr>
          <w:p>
            <w:pPr>
              <w:jc w:val="right"/>
              <w:ind w:right="1039"/>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Derivative Liabilities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October 31, 2020</w:t>
            </w:r>
          </w:p>
        </w:tc>
      </w:tr>
      <w:tr>
        <w:trPr>
          <w:trHeight w:val="143"/>
        </w:trPr>
        <w:tc>
          <w:tcPr>
            <w:tcW w:w="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320" w:type="dxa"/>
            <w:vAlign w:val="bottom"/>
            <w:gridSpan w:val="3"/>
          </w:tcPr>
          <w:p>
            <w:pPr>
              <w:jc w:val="right"/>
              <w:ind w:right="103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recognized with respect to our derivative instruments within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Periods Ended April 30,</w:t>
            </w: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9"/>
              </w:rPr>
              <w:t>Six Months</w:t>
            </w:r>
          </w:p>
        </w:tc>
        <w:tc>
          <w:tcPr>
            <w:tcW w:w="72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r>
      <w:tr>
        <w:trPr>
          <w:trHeight w:val="130"/>
        </w:trPr>
        <w:tc>
          <w:tcPr>
            <w:tcW w:w="2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220" w:type="dxa"/>
            <w:vAlign w:val="bottom"/>
            <w:shd w:val="clear" w:color="auto" w:fill="CCEEFF"/>
          </w:tcPr>
          <w:p>
            <w:pPr>
              <w:spacing w:after="0"/>
              <w:rPr>
                <w:sz w:val="11"/>
                <w:szCs w:val="11"/>
                <w:color w:val="auto"/>
              </w:rPr>
            </w:pP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4"/>
              </w:rPr>
              <w:t>Location of Loss Recognized on Derivatives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4020" w:type="dxa"/>
            <w:vAlign w:val="bottom"/>
            <w:gridSpan w:val="3"/>
          </w:tcPr>
          <w:p>
            <w:pPr>
              <w:ind w:left="1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4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expects that $6.4 million recorded as a component of accumulated other comprehensive income (loss) will be realized in the statements of earnings over the next twelve months and the amount will vary depending on prevailing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accumulated other comprehensive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gain / (loss) as of October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Amount recognized in other comprehensive income on interest rate swap contracts, gross ($16.6 million, net of tax)</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reclassified from other comprehensive income into earnings, gross ($3.1 million,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Ending balance gain / (loss) as of April 30, 2021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9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5" w:lineRule="exact"/>
        <w:rPr>
          <w:sz w:val="20"/>
          <w:szCs w:val="20"/>
          <w:color w:val="auto"/>
        </w:rPr>
      </w:pPr>
    </w:p>
    <w:p>
      <w:pPr>
        <w:ind w:left="660" w:right="140" w:hanging="652"/>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69" w:lineRule="exact"/>
        <w:rPr>
          <w:rFonts w:ascii="Arial" w:cs="Arial" w:eastAsia="Arial" w:hAnsi="Arial"/>
          <w:sz w:val="16"/>
          <w:szCs w:val="16"/>
          <w:color w:val="auto"/>
        </w:rPr>
      </w:pPr>
    </w:p>
    <w:p>
      <w:pPr>
        <w:ind w:left="660" w:right="20" w:hanging="652"/>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and escalating global trade barriers, including additional tariffs, by countries such as China.</w:t>
      </w:r>
    </w:p>
    <w:p>
      <w:pPr>
        <w:spacing w:after="0" w:line="132" w:lineRule="exact"/>
        <w:rPr>
          <w:rFonts w:ascii="Arial" w:cs="Arial" w:eastAsia="Arial" w:hAnsi="Arial"/>
          <w:sz w:val="18"/>
          <w:szCs w:val="18"/>
          <w:color w:val="auto"/>
        </w:rPr>
      </w:pPr>
    </w:p>
    <w:p>
      <w:pPr>
        <w:ind w:left="660" w:right="22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or their interpretation, changes in statutory tax rates, and adverse outcomes in tax disputes including but not limited to, the U.S., the United Kingdom and other countries may affect our taxation of earnings recognized in foreign jurisdictions, result in unexpected tax liabilities, and/or negatively impact our effective tax rate.</w:t>
      </w:r>
    </w:p>
    <w:p>
      <w:pPr>
        <w:spacing w:after="0" w:line="129" w:lineRule="exact"/>
        <w:rPr>
          <w:rFonts w:ascii="Arial" w:cs="Arial" w:eastAsia="Arial" w:hAnsi="Arial"/>
          <w:sz w:val="18"/>
          <w:szCs w:val="18"/>
          <w:color w:val="auto"/>
        </w:rPr>
      </w:pPr>
    </w:p>
    <w:p>
      <w:pPr>
        <w:ind w:left="660" w:right="18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16" w:lineRule="exact"/>
        <w:rPr>
          <w:rFonts w:ascii="Arial" w:cs="Arial" w:eastAsia="Arial" w:hAnsi="Arial"/>
          <w:sz w:val="18"/>
          <w:szCs w:val="18"/>
          <w:color w:val="auto"/>
        </w:rPr>
      </w:pPr>
    </w:p>
    <w:p>
      <w:pPr>
        <w:ind w:left="660" w:right="8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hanging="652"/>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jc w:val="both"/>
        <w:ind w:left="660" w:right="44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withdrawal from the European Union (EU) and its potential impact on, among other things, the movement of goods and materials in our supply chain, additional regulatory approvals and requirements, and increased tariffs and duties.</w:t>
      </w:r>
    </w:p>
    <w:p>
      <w:pPr>
        <w:spacing w:after="0" w:line="129" w:lineRule="exact"/>
        <w:rPr>
          <w:rFonts w:ascii="Arial" w:cs="Arial" w:eastAsia="Arial" w:hAnsi="Arial"/>
          <w:sz w:val="18"/>
          <w:szCs w:val="18"/>
          <w:color w:val="auto"/>
        </w:rPr>
      </w:pPr>
    </w:p>
    <w:p>
      <w:pPr>
        <w:ind w:left="660" w:right="2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personal information, such as HIPAA and the California Consumer Privacy</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Act (CCPA) in the U.S. and the General Data Protection Regulation requirements in Europe, including but not limited to those resulting from data security breaches.</w:t>
      </w:r>
    </w:p>
    <w:p>
      <w:pPr>
        <w:spacing w:after="0" w:line="116" w:lineRule="exact"/>
        <w:rPr>
          <w:sz w:val="20"/>
          <w:szCs w:val="20"/>
          <w:color w:val="auto"/>
        </w:rPr>
      </w:pPr>
    </w:p>
    <w:p>
      <w:pPr>
        <w:ind w:left="660" w:right="80" w:hanging="652"/>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9" w:lineRule="exact"/>
        <w:rPr>
          <w:rFonts w:ascii="Arial" w:cs="Arial" w:eastAsia="Arial" w:hAnsi="Arial"/>
          <w:sz w:val="18"/>
          <w:szCs w:val="18"/>
          <w:color w:val="auto"/>
        </w:rPr>
      </w:pPr>
    </w:p>
    <w:p>
      <w:pPr>
        <w:ind w:left="660" w:right="120" w:hanging="652"/>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and the EU In Vitro Diagnostic Medical Devices Regulation.</w:t>
      </w:r>
    </w:p>
    <w:p>
      <w:pPr>
        <w:spacing w:after="0" w:line="132" w:lineRule="exact"/>
        <w:rPr>
          <w:rFonts w:ascii="Arial" w:cs="Arial" w:eastAsia="Arial" w:hAnsi="Arial"/>
          <w:sz w:val="18"/>
          <w:szCs w:val="18"/>
          <w:color w:val="auto"/>
        </w:rPr>
      </w:pPr>
    </w:p>
    <w:p>
      <w:pPr>
        <w:ind w:left="660" w:right="56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6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40" w:hanging="652"/>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2020, as such Risk Factors may be updated in quarterly filings including updates made in this filing.</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this section, we discuss the results of our operations for the second quarter of fiscal 2021 ended April 30, 2021 and compare them with the same period of fiscal 2020.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succeeding sections of Management’s Discussion and Analysis (MD&amp;A) may include certain financial measures that are not defined by accounting principles generally accepted in the United States (GAAP). These measures, which are referred to as non-GAAP measures, are listed below:</w:t>
      </w:r>
    </w:p>
    <w:p>
      <w:pPr>
        <w:spacing w:after="0" w:line="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21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the COVID-19 pandemic. As a result, we instituted an inventory control project to reduce buildup of excess inventory. Our manufacturing and distribution operations have responded to the impacts related to the COVID-19 pandemic,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duration and severity of the pandemic outbreak and any subsequent waves of additional outbreaks,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125730</wp:posOffset>
            </wp:positionV>
            <wp:extent cx="5143500" cy="2168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of $487.1 million, up 51% from $323.5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of $143.2 million, up 401% from $28.6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of $2.36, up 922% from $0.23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provided by operations of $192.6 million, compared to $25.8 million in the prior year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Highlights</w:t>
      </w:r>
    </w:p>
    <w:p>
      <w:pPr>
        <w:spacing w:after="0" w:line="17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$937.8 million, up 25% from $750.0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$276.6 million, up 98% from $139.7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of $44.65, up 2076% from $2.05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provided by operations $340.3 million, compared to $155.5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changes in tax legislation, debt concerns, the uncertainty following the United Kingdom's withdrawal from the EU, changes to existing regulations and new regulations, global trade barriers including additional tariffs and the trend of consolidations within the health care industry could impact our current performance and continue to represent a risk to our future performance.</w:t>
      </w:r>
    </w:p>
    <w:p>
      <w:pPr>
        <w:spacing w:after="0" w:line="138"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multifocal, toric multifocal and myopia management contact</w:t>
      </w:r>
      <w:r>
        <w:rPr>
          <w:rFonts w:ascii="Arial" w:cs="Arial" w:eastAsia="Arial" w:hAnsi="Arial"/>
          <w:sz w:val="18"/>
          <w:szCs w:val="18"/>
          <w:i w:val="1"/>
          <w:iCs w:val="1"/>
          <w:color w:val="auto"/>
        </w:rPr>
        <w:t xml:space="preserve"> </w:t>
      </w:r>
      <w:r>
        <w:rPr>
          <w:rFonts w:ascii="Arial" w:cs="Arial" w:eastAsia="Arial" w:hAnsi="Arial"/>
          <w:sz w:val="18"/>
          <w:szCs w:val="18"/>
          <w:color w:val="auto"/>
        </w:rPr>
        <w:t>lenses offered in a variety of materials including using silicone hydrogel Aquaform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PC Technology™ and ActivControl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We believe that there will be lower contact lens wearer dropout rates as technology improves and enhances the wearing experience through a combination of improved designs and</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materials and the growth of preferred modalities such as single-use and monthly wearing options. CooperVision also competes in the myopia management and specialty eye care markets with products such as ortho-k and scleral lenses. In November 2019, CooperVision received United States Food and Drug Administration (FDA) approval for its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 day lens, which is the first and only FDA-approved product indicated to slow the progression of myopia in children with 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six months ended April 30, 2021:</w:t>
      </w:r>
    </w:p>
    <w:p>
      <w:pPr>
        <w:spacing w:after="0" w:line="171" w:lineRule="exact"/>
        <w:rPr>
          <w:sz w:val="20"/>
          <w:szCs w:val="20"/>
          <w:color w:val="auto"/>
        </w:rPr>
      </w:pPr>
    </w:p>
    <w:p>
      <w:pPr>
        <w:ind w:left="560" w:hanging="228"/>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U.K. contact lens manufacturer on April 26,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medical device company on January 19, 2021</w:t>
      </w:r>
    </w:p>
    <w:p>
      <w:pPr>
        <w:spacing w:after="0" w:line="25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7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w:t>
      </w:r>
      <w:r>
        <w:rPr>
          <w:rFonts w:ascii="Arial" w:cs="Arial" w:eastAsia="Arial" w:hAnsi="Arial"/>
          <w:sz w:val="16"/>
          <w:szCs w:val="16"/>
          <w:i w:val="1"/>
          <w:iCs w:val="1"/>
          <w:color w:val="auto"/>
        </w:rPr>
        <w:t xml:space="preserve"> </w:t>
      </w:r>
      <w:r>
        <w:rPr>
          <w:rFonts w:ascii="Arial" w:cs="Arial" w:eastAsia="Arial" w:hAnsi="Arial"/>
          <w:sz w:val="16"/>
          <w:szCs w:val="16"/>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entities during the six months ended April 30, 2021:</w:t>
      </w:r>
    </w:p>
    <w:p>
      <w:pPr>
        <w:spacing w:after="0" w:line="171" w:lineRule="exact"/>
        <w:rPr>
          <w:sz w:val="20"/>
          <w:szCs w:val="20"/>
          <w:color w:val="auto"/>
        </w:rPr>
      </w:pPr>
    </w:p>
    <w:p>
      <w:pPr>
        <w:ind w:left="560" w:hanging="228"/>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privately-held medical device company on March 1,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privately-held medical device company on February 1, 2021</w:t>
      </w:r>
    </w:p>
    <w:p>
      <w:pPr>
        <w:spacing w:after="0" w:line="171" w:lineRule="exact"/>
        <w:rPr>
          <w:rFonts w:ascii="Arial" w:cs="Arial" w:eastAsia="Arial" w:hAnsi="Arial"/>
          <w:sz w:val="18"/>
          <w:szCs w:val="18"/>
          <w:color w:val="auto"/>
        </w:rPr>
      </w:pPr>
    </w:p>
    <w:p>
      <w:pPr>
        <w:ind w:right="2860" w:firstLine="332"/>
        <w:spacing w:after="0" w:line="438" w:lineRule="auto"/>
        <w:tabs>
          <w:tab w:leader="none" w:pos="5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privately-held in vitro fertilization (IVF) cryo-storage software solutions company on December 31, 2020 CooperSurgical acquired the following entity during the six months ended April 30, 2020:</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privately-held distributor of IVF medical devices and systems on December 13, 2019</w:t>
      </w:r>
    </w:p>
    <w:p>
      <w:pPr>
        <w:spacing w:after="0" w:line="2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April 30, 2021, we had $105.9 million in unrestricted cash, primarily held outside the United States, and $813.6 million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2020 Credit Agreement. The $850.0 million term loan entered into on April 1, 2020, and the $350.0 million term loan entered into on October 16, 2020, remain outstanding as of April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United Kingdom’s Financial Conduct Authority, which regulates the London Interbank Offered Rate (LIBOR), announced in July 2017 that it will no longer persuade or require banks to submit rates for LIBOR after 2021. Further, in March 2020, the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This guidance provides optional expedients and exceptions for applying GAAP to contracts, hedging relationships, and other transactions affected by reference rate reform if certain criteria are met. The Company has material contracts that are indexed to LIBOR and is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7"/>
            <w:vMerge w:val="restart"/>
          </w:tcPr>
          <w:p>
            <w:pPr>
              <w:jc w:val="right"/>
              <w:ind w:right="248"/>
              <w:spacing w:after="0"/>
              <w:rPr>
                <w:sz w:val="20"/>
                <w:szCs w:val="20"/>
                <w:color w:val="auto"/>
              </w:rPr>
            </w:pPr>
            <w:r>
              <w:rPr>
                <w:rFonts w:ascii="Arial" w:cs="Arial" w:eastAsia="Arial" w:hAnsi="Arial"/>
                <w:sz w:val="14"/>
                <w:szCs w:val="14"/>
                <w:b w:val="1"/>
                <w:bCs w:val="1"/>
                <w:color w:val="auto"/>
                <w:w w:val="92"/>
              </w:rPr>
              <w:t>Percentage of Net Sales</w:t>
            </w:r>
          </w:p>
        </w:tc>
        <w:tc>
          <w:tcPr>
            <w:tcW w:w="120" w:type="dxa"/>
            <w:vAlign w:val="bottom"/>
          </w:tcPr>
          <w:p>
            <w:pPr>
              <w:spacing w:after="0"/>
              <w:rPr>
                <w:sz w:val="24"/>
                <w:szCs w:val="24"/>
                <w:color w:val="auto"/>
              </w:rPr>
            </w:pPr>
          </w:p>
        </w:tc>
        <w:tc>
          <w:tcPr>
            <w:tcW w:w="15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2021 vs 2020 %</w:t>
            </w:r>
          </w:p>
        </w:tc>
        <w:tc>
          <w:tcPr>
            <w:tcW w:w="120" w:type="dxa"/>
            <w:vAlign w:val="bottom"/>
          </w:tcPr>
          <w:p>
            <w:pPr>
              <w:spacing w:after="0"/>
              <w:rPr>
                <w:sz w:val="24"/>
                <w:szCs w:val="24"/>
                <w:color w:val="auto"/>
              </w:rPr>
            </w:pPr>
          </w:p>
        </w:tc>
        <w:tc>
          <w:tcPr>
            <w:tcW w:w="1800" w:type="dxa"/>
            <w:vAlign w:val="bottom"/>
            <w:gridSpan w:val="6"/>
            <w:vMerge w:val="restart"/>
          </w:tcPr>
          <w:p>
            <w:pPr>
              <w:jc w:val="right"/>
              <w:ind w:right="254"/>
              <w:spacing w:after="0"/>
              <w:rPr>
                <w:sz w:val="20"/>
                <w:szCs w:val="20"/>
                <w:color w:val="auto"/>
              </w:rPr>
            </w:pPr>
            <w:r>
              <w:rPr>
                <w:rFonts w:ascii="Arial" w:cs="Arial" w:eastAsia="Arial" w:hAnsi="Arial"/>
                <w:sz w:val="14"/>
                <w:szCs w:val="14"/>
                <w:b w:val="1"/>
                <w:bCs w:val="1"/>
                <w:color w:val="auto"/>
                <w:w w:val="90"/>
              </w:rPr>
              <w:t>Percentage of Net Sales</w:t>
            </w:r>
          </w:p>
        </w:tc>
        <w:tc>
          <w:tcPr>
            <w:tcW w:w="100" w:type="dxa"/>
            <w:vAlign w:val="bottom"/>
            <w:gridSpan w:val="2"/>
            <w:vMerge w:val="restart"/>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2021 vs 2020 %</w:t>
            </w: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5"/>
          </w:tcPr>
          <w:p>
            <w:pPr>
              <w:jc w:val="center"/>
              <w:ind w:right="120"/>
              <w:spacing w:after="0" w:line="102" w:lineRule="exact"/>
              <w:rPr>
                <w:sz w:val="20"/>
                <w:szCs w:val="20"/>
                <w:color w:val="auto"/>
              </w:rPr>
            </w:pPr>
            <w:r>
              <w:rPr>
                <w:rFonts w:ascii="Arial" w:cs="Arial" w:eastAsia="Arial" w:hAnsi="Arial"/>
                <w:sz w:val="11"/>
                <w:szCs w:val="11"/>
                <w:b w:val="1"/>
                <w:bCs w:val="1"/>
                <w:color w:val="auto"/>
              </w:rPr>
              <w:t>Change in</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Change in</w:t>
            </w:r>
          </w:p>
        </w:tc>
        <w:tc>
          <w:tcPr>
            <w:tcW w:w="0" w:type="dxa"/>
            <w:vAlign w:val="bottom"/>
          </w:tcPr>
          <w:p>
            <w:pPr>
              <w:spacing w:after="0"/>
              <w:rPr>
                <w:sz w:val="1"/>
                <w:szCs w:val="1"/>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5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9"/>
              </w:rPr>
              <w:t>Absolute Values</w:t>
            </w:r>
          </w:p>
        </w:tc>
        <w:tc>
          <w:tcPr>
            <w:tcW w:w="120" w:type="dxa"/>
            <w:vAlign w:val="bottom"/>
          </w:tcPr>
          <w:p>
            <w:pPr>
              <w:spacing w:after="0"/>
              <w:rPr>
                <w:sz w:val="17"/>
                <w:szCs w:val="17"/>
                <w:color w:val="auto"/>
              </w:rPr>
            </w:pPr>
          </w:p>
        </w:tc>
        <w:tc>
          <w:tcPr>
            <w:tcW w:w="66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24"/>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66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Research and development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88"/>
              </w:rPr>
              <w:t>Net Sales Growth by Business Unit</w:t>
            </w: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2021 vs 2020 %</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Increase</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2021 vs 2020 %</w:t>
            </w:r>
          </w:p>
        </w:tc>
        <w:tc>
          <w:tcPr>
            <w:tcW w:w="0" w:type="dxa"/>
            <w:vAlign w:val="bottom"/>
          </w:tcPr>
          <w:p>
            <w:pPr>
              <w:spacing w:after="0"/>
              <w:rPr>
                <w:sz w:val="1"/>
                <w:szCs w:val="1"/>
                <w:color w:val="auto"/>
              </w:rPr>
            </w:pPr>
          </w:p>
        </w:tc>
      </w:tr>
      <w:tr>
        <w:trPr>
          <w:trHeight w:val="188"/>
        </w:trPr>
        <w:tc>
          <w:tcPr>
            <w:tcW w:w="2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CooperVision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w:t>
            </w:r>
          </w:p>
        </w:tc>
        <w:tc>
          <w:tcPr>
            <w:tcW w:w="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CooperSurgical</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86.7</w:t>
            </w: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228.9</w:t>
            </w: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 and</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wp:posOffset>
            </wp:positionV>
            <wp:extent cx="5143500" cy="2451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3"/>
                <w:szCs w:val="3"/>
                <w:color w:val="auto"/>
              </w:rPr>
            </w:pPr>
          </w:p>
        </w:tc>
        <w:tc>
          <w:tcPr>
            <w:tcW w:w="134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51435</wp:posOffset>
            </wp:positionV>
            <wp:extent cx="5143500" cy="245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Six Months Ended April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vMerge w:val="restart"/>
          </w:tcPr>
          <w:p>
            <w:pPr>
              <w:jc w:val="right"/>
              <w:ind w:right="66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2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96.9</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2021:</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Biofinity and MyDay.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Single-use sphere lenses growth was primarily attributed to MyDay and clariti lenses.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represented approximately 2% of net sales in both the three and six months ended April 30, 2021 and 2020.</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silicone hydrogel products increased by 36% and 21% in the three and six months ended April 30, 2021, representing 77% of net sales, compared to 73% in the three and six months ended April 30, 2020.</w:t>
      </w:r>
    </w:p>
    <w:p>
      <w:pPr>
        <w:spacing w:after="0" w:line="116"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rates positively impacted sales by approximately $21.5 million and $36.3 million in the three and six months ended April 30, 2021 and had a negative impact of $7.5 million and $9.7 million in the prior year periods. In the three and six months ended April 30, 2021, net sales increased by 25% and 12% in constant currency over the prior year periods.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4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growth was primarily driven by an increase in the volume of lenses sold across our core portfolio due to a recovery in demand from the impact of the COVID-19 pandemic. Average realized prices by product did not materially influence sales.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optical retailers and healthcare centers continue to restrict access, and social distancing measures continue.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Six Months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1"/>
                <w:szCs w:val="11"/>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2021 vs 2020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CooperVision's growth in net sales across all regions was primarily attributable to market gains of silicone hydrogel contact lenses and favorable foreign currency impacts. Refer to CooperVision Net Sales by Category above for further discussion.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117475</wp:posOffset>
            </wp:positionV>
            <wp:extent cx="5657850" cy="2486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51435</wp:posOffset>
            </wp:positionV>
            <wp:extent cx="5657850" cy="2486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April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2021:</w:t>
      </w:r>
    </w:p>
    <w:p>
      <w:pPr>
        <w:spacing w:after="0" w:line="171" w:lineRule="exact"/>
        <w:rPr>
          <w:sz w:val="20"/>
          <w:szCs w:val="20"/>
          <w:color w:val="auto"/>
        </w:rPr>
      </w:pPr>
    </w:p>
    <w:p>
      <w:pPr>
        <w:ind w:left="660" w:right="140" w:hanging="328"/>
        <w:spacing w:after="0" w:line="22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Office and surgical products increased compared to the prior year periods mainly due to an increase in PARAGARD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compared to the prior year periods. Further, there was an increase from other office and surgical products such as Uterine Manipulators, Retractors, Closure products, LEEP products and Point-of-Care products.</w:t>
      </w:r>
    </w:p>
    <w:p>
      <w:pPr>
        <w:spacing w:after="0" w:line="13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periods mainly due to an increase in revenue from IVF consumables, equipment sales, preimplantation genetic testing and sales from our recent acquisition, Embryo Options.</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rates positively impacted sales by approximately $3.0 million and $4.1 million in the three and six months ended April 30, 2021 and had a negative impact of $1.4 million and $2.1 million in the prior year periods. In the three and six months ended April 30, 2021, net sales increased by 58% and 29% in constant currency over the prior year periods.</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growth was primarily driven by stronger demand for our products and services as a result of our customers continuing to reopen their health care facilities and medical offices.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hospitals and healthcare centers continue to restrict access, and social distancing measures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Consolidated gross margins were 68% and 67% in the three and six months ended April 30, 2021, up from 62% and 64% in the prior year periods, primarily driven by product mix and favorable currency.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w w:val="94"/>
              </w:rPr>
              <w:t>Selling, General and Administrative Expense (SGA)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40 %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51 %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45 %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38 %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48 %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39 %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42 %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CooperVision's SGA increased in the three and six months ended April 30, 2021 compared to fiscal 2020 primarily due to increases in distribution costs, general and administrative costs and advertising and marketing activities primarily related to myopia management, partially offset by lower travel expenses due to the COVID-19 pandemic. CooperVision's SGA in the three and six months ended April 30, 2021 included $1.1 million and $3.0 million of costs primarily related to acquisition and integration activities. CooperVision's SGA in the three and six months ended April 30, 2020 included $0.8 million and $1.4 million of costs primarily related to integration activities.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CooperSurgical's SGA increased in the three and six months ended April 30, 2021 compared to fiscal 2020 primarily due to increases in selling expenses, partially offset by lower advertising and marketing costs and travel expenses due to the COVID-19 pandemic. CooperSurgical's SGA in the three and six months ended April 30, 2021 included $4.9 million and $6.7 million of acquisition and integration expenses and legal settlement. CooperSurgical's SGA in the three and six months ended April 30, 2020 included $4.4 million and $10.5 million of integration expenses and European Medical Devices Regulation costs.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Corporate SGA decreased in the three and six months ended April 30, 2021 compared to fiscal 2020 primarily due to savings from lower travel expenses due to the COVID-19 pandemic and timing of corporate projects.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Research and Development Expense (R&amp;D)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2021:</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340" w:hanging="328"/>
        <w:spacing w:after="0" w:line="28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CooperVision's R&amp;D expense increased in the three and six months ended April 30, 2021 compared to fiscal 2020, mainly due to MiSight and timing of R&amp;D projects. As a percentage of sales, CooperVision's R&amp;D expense remained relatively flat. CooperVision's R&amp;D activities are primarily focused on the development of contact lenses, manufacturing technology and process enhancements.</w:t>
      </w:r>
    </w:p>
    <w:p>
      <w:pPr>
        <w:spacing w:after="0" w:line="111" w:lineRule="exact"/>
        <w:rPr>
          <w:rFonts w:ascii="Arial" w:cs="Arial" w:eastAsia="Arial" w:hAnsi="Arial"/>
          <w:sz w:val="17"/>
          <w:szCs w:val="17"/>
          <w:color w:val="auto"/>
        </w:rPr>
      </w:pPr>
    </w:p>
    <w:p>
      <w:pPr>
        <w:ind w:left="660" w:right="120" w:hanging="328"/>
        <w:spacing w:after="0" w:line="29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CooperSurgical's R&amp;D expense decreased in the three and six months ended April 30, 2021 compared to fiscal 2020, mainly due to timing of R&amp;D projects and changes in headcount. CooperSurgical has not paused research programs during the COVID-19 pandemic and has maintained its spend on innovations and increased its spend on key regulatory investment areas to support our long-term objectives. As a percentage of sales, CooperSurgical's R&amp;D expense decreased, primarily due to an increase in net sales. CooperSurgical's R&amp;D activities are focused on upgrading existing and developing new products ranging from diagnostics, surgical devices to fertility instruments and solutions.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Amortization Expense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line="20" w:lineRule="exact"/>
              <w:rPr>
                <w:sz w:val="1"/>
                <w:szCs w:val="1"/>
                <w:color w:val="auto"/>
              </w:rPr>
            </w:pPr>
          </w:p>
        </w:tc>
      </w:tr>
      <w:tr>
        <w:trPr>
          <w:trHeight w:val="40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CooperVision's and CooperSurgical's amortization expense remained relatively flat in the three and six months ended April 30, 2021 compared to fiscal 2020. As a percentage of sales, CooperSurgical's amortization expense decreased, primarily due to an increase in 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25 %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12 %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20 %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25 %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w w:val="87"/>
              </w:rPr>
              <w:t>11 %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20 %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CooperVision's operating income increased as a percentage of net sales and in absolute dollars in the three and six months ended April 30, 2021 compared to the prior year periods, primarily due to an increase in net sales.</w:t>
      </w:r>
    </w:p>
    <w:p>
      <w:pPr>
        <w:spacing w:after="0" w:line="19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CooperSurgical's operating income increased as a percentage of net sales and in absolute dollars in the three and six months ended April 30, 2021 compared to the prior year periods, primarily due to an increase in net sales and a decrease in R&amp;D expenses.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Corporate operating loss decreased in the three and six months ended April 30, 2021 compared to the prior year periods, primarily due to lower professional fees and travel expenses as a result of the COVID-19 pandemic.</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 consolidated basis, operating income increased as a percentage of net sales and in absolute dollars primarily due to the increase in consolidated net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Net Sales</w:t>
            </w: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center"/>
              <w:ind w:left="22"/>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Net Sales</w:t>
            </w: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decreased as a percentage of net sales and in absolute dollars during the three and six months ended April 30, 2021 primarily due to lower interest rates and lower average debt balances compared to the prior year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Six Months</w:t>
            </w:r>
          </w:p>
        </w:tc>
        <w:tc>
          <w:tcPr>
            <w:tcW w:w="104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0" w:type="dxa"/>
            <w:vAlign w:val="bottom"/>
          </w:tcPr>
          <w:p>
            <w:pPr>
              <w:spacing w:after="0"/>
              <w:rPr>
                <w:sz w:val="12"/>
                <w:szCs w:val="12"/>
                <w:color w:val="auto"/>
              </w:rPr>
            </w:pPr>
          </w:p>
        </w:tc>
        <w:tc>
          <w:tcPr>
            <w:tcW w:w="1360" w:type="dxa"/>
            <w:vAlign w:val="bottom"/>
          </w:tcPr>
          <w:p>
            <w:pPr>
              <w:jc w:val="right"/>
              <w:ind w:right="676"/>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674"/>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16"/>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ind w:right="514"/>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gain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Foreign exchange (gain) loss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recognized in the first quarter of fiscal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 loss primarily resulted from the revaluation and settlement of foreign currency-denominated balances.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increased in the three and six months ended April 30, 2021, primarily due to an increase in defined benefit plan related income and gains on minority investments during the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4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effective tax rates for the three months ended April 30, 2021 and April 30, 2020 were 13.8% and (27.7)%, respectively. The increase was primarily due to changes in the geographical composition of pre-tax earnings. Our effective tax rate for the second quarter of fiscal 2021 was lower than the U.S. federal statutory tax rate primarily due to earnings in foreign jurisdictions with lower tax rates and excess tax benefits from share-based compensation.</w:t>
      </w:r>
    </w:p>
    <w:p>
      <w:pPr>
        <w:spacing w:after="0" w:line="17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Our effective tax rates for the six months ended April 30, 2021 and April 30, 2020 were (704.2)% and 4.2%, respectively. The decrease was primarily due to an intra-group transfer of intellectual property, as discussed below. Our effective tax rate for the six months ended April 30, 2021 was lower than the U.S. federal statutory tax rate primarily due to the intra-group transfer. Our effective tax rates for the six months ended April 30, 2021 and April 30, 2020 were otherwise lower than the U.S. federal statutory tax rate primarily due to earnings in foreign jurisdictions with lower tax rates and excess tax benefits from share-based compensation.</w:t>
      </w:r>
    </w:p>
    <w:p>
      <w:pPr>
        <w:spacing w:after="0" w:line="20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November 2020, we completed an intra-group transfer of certain intellectual property and related assets to a UK subsidiary as part of a group restructuring to establish headquarters operations in the UK. Income before income taxes resulting from this transfer is eliminated upon consolidation. The transfer resulted in a step-up of the UK tax-deductible basis in the intellectual property and goodwill, creating a temporary difference between the book basis and the tax basis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86"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these assets. As a result, we recognized a deferred tax asset of $1,987.9 million, with a corresponding income tax benefit, during the three months ended January 31,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several share-based compensation plans that are described in our Annual Report on Form 10-K for the fiscal year ended October 31, 2020. The compensation expense and related income tax benefit recognized in our Consolidated Statements of Income and Comprehensive Income for share-based awards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Periods Ended April 30,</w:t>
            </w: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2"/>
                <w:szCs w:val="12"/>
                <w:color w:val="auto"/>
              </w:rPr>
            </w:pPr>
          </w:p>
        </w:tc>
        <w:tc>
          <w:tcPr>
            <w:tcW w:w="122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cash flow of $192.6 million compared to $25.8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$49.9 million compared to $89.3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payments for acquisitions and others of $91.1 million compared to $1.8 million in the prior year period</w:t>
      </w:r>
    </w:p>
    <w:p>
      <w:pPr>
        <w:spacing w:after="0" w:line="171" w:lineRule="exact"/>
        <w:rPr>
          <w:rFonts w:ascii="Arial" w:cs="Arial" w:eastAsia="Arial" w:hAnsi="Arial"/>
          <w:sz w:val="18"/>
          <w:szCs w:val="18"/>
          <w:color w:val="auto"/>
        </w:rPr>
      </w:pPr>
    </w:p>
    <w:p>
      <w:pPr>
        <w:ind w:left="660" w:right="20" w:hanging="652"/>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provided by operations of $192.6 million offset by capital expenditures of $49.9 million resulted in positive free cash flow of $142.7 million, up $206.2 million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Highlights</w:t>
      </w:r>
    </w:p>
    <w:p>
      <w:pPr>
        <w:spacing w:after="0" w:line="17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cash flow of $340.3 million compared to $155.5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$105.8 million compared to $158.3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payments for acquisitions and others of $170.9 million compared to $11.2 million in the prior year period</w:t>
      </w:r>
    </w:p>
    <w:p>
      <w:pPr>
        <w:spacing w:after="0" w:line="171" w:lineRule="exact"/>
        <w:rPr>
          <w:rFonts w:ascii="Arial" w:cs="Arial" w:eastAsia="Arial" w:hAnsi="Arial"/>
          <w:sz w:val="18"/>
          <w:szCs w:val="18"/>
          <w:color w:val="auto"/>
        </w:rPr>
      </w:pPr>
    </w:p>
    <w:p>
      <w:pPr>
        <w:ind w:left="660" w:right="540" w:hanging="652"/>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provided by operations of $340.3 million offset by capital expenditures of $105.8 million resulted in positive free cash flow of $234.5 million, up $237.3 million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30, 2021</w:t>
            </w:r>
          </w:p>
        </w:tc>
        <w:tc>
          <w:tcPr>
            <w:tcW w:w="320" w:type="dxa"/>
            <w:vAlign w:val="bottom"/>
          </w:tcPr>
          <w:p>
            <w:pPr>
              <w:spacing w:after="0"/>
              <w:rPr>
                <w:sz w:val="14"/>
                <w:szCs w:val="14"/>
                <w:color w:val="auto"/>
              </w:rPr>
            </w:pPr>
          </w:p>
        </w:tc>
        <w:tc>
          <w:tcPr>
            <w:tcW w:w="1780" w:type="dxa"/>
            <w:vAlign w:val="bottom"/>
          </w:tcPr>
          <w:p>
            <w:pPr>
              <w:jc w:val="right"/>
              <w:ind w:right="453"/>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115.9</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33"/>
              <w:spacing w:after="0"/>
              <w:rPr>
                <w:sz w:val="20"/>
                <w:szCs w:val="20"/>
                <w:color w:val="auto"/>
              </w:rPr>
            </w:pPr>
            <w:r>
              <w:rPr>
                <w:rFonts w:ascii="Arial" w:cs="Arial" w:eastAsia="Arial" w:hAnsi="Arial"/>
                <w:sz w:val="18"/>
                <w:szCs w:val="18"/>
                <w:color w:val="auto"/>
              </w:rPr>
              <w:t>9,013.8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3"/>
              <w:spacing w:after="0"/>
              <w:rPr>
                <w:sz w:val="20"/>
                <w:szCs w:val="20"/>
                <w:color w:val="auto"/>
              </w:rPr>
            </w:pPr>
            <w:r>
              <w:rPr>
                <w:rFonts w:ascii="Arial" w:cs="Arial" w:eastAsia="Arial" w:hAnsi="Arial"/>
                <w:sz w:val="18"/>
                <w:szCs w:val="18"/>
                <w:color w:val="auto"/>
              </w:rPr>
              <w:t>6,737.5</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269.8</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33"/>
              <w:spacing w:after="0"/>
              <w:rPr>
                <w:sz w:val="20"/>
                <w:szCs w:val="20"/>
                <w:color w:val="auto"/>
              </w:rPr>
            </w:pPr>
            <w:r>
              <w:rPr>
                <w:rFonts w:ascii="Arial" w:cs="Arial" w:eastAsia="Arial" w:hAnsi="Arial"/>
                <w:sz w:val="18"/>
                <w:szCs w:val="18"/>
                <w:color w:val="auto"/>
              </w:rPr>
              <w:t>1,737.5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3"/>
              <w:spacing w:after="0"/>
              <w:rPr>
                <w:sz w:val="20"/>
                <w:szCs w:val="20"/>
                <w:color w:val="auto"/>
              </w:rPr>
            </w:pPr>
            <w:r>
              <w:rPr>
                <w:rFonts w:ascii="Arial" w:cs="Arial" w:eastAsia="Arial" w:hAnsi="Arial"/>
                <w:sz w:val="18"/>
                <w:szCs w:val="18"/>
                <w:color w:val="auto"/>
              </w:rPr>
              <w:t>1,793.2</w:t>
            </w:r>
          </w:p>
        </w:tc>
      </w:tr>
      <w:tr>
        <w:trPr>
          <w:trHeight w:val="22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6,162.8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3,824.8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Ratio of debt to equity</w:t>
            </w:r>
          </w:p>
        </w:tc>
        <w:tc>
          <w:tcPr>
            <w:tcW w:w="5560" w:type="dxa"/>
            <w:vAlign w:val="bottom"/>
          </w:tcPr>
          <w:p>
            <w:pPr>
              <w:jc w:val="right"/>
              <w:ind w:right="790"/>
              <w:spacing w:after="0"/>
              <w:rPr>
                <w:sz w:val="20"/>
                <w:szCs w:val="20"/>
                <w:color w:val="auto"/>
              </w:rPr>
            </w:pPr>
            <w:r>
              <w:rPr>
                <w:rFonts w:ascii="Arial" w:cs="Arial" w:eastAsia="Arial" w:hAnsi="Arial"/>
                <w:sz w:val="18"/>
                <w:szCs w:val="18"/>
                <w:color w:val="auto"/>
              </w:rPr>
              <w:t>0.28:1</w:t>
            </w:r>
          </w:p>
        </w:tc>
        <w:tc>
          <w:tcPr>
            <w:tcW w:w="1360" w:type="dxa"/>
            <w:vAlign w:val="bottom"/>
          </w:tcPr>
          <w:p>
            <w:pPr>
              <w:jc w:val="right"/>
              <w:spacing w:after="0"/>
              <w:rPr>
                <w:sz w:val="20"/>
                <w:szCs w:val="20"/>
                <w:color w:val="auto"/>
              </w:rPr>
            </w:pPr>
            <w:r>
              <w:rPr>
                <w:rFonts w:ascii="Arial" w:cs="Arial" w:eastAsia="Arial" w:hAnsi="Arial"/>
                <w:sz w:val="18"/>
                <w:szCs w:val="18"/>
                <w:color w:val="auto"/>
              </w:rPr>
              <w:t>0.47:1</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as a percentage of total capitalization</w:t>
            </w:r>
          </w:p>
        </w:tc>
        <w:tc>
          <w:tcPr>
            <w:tcW w:w="55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22 %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904"/>
        </w:trPr>
        <w:tc>
          <w:tcPr>
            <w:tcW w:w="4320" w:type="dxa"/>
            <w:vAlign w:val="bottom"/>
          </w:tcPr>
          <w:p>
            <w:pPr>
              <w:spacing w:after="0"/>
              <w:rPr>
                <w:sz w:val="24"/>
                <w:szCs w:val="24"/>
                <w:color w:val="auto"/>
              </w:rPr>
            </w:pPr>
          </w:p>
        </w:tc>
        <w:tc>
          <w:tcPr>
            <w:tcW w:w="5560" w:type="dxa"/>
            <w:vAlign w:val="bottom"/>
          </w:tcPr>
          <w:p>
            <w:pPr>
              <w:jc w:val="right"/>
              <w:ind w:right="407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working capital at April 30, 2021 from the end of fiscal 2020 was primarily due to:</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trade accounts receivable of $54.7 million primarily due to higher sales and timing of collections;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inventories of $11.6 million primarily due to higher sales and the build up of inventory for future product launches;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accounts payable of $34.4 million due to timing of payments,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other current liabilities of $10.5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cash and cash equivalents of $10.0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employee compensation and benefits of $8.0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prepaid expense and other current assets of $7.9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short-term debt of $3.3 million.</w:t>
      </w:r>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April 30, 2021, our inventory months on hand was 7.5 compared to 6.6 at October 31, 2020. The $11.6 million increase in inventories was primarily due to higher sales and the build up of inventory for future product launches.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days sales outstanding (DSO) were relatively consistent at 59 days at April 30, 2021, compared to 60 days at October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provided by operating activities increased by $184.8 million from $155.5 million in the first half of fiscal 2020 to $340.3 million in the first half of fiscal 2021. This increase in cash flow provided by operating activities primarily consists of:</w:t>
      </w:r>
    </w:p>
    <w:p>
      <w:pPr>
        <w:spacing w:after="0" w:line="116"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net income of $2,116.6 million from a net income of $102.0 million in the first half of fiscal 2020 to $2,218.6 million in the first half of fiscal 2021;</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$13.6 million in net changes in depreciation and amortization, from $139.4 million during the first half of fiscal 2020 to $153.0 million during the first half of fiscal 2021;</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$58.4 million in net cash flow from changes in operating capital, from $119.8 million outflow in the first half of fiscal 2020 to $61.4 million outflow in the first half of fiscal 2021,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of $1,974.0 million in the net changes in deferred income taxes. Refer to Note 6. Income Taxes for further information; and</w:t>
      </w:r>
    </w:p>
    <w:p>
      <w:pPr>
        <w:spacing w:after="0" w:line="23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from other non-cash items of $29.8 million, from $37.5 million during the first half of fiscal 2020 to $7.7 million during the first half of fiscal 2021.</w:t>
      </w:r>
    </w:p>
    <w:p>
      <w:pPr>
        <w:spacing w:after="0" w:line="200" w:lineRule="exact"/>
        <w:rPr>
          <w:sz w:val="20"/>
          <w:szCs w:val="20"/>
          <w:color w:val="auto"/>
        </w:rPr>
      </w:pPr>
    </w:p>
    <w:p>
      <w:pPr>
        <w:spacing w:after="0" w:line="29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recognized income tax benefit of $1,987.9 million. Refer to Note 6. Income Taxes for further information;</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of $136.9 million in operating income from $139.7 in the first half of fiscal 2020 to $276.6 million in the first half of fiscal 2021 primarily due to the increase in consolidated net sales and decrease in certain costs;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investment gain of $11.5 million. Refer to Note 2. Acquisitions for further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interest expense decrease of $11.9 primarily due to lower interest rates and lower average debt balances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$58.4 million increase in the net cash flow from changes in operating capital compared to the prior year period is primarily due to:</w:t>
      </w:r>
    </w:p>
    <w:p>
      <w:pPr>
        <w:spacing w:after="0" w:line="171" w:lineRule="exact"/>
        <w:rPr>
          <w:sz w:val="20"/>
          <w:szCs w:val="20"/>
          <w:color w:val="auto"/>
        </w:rPr>
      </w:pPr>
    </w:p>
    <w:p>
      <w:pPr>
        <w:ind w:left="660" w:right="2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$80.6 million increase in the net changes in accrued liabilities and other primarily due to impact from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prior year period and higher customer rebate accruals in current period as a result of higher sales;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$52.4 million increase in the net changes in inventories due to lower sales in prior year period;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$28.5 million increase in the net changes in income tax payable,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$97.2 million decrease in the net changes in trade and other receivables primarily due to timing of collections and higher sales.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$29.8 million decrease in non-cash items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investment gain of $11.5 million. Refer to Note 2. Acquisitions for further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$9.2 million decrease in the net changes in other long-term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$8.1 million decrease from effect of exchange rate change on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used in investing activities increased by $107.2 million to $276.7 million in the first half of fiscal 2021 from $169.5 million in the first half of fiscal 2020 due to:</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$161.6 million increase in payments made for acquisitions in the first half of fiscal 2021 compared to the prior year period, partially offset by;</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$52.5 million decrease in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flows from financing activities decreased by $87.4 million to $79.0 million cash outflow in the first half of fiscal 2021 compared to $8.4 million inflow in the first half of fiscal 2020, primarily due to:</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$1,375.7 million decrease in proceeds from long-term debt, primarily due to funds received from the 2020 Credit Agreement, partially offset by;</w:t>
      </w:r>
    </w:p>
    <w:p>
      <w:pPr>
        <w:spacing w:after="0" w:line="194"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$1,235.7 million decrease in repayments of long-term debt, primarily due to repayments of funds from the 2020 Credit Agreement in first half of fiscal 2021 compared to repayment of funds from the 2016 Credit Agreement in the prior year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$23.0 million decrease in repurchase of common stock compared to prior year period;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$15.4 million decrease in net repayments from short-term debt, primarily due to movements in short term loans.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October 16, 2020, the Company entered into a 364-day, $350.0 million, term loan agreement (the 2020 Term Loan Agreement) by and among the Company, the lenders party thereto and The Bank of Nova Scotia, as administrative agent which matures on October 15,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April 30,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6"/>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2020 Credit Agreement contains customary restrictive covenants, as well as financial covenants that require us to maintain a certain Total Leverage Ratio and Interest Coverage Ratio. As defined, in the 2020 Credit Agreement, we are required to maintain an Interest Coverage Ratio of at least 3.00 to</w:t>
      </w:r>
    </w:p>
    <w:p>
      <w:pPr>
        <w:ind w:right="20"/>
        <w:spacing w:after="0" w:line="253" w:lineRule="auto"/>
        <w:rPr>
          <w:sz w:val="20"/>
          <w:szCs w:val="20"/>
          <w:color w:val="auto"/>
        </w:rPr>
      </w:pPr>
      <w:r>
        <w:rPr>
          <w:rFonts w:ascii="Arial" w:cs="Arial" w:eastAsia="Arial" w:hAnsi="Arial"/>
          <w:sz w:val="18"/>
          <w:szCs w:val="18"/>
          <w:color w:val="auto"/>
        </w:rPr>
        <w:t>1.00, and a Total Leverage Ratio of no higher than 3.75 to 1.00. At April 30, 2021, we were in compliance with the Interest Coverage Ratio at 36.81 to 1.00 and the Total Leverage Ratio at 1.78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April 30, 2021, $334.8 million remained authorized for repurchase under the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repurchases during the six months ended April 30, 2021 and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Six Months</w:t>
            </w:r>
          </w:p>
        </w:tc>
        <w:tc>
          <w:tcPr>
            <w:tcW w:w="1400" w:type="dxa"/>
            <w:vAlign w:val="bottom"/>
            <w:tcBorders>
              <w:bottom w:val="single" w:sz="8" w:color="auto"/>
            </w:tcBorders>
          </w:tcPr>
          <w:p>
            <w:pPr>
              <w:spacing w:after="0"/>
              <w:rPr>
                <w:sz w:val="16"/>
                <w:szCs w:val="16"/>
                <w:color w:val="auto"/>
              </w:rPr>
            </w:pPr>
          </w:p>
        </w:tc>
      </w:tr>
      <w:tr>
        <w:trPr>
          <w:trHeight w:val="18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Periods Ended April 30,</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Average repurchase price per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296.88</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shares repurchased (in millions)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9, 2021, to stockholders of record on January 22,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non-GAAP financial measures that may be included in Management's Discussion and Analysis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2020. There have been no material changes in our policies from those previously discussed in our Form 10-K for the fiscal year October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Consolidated Condensed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ActivControl</w:t>
      </w:r>
      <w:r>
        <w:rPr>
          <w:rFonts w:ascii="Arial" w:cs="Arial" w:eastAsia="Arial" w:hAnsi="Arial"/>
          <w:sz w:val="22"/>
          <w:szCs w:val="22"/>
          <w:color w:val="auto"/>
          <w:vertAlign w:val="superscript"/>
        </w:rPr>
        <w:t>®</w:t>
      </w:r>
      <w:r>
        <w:rPr>
          <w:rFonts w:ascii="Arial" w:cs="Arial" w:eastAsia="Arial" w:hAnsi="Arial"/>
          <w:sz w:val="17"/>
          <w:szCs w:val="17"/>
          <w:color w:val="auto"/>
        </w:rPr>
        <w:t>, Aquaform</w:t>
      </w:r>
      <w:r>
        <w:rPr>
          <w:rFonts w:ascii="Arial" w:cs="Arial" w:eastAsia="Arial" w:hAnsi="Arial"/>
          <w:sz w:val="22"/>
          <w:szCs w:val="22"/>
          <w:color w:val="auto"/>
          <w:vertAlign w:val="superscript"/>
        </w:rPr>
        <w:t>®</w:t>
      </w:r>
      <w:r>
        <w:rPr>
          <w:rFonts w:ascii="Arial" w:cs="Arial" w:eastAsia="Arial" w:hAnsi="Arial"/>
          <w:sz w:val="17"/>
          <w:szCs w:val="17"/>
          <w:color w:val="auto"/>
        </w:rPr>
        <w:t>, Avaira Vitality</w:t>
      </w:r>
      <w:r>
        <w:rPr>
          <w:rFonts w:ascii="Arial" w:cs="Arial" w:eastAsia="Arial" w:hAnsi="Arial"/>
          <w:sz w:val="22"/>
          <w:szCs w:val="22"/>
          <w:color w:val="auto"/>
          <w:vertAlign w:val="superscript"/>
        </w:rPr>
        <w:t>®</w:t>
      </w:r>
      <w:r>
        <w:rPr>
          <w:rFonts w:ascii="Arial" w:cs="Arial" w:eastAsia="Arial" w:hAnsi="Arial"/>
          <w:sz w:val="17"/>
          <w:szCs w:val="17"/>
          <w:color w:val="auto"/>
        </w:rPr>
        <w:t>, Biofinity</w:t>
      </w:r>
      <w:r>
        <w:rPr>
          <w:rFonts w:ascii="Arial" w:cs="Arial" w:eastAsia="Arial" w:hAnsi="Arial"/>
          <w:sz w:val="22"/>
          <w:szCs w:val="22"/>
          <w:color w:val="auto"/>
          <w:vertAlign w:val="superscript"/>
        </w:rPr>
        <w:t>®</w:t>
      </w:r>
      <w:r>
        <w:rPr>
          <w:rFonts w:ascii="Arial" w:cs="Arial" w:eastAsia="Arial" w:hAnsi="Arial"/>
          <w:sz w:val="17"/>
          <w:szCs w:val="17"/>
          <w:color w:val="auto"/>
        </w:rPr>
        <w:t>,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MyDay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 is a registered trademark of The Cooper Companies, Inc., its affiliates and/or subsidiaries worldwide except in the United States where the use of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licensed. INSORB</w:t>
      </w:r>
      <w:r>
        <w:rPr>
          <w:rFonts w:ascii="Arial" w:cs="Arial" w:eastAsia="Arial" w:hAnsi="Arial"/>
          <w:sz w:val="22"/>
          <w:szCs w:val="22"/>
          <w:color w:val="auto"/>
          <w:vertAlign w:val="superscript"/>
        </w:rPr>
        <w:t>®</w:t>
      </w:r>
      <w:r>
        <w:rPr>
          <w:rFonts w:ascii="Arial" w:cs="Arial" w:eastAsia="Arial" w:hAnsi="Arial"/>
          <w:sz w:val="17"/>
          <w:szCs w:val="17"/>
          <w:color w:val="auto"/>
        </w:rPr>
        <w:t>, PARAGARD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CooperSurgical, Inc.</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Most of our operations outside the United States have their local currency as their functional currency. We are exposed to risks caused by changes in foreign exchange,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6, 2020, we entered into six interest rate swap contracts to hedge our exposure to changes in cash flows associated with our variable rate debt. The interest rate swap contracts became effective on April 6, 2020 and had maturities of seven years or less. As of April 30, 2021, the outstanding contracts have a total notional amount of $1.1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cross currency swaps or foreign currency forward contracts as of April 30, 2021.</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April 30, 2021, the Company had $813.6 million available under the 2020 Revolving Credit Facility and $850.0 million outstanding under the 2020 Term Loan Facility.</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16, 2020, we entered into a 364-day, $350.0 million, term loan agreement by and among us, the lenders party thereto and The Bank of Nova Scotia, as administrative agent which matures on October 15, 2021. We used the funds to partially repay outstanding borrowings under the 2020 Revolving Credit Facility. At April 30, 2021, the Company had $350.0 million outstanding under this agreement.</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interest rates were to increase or decrease by 1% or 100 basis points, quarterly interest expense would increase or decrease by approximately $1.3 million based on average debt outstanding, after consideration of our interest rate swap contracts, for the second quarter of fiscal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 13a-</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15(d) and 15d-15(d) of the Exchange Act that occurred during our second quarter of fiscal 2021,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legal proceedings is included in Note 12. Contingencies of this Quarterly Report on Form 10-Q.</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1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 October 31, 2020. In the first quarter of fiscal 2021, we updated some of our risk factors as described below. There have been no other material changes in our risk factors from those previously discussed in our Annual Report on Form 10-K for the fiscal year ended October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United Kingdom’s withdrawal from the EU may have a negative effect on global economic conditions, financial markets and our business.</w:t>
      </w:r>
    </w:p>
    <w:p>
      <w:pPr>
        <w:spacing w:after="0" w:line="26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a multinational company headquartered in the United States with worldwide operations, with significant business operations in Europe, including in the UK. Following a national referendum and enactment of legislation by the government of the UK, the UK formally withdrew from the EU and ratified a</w:t>
      </w:r>
    </w:p>
    <w:p>
      <w:pPr>
        <w:ind w:right="80"/>
        <w:spacing w:after="0" w:line="252" w:lineRule="auto"/>
        <w:rPr>
          <w:sz w:val="20"/>
          <w:szCs w:val="20"/>
          <w:color w:val="auto"/>
        </w:rPr>
      </w:pPr>
      <w:r>
        <w:rPr>
          <w:rFonts w:ascii="Arial" w:cs="Arial" w:eastAsia="Arial" w:hAnsi="Arial"/>
          <w:sz w:val="18"/>
          <w:szCs w:val="18"/>
          <w:color w:val="auto"/>
        </w:rPr>
        <w:t>trade and cooperation agreement governing its future relationship with the EU.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20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w:t>
      </w:r>
    </w:p>
    <w:p>
      <w:pPr>
        <w:spacing w:after="0" w:line="296" w:lineRule="auto"/>
        <w:rPr>
          <w:sz w:val="20"/>
          <w:szCs w:val="20"/>
          <w:color w:val="auto"/>
        </w:rPr>
      </w:pPr>
      <w:r>
        <w:rPr>
          <w:rFonts w:ascii="Arial" w:cs="Arial" w:eastAsia="Arial" w:hAnsi="Arial"/>
          <w:sz w:val="16"/>
          <w:szCs w:val="16"/>
          <w:color w:val="auto"/>
        </w:rPr>
        <w:t>certain financial markets or restrict our access to capital. Any of these factors could have a material adverse effect on our business, financial condition, cash flows and results of operations. Asset valuations, currency exchange rates and credit ratings have been and may continue to be subject to increased market volatility. Lack of clarity about future UK laws and regulations as the UK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decrease foreign direct investment in the UK, increase costs and disrupt supply chains.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April 30, 2021.</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second quarter of fiscal 2021, there were no share repurchases under the program. During the first quarter of 2021, we repurchased 69.6 thousand shares of the Company’s common stock for $24.8 million, at an average purchase price of $356.61 per share. At April 30, 2021, $334.8 million remained authorized for repurchase under the program.</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second quarter of fiscal 2020, we repurchased 160.8 thousand shares of the Company's common stock for $47.8 million, at an average purchase price of $296.88 per share. There was no share repurchase activity during the first quarter of fiscal 2020.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42" w:name="page43"/>
    <w:bookmarkEnd w:id="42"/>
    <w:p>
      <w:pPr>
        <w:jc w:val="center"/>
        <w:ind w:right="-1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tabs>
          <w:tab w:leader="none" w:pos="860" w:val="left"/>
        </w:tabs>
        <w:rPr>
          <w:sz w:val="20"/>
          <w:szCs w:val="20"/>
          <w:color w:val="auto"/>
        </w:rPr>
      </w:pPr>
      <w:r>
        <w:rPr>
          <w:rFonts w:ascii="Arial" w:cs="Arial" w:eastAsia="Arial" w:hAnsi="Arial"/>
          <w:sz w:val="18"/>
          <w:szCs w:val="18"/>
          <w:u w:val="single" w:color="auto"/>
          <w:color w:val="auto"/>
        </w:rPr>
        <w:t>Number</w:t>
        <w:tab/>
        <w:t>Description</w:t>
      </w:r>
    </w:p>
    <w:p>
      <w:pPr>
        <w:spacing w:after="0" w:line="101"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5">
        <w:r>
          <w:rPr>
            <w:rFonts w:ascii="Arial" w:cs="Arial" w:eastAsia="Arial" w:hAnsi="Arial"/>
            <w:sz w:val="16"/>
            <w:szCs w:val="16"/>
            <w:u w:val="single" w:color="auto"/>
            <w:color w:val="0000FF"/>
          </w:rPr>
          <w:t>Certification of the Chief Executive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6">
        <w:r>
          <w:rPr>
            <w:rFonts w:ascii="Arial" w:cs="Arial" w:eastAsia="Arial" w:hAnsi="Arial"/>
            <w:sz w:val="16"/>
            <w:szCs w:val="16"/>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7">
        <w:r>
          <w:rPr>
            <w:rFonts w:ascii="Arial" w:cs="Arial" w:eastAsia="Arial" w:hAnsi="Arial"/>
            <w:sz w:val="16"/>
            <w:szCs w:val="16"/>
            <w:u w:val="single" w:color="auto"/>
            <w:color w:val="0000FF"/>
          </w:rPr>
          <w:t>Certification of the Chief Executive Officer, pursuant to 18 U.S.C. Section 1350</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8">
        <w:r>
          <w:rPr>
            <w:rFonts w:ascii="Arial" w:cs="Arial" w:eastAsia="Arial" w:hAnsi="Arial"/>
            <w:sz w:val="16"/>
            <w:szCs w:val="16"/>
            <w:u w:val="single" w:color="auto"/>
            <w:color w:val="0000FF"/>
          </w:rPr>
          <w:t>Certification of the Chief Financial Officer, pursuant to 18 U.S.C. Section 1350</w:t>
        </w:r>
      </w:hyperlink>
    </w:p>
    <w:p>
      <w:pPr>
        <w:spacing w:after="0" w:line="117" w:lineRule="exact"/>
        <w:rPr>
          <w:sz w:val="20"/>
          <w:szCs w:val="20"/>
          <w:color w:val="auto"/>
        </w:rPr>
      </w:pPr>
    </w:p>
    <w:p>
      <w:pPr>
        <w:ind w:left="880" w:hanging="687"/>
        <w:spacing w:after="0" w:line="232"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The following materials from the Company's Quarterly Report on Form 10-Q for the three and six months period ended April 30, 2021 formatted in Inline XBRL (Extensible Business Reporting Language): (i) Consolidated Statements of Income and Comprehensive Income, (ii) Consolidated Condensed Balance Sheets, (iii) Consolidated Condensed Statements of Stockholders' Equity, (iv) Consolidated Condensed Statements of Cash Flows and (v) related Notes to Consolidated Condensed Financial Statements.</w:t>
      </w:r>
    </w:p>
    <w:p>
      <w:pPr>
        <w:spacing w:after="0" w:line="9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43" w:name="page44"/>
    <w:bookmarkEnd w:id="43"/>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June 4, 2021</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Executive Vice President, Chief Financial Officer &amp;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June 4, 2021</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340"/>
          </w:cols>
          <w:pgMar w:left="320" w:top="800" w:right="1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4, 2021</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4, 2021</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April 30, 2021,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June 4,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April 30, 2021,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June 4,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2021-06-04T15:06:11Z</dcterms:created>
  <dcterms:modified xsi:type="dcterms:W3CDTF">2021-06-04T15:06:11Z</dcterms:modified>
</cp:coreProperties>
</file>