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862"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24" w:lineRule="exact"/>
        <w:rPr>
          <w:sz w:val="24"/>
          <w:szCs w:val="24"/>
          <w:color w:val="auto"/>
        </w:rPr>
      </w:pPr>
    </w:p>
    <w:p>
      <w:pPr>
        <w:sectPr>
          <w:pgSz w:w="11900" w:h="16838" w:orient="portrait"/>
          <w:cols w:equalWidth="0" w:num="2">
            <w:col w:w="1360" w:space="720"/>
            <w:col w:w="9160"/>
          </w:cols>
          <w:pgMar w:left="320" w:top="86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April 30, 2024</w:t>
      </w:r>
    </w:p>
    <w:p>
      <w:pPr>
        <w:sectPr>
          <w:pgSz w:w="11900" w:h="16838" w:orient="portrait"/>
          <w:cols w:equalWidth="0" w:num="1">
            <w:col w:w="11240"/>
          </w:cols>
          <w:pgMar w:left="320" w:top="862" w:right="339" w:bottom="1440" w:gutter="0" w:footer="0" w:header="0"/>
          <w:type w:val="continuous"/>
        </w:sectPr>
      </w:pPr>
    </w:p>
    <w:p>
      <w:pPr>
        <w:spacing w:after="0" w:line="102"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1" w:lineRule="exact"/>
        <w:rPr>
          <w:sz w:val="24"/>
          <w:szCs w:val="24"/>
          <w:color w:val="auto"/>
        </w:rPr>
      </w:pPr>
    </w:p>
    <w:p>
      <w:pPr>
        <w:sectPr>
          <w:pgSz w:w="11900" w:h="16838" w:orient="portrait"/>
          <w:cols w:equalWidth="0" w:num="2">
            <w:col w:w="1360" w:space="720"/>
            <w:col w:w="9160"/>
          </w:cols>
          <w:pgMar w:left="320" w:top="862" w:right="33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sectPr>
          <w:pgSz w:w="11900" w:h="16838" w:orient="portrait"/>
          <w:cols w:equalWidth="0" w:num="2">
            <w:col w:w="6100" w:space="640"/>
            <w:col w:w="4500"/>
          </w:cols>
          <w:pgMar w:left="320" w:top="86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1-8597</w:t>
      </w:r>
    </w:p>
    <w:p>
      <w:pPr>
        <w:spacing w:after="0" w:line="6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862" w:right="339" w:bottom="1440" w:gutter="0" w:footer="0" w:header="0"/>
          <w:type w:val="continuous"/>
        </w:sectPr>
      </w:pPr>
    </w:p>
    <w:p>
      <w:pPr>
        <w:spacing w:after="0" w:line="17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94-2657368</w:t>
      </w:r>
    </w:p>
    <w:p>
      <w:pPr>
        <w:spacing w:after="0" w:line="37" w:lineRule="exact"/>
        <w:rPr>
          <w:sz w:val="24"/>
          <w:szCs w:val="24"/>
          <w:color w:val="auto"/>
        </w:rPr>
      </w:pPr>
    </w:p>
    <w:p>
      <w:pPr>
        <w:sectPr>
          <w:pgSz w:w="11900" w:h="16838" w:orient="portrait"/>
          <w:cols w:equalWidth="0" w:num="2">
            <w:col w:w="7480" w:space="720"/>
            <w:col w:w="3040"/>
          </w:cols>
          <w:pgMar w:left="320" w:top="862" w:right="33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2">
            <w:col w:w="7360" w:space="720"/>
            <w:col w:w="3160"/>
          </w:cols>
          <w:pgMar w:left="320" w:top="862" w:right="33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San Ramon, California 94583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(925) 460-3600</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6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May 24, 2024, 199,119,880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INDEX</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7"/>
                <w:szCs w:val="17"/>
                <w:color w:val="auto"/>
              </w:rPr>
              <w:t>Page No.</w:t>
            </w:r>
          </w:p>
        </w:tc>
      </w:tr>
      <w:tr>
        <w:trPr>
          <w:trHeight w:val="162"/>
        </w:trPr>
        <w:tc>
          <w:tcPr>
            <w:tcW w:w="1320" w:type="dxa"/>
            <w:vAlign w:val="bottom"/>
            <w:gridSpan w:val="3"/>
          </w:tcPr>
          <w:p>
            <w:pPr>
              <w:spacing w:after="0" w:line="162" w:lineRule="exact"/>
              <w:rPr>
                <w:sz w:val="20"/>
                <w:szCs w:val="20"/>
                <w:color w:val="auto"/>
              </w:rPr>
            </w:pPr>
            <w:r>
              <w:rPr>
                <w:rFonts w:ascii="Times New Roman" w:cs="Times New Roman" w:eastAsia="Times New Roman" w:hAnsi="Times New Roman"/>
                <w:sz w:val="17"/>
                <w:szCs w:val="17"/>
                <w:color w:val="auto"/>
              </w:rPr>
              <w:t>PART I.</w:t>
            </w:r>
          </w:p>
        </w:tc>
        <w:tc>
          <w:tcPr>
            <w:tcW w:w="2140" w:type="dxa"/>
            <w:vAlign w:val="bottom"/>
            <w:tcBorders>
              <w:bottom w:val="single" w:sz="8" w:color="0000FF"/>
            </w:tcBorders>
            <w:gridSpan w:val="7"/>
          </w:tcPr>
          <w:p>
            <w:pPr>
              <w:spacing w:after="0" w:line="162" w:lineRule="exact"/>
              <w:rPr>
                <w:sz w:val="20"/>
                <w:szCs w:val="20"/>
                <w:color w:val="auto"/>
              </w:rPr>
            </w:pPr>
            <w:r>
              <w:rPr>
                <w:rFonts w:ascii="Times New Roman" w:cs="Times New Roman" w:eastAsia="Times New Roman" w:hAnsi="Times New Roman"/>
                <w:sz w:val="17"/>
                <w:szCs w:val="17"/>
                <w:color w:val="0000FF"/>
                <w:w w:val="98"/>
              </w:rPr>
              <w:t>FINANCIAL INFORMATION</w:t>
            </w:r>
          </w:p>
        </w:tc>
        <w:tc>
          <w:tcPr>
            <w:tcW w:w="6160" w:type="dxa"/>
            <w:vAlign w:val="bottom"/>
            <w:gridSpan w:val="11"/>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Unaudited Financial Statements</w:t>
            </w:r>
          </w:p>
        </w:tc>
        <w:tc>
          <w:tcPr>
            <w:tcW w:w="610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Condensed Statements of Income and Comprehensive Income</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Condensed Balance Sheets</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Consolidated Condensed Statements of Stockholders' Equity</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Condensed Statements of Cash Flows</w:t>
            </w:r>
          </w:p>
        </w:tc>
        <w:tc>
          <w:tcPr>
            <w:tcW w:w="404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Notes to Consolidated Condensed Financial Statements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3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6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 About Market Risk</w:t>
            </w: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Controls and Procedures</w:t>
            </w:r>
          </w:p>
        </w:tc>
        <w:tc>
          <w:tcPr>
            <w:tcW w:w="2380" w:type="dxa"/>
            <w:vAlign w:val="bottom"/>
            <w:gridSpan w:val="7"/>
          </w:tcPr>
          <w:p>
            <w:pPr>
              <w:spacing w:after="0"/>
              <w:rPr>
                <w:sz w:val="24"/>
                <w:szCs w:val="24"/>
                <w:color w:val="auto"/>
              </w:rPr>
            </w:pPr>
          </w:p>
        </w:tc>
        <w:tc>
          <w:tcPr>
            <w:tcW w:w="4240" w:type="dxa"/>
            <w:vAlign w:val="bottom"/>
            <w:gridSpan w:val="6"/>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PART II.</w:t>
            </w:r>
          </w:p>
        </w:tc>
        <w:tc>
          <w:tcPr>
            <w:tcW w:w="83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520" w:type="dxa"/>
            <w:vAlign w:val="bottom"/>
            <w:gridSpan w:val="1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380" w:type="dxa"/>
            <w:vAlign w:val="bottom"/>
          </w:tcPr>
          <w:p>
            <w:pPr>
              <w:spacing w:after="0"/>
              <w:rPr>
                <w:sz w:val="24"/>
                <w:szCs w:val="24"/>
                <w:color w:val="auto"/>
              </w:rPr>
            </w:pP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3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418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Mine Safety Disclosures</w:t>
            </w:r>
          </w:p>
        </w:tc>
        <w:tc>
          <w:tcPr>
            <w:tcW w:w="520" w:type="dxa"/>
            <w:vAlign w:val="bottom"/>
            <w:gridSpan w:val="3"/>
          </w:tcPr>
          <w:p>
            <w:pPr>
              <w:spacing w:after="0"/>
              <w:rPr>
                <w:sz w:val="24"/>
                <w:szCs w:val="24"/>
                <w:color w:val="auto"/>
              </w:rPr>
            </w:pPr>
          </w:p>
        </w:tc>
        <w:tc>
          <w:tcPr>
            <w:tcW w:w="6100" w:type="dxa"/>
            <w:vAlign w:val="bottom"/>
            <w:gridSpan w:val="10"/>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2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62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6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Item 1. Unaudited Financial Statements</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Income and Comprehensive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1,735.9</w:t>
            </w:r>
          </w:p>
        </w:tc>
        <w:tc>
          <w:tcPr>
            <w:tcW w:w="0" w:type="dxa"/>
            <w:vAlign w:val="bottom"/>
          </w:tcPr>
          <w:p>
            <w:pPr>
              <w:spacing w:after="0"/>
              <w:rPr>
                <w:sz w:val="1"/>
                <w:szCs w:val="1"/>
                <w:color w:val="auto"/>
              </w:rPr>
            </w:pPr>
          </w:p>
        </w:tc>
      </w:tr>
      <w:tr>
        <w:trPr>
          <w:trHeight w:val="22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594.5</w:t>
            </w: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1,141.4</w:t>
            </w:r>
          </w:p>
        </w:tc>
        <w:tc>
          <w:tcPr>
            <w:tcW w:w="0" w:type="dxa"/>
            <w:vAlign w:val="bottom"/>
          </w:tcPr>
          <w:p>
            <w:pPr>
              <w:spacing w:after="0"/>
              <w:rPr>
                <w:sz w:val="1"/>
                <w:szCs w:val="1"/>
                <w:color w:val="auto"/>
              </w:rPr>
            </w:pPr>
          </w:p>
        </w:tc>
      </w:t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738.4</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r>
        <w:trPr>
          <w:trHeight w:val="22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0" w:type="dxa"/>
            <w:vAlign w:val="bottom"/>
          </w:tcPr>
          <w:p>
            <w:pPr>
              <w:spacing w:after="0"/>
              <w:rPr>
                <w:sz w:val="1"/>
                <w:szCs w:val="1"/>
                <w:color w:val="auto"/>
              </w:rPr>
            </w:pPr>
          </w:p>
        </w:tc>
      </w:t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 (Note 6)</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(Note 7)*:</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shares used to compute earnings per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9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flow hedges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6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(22.0)</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60" w:right="640" w:hanging="328"/>
        <w:spacing w:after="0" w:line="281" w:lineRule="auto"/>
        <w:tabs>
          <w:tab w:leader="none" w:pos="65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Balance Sheets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200" w:type="dxa"/>
            <w:vAlign w:val="bottom"/>
          </w:tcPr>
          <w:p>
            <w:pPr>
              <w:spacing w:after="0"/>
              <w:rPr>
                <w:sz w:val="20"/>
                <w:szCs w:val="20"/>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0" w:type="dxa"/>
            <w:vAlign w:val="bottom"/>
          </w:tcPr>
          <w:p>
            <w:pPr>
              <w:spacing w:after="0"/>
              <w:rPr>
                <w:sz w:val="1"/>
                <w:szCs w:val="1"/>
                <w:color w:val="auto"/>
              </w:rPr>
            </w:pPr>
          </w:p>
        </w:tc>
      </w:tr>
      <w:tr>
        <w:trPr>
          <w:trHeight w:val="167"/>
        </w:trPr>
        <w:tc>
          <w:tcPr>
            <w:tcW w:w="7400" w:type="dxa"/>
            <w:vAlign w:val="bottom"/>
          </w:tcPr>
          <w:p>
            <w:pPr>
              <w:ind w:left="360"/>
              <w:spacing w:after="0" w:line="167" w:lineRule="exact"/>
              <w:rPr>
                <w:sz w:val="20"/>
                <w:szCs w:val="20"/>
                <w:color w:val="auto"/>
              </w:rPr>
            </w:pPr>
            <w:r>
              <w:rPr>
                <w:rFonts w:ascii="Times New Roman" w:cs="Times New Roman" w:eastAsia="Times New Roman" w:hAnsi="Times New Roman"/>
                <w:sz w:val="17"/>
                <w:szCs w:val="17"/>
                <w:color w:val="auto"/>
              </w:rPr>
              <w:t>Trade accounts receivable, net of allowance for credit losses of $39.9 at April 30, 2024, and $31.3 at</w:t>
            </w:r>
          </w:p>
        </w:tc>
        <w:tc>
          <w:tcPr>
            <w:tcW w:w="2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609.7</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October 31, 2023</w:t>
            </w: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 (Note 3)</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1,704.9</w:t>
            </w:r>
          </w:p>
        </w:tc>
        <w:tc>
          <w:tcPr>
            <w:tcW w:w="0" w:type="dxa"/>
            <w:vAlign w:val="bottom"/>
          </w:tcPr>
          <w:p>
            <w:pPr>
              <w:spacing w:after="0"/>
              <w:rPr>
                <w:sz w:val="1"/>
                <w:szCs w:val="1"/>
                <w:color w:val="auto"/>
              </w:rPr>
            </w:pP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1,632.6</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3,624.5</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intangibles, net (Note 4)</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2,349.5</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w:t>
            </w:r>
          </w:p>
        </w:tc>
        <w:tc>
          <w:tcPr>
            <w:tcW w:w="0" w:type="dxa"/>
            <w:vAlign w:val="bottom"/>
          </w:tcPr>
          <w:p>
            <w:pPr>
              <w:spacing w:after="0"/>
              <w:rPr>
                <w:sz w:val="1"/>
                <w:szCs w:val="1"/>
                <w:color w:val="auto"/>
              </w:rPr>
            </w:pPr>
          </w:p>
        </w:tc>
      </w:tr>
      <w:tr>
        <w:trPr>
          <w:trHeight w:val="252"/>
        </w:trPr>
        <w:tc>
          <w:tcPr>
            <w:tcW w:w="7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Short-term debt (Note 5)</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969.0</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(Note 5)</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tax payable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4,107.9</w:t>
            </w:r>
          </w:p>
        </w:tc>
        <w:tc>
          <w:tcPr>
            <w:tcW w:w="0" w:type="dxa"/>
            <w:vAlign w:val="bottom"/>
          </w:tcPr>
          <w:p>
            <w:pPr>
              <w:spacing w:after="0"/>
              <w:rPr>
                <w:sz w:val="1"/>
                <w:szCs w:val="1"/>
                <w:color w:val="auto"/>
              </w:rPr>
            </w:pP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Contingencies (Note 10)</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Preferred stock, $0.10 par value, 1.0 shares authorized, zero shares issued or outstanding</w:t>
            </w:r>
          </w:p>
        </w:tc>
        <w:tc>
          <w:tcPr>
            <w:tcW w:w="26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360"/>
              <w:spacing w:after="0" w:line="171" w:lineRule="exact"/>
              <w:rPr>
                <w:sz w:val="20"/>
                <w:szCs w:val="20"/>
                <w:color w:val="auto"/>
              </w:rPr>
            </w:pPr>
            <w:r>
              <w:rPr>
                <w:rFonts w:ascii="Times New Roman" w:cs="Times New Roman" w:eastAsia="Times New Roman" w:hAnsi="Times New Roman"/>
                <w:sz w:val="17"/>
                <w:szCs w:val="17"/>
                <w:color w:val="auto"/>
              </w:rPr>
              <w:t>Common stock, $0.10 par value, 480.0 shares authorized, 216.8 issued and 199.1 outstanding at</w:t>
            </w:r>
          </w:p>
        </w:tc>
        <w:tc>
          <w:tcPr>
            <w:tcW w:w="2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April 30, 2024, and 215.8 issued and 198.1 outstanding at October 31, 2023</w:t>
            </w:r>
          </w:p>
        </w:tc>
        <w:tc>
          <w:tcPr>
            <w:tcW w:w="2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1,817.2</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6,876.1</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Treasury stock at cost: 17.7 shares at April 30, 2024, and 17.7 shares at October 31, 2023</w:t>
            </w:r>
          </w:p>
        </w:tc>
        <w:tc>
          <w:tcPr>
            <w:tcW w:w="2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Cooper stockholders’ equity</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7,550.8</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Stockholders’ equity (Note 9)</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252"/>
        </w:trPr>
        <w:tc>
          <w:tcPr>
            <w:tcW w:w="7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660" w:right="640" w:hanging="328"/>
        <w:spacing w:after="0" w:line="281" w:lineRule="auto"/>
        <w:tabs>
          <w:tab w:leader="none" w:pos="65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ectPr>
          <w:pgSz w:w="11900" w:h="16838" w:orient="portrait"/>
          <w:cols w:equalWidth="0" w:num="1">
            <w:col w:w="11240"/>
          </w:cols>
          <w:pgMar w:left="320" w:top="1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2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November 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$ 1,749.4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$ 6,584.9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(714.5)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7,174.7</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Dividends on common stock ($0.03 per</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52"/>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31, 2023*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$ 6,668.0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7,335.7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6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20" w:type="dxa"/>
            <w:vAlign w:val="bottom"/>
            <w:tcBorders>
              <w:top w:val="single" w:sz="8" w:color="CCEEFF"/>
            </w:tcBorders>
            <w:vMerge w:val="continue"/>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6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April 30,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$ 1,784.5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$ 6,707.8</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(712.3)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7,378.0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600" w:hanging="328"/>
        <w:spacing w:after="0" w:line="281" w:lineRule="auto"/>
        <w:tabs>
          <w:tab w:leader="none" w:pos="65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8"/>
                <w:szCs w:val="8"/>
                <w:color w:val="auto"/>
              </w:rPr>
            </w:pPr>
          </w:p>
        </w:tc>
        <w:tc>
          <w:tcPr>
            <w:tcW w:w="10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November 1, 2023*</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$ 1,817.2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$ 6,876.1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(710.3)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January 31, 2024*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$ 1,847.4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(422.0)</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$ 6,957.3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(709.2)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7,695.3</w:t>
            </w:r>
          </w:p>
        </w:tc>
        <w:tc>
          <w:tcPr>
            <w:tcW w:w="0" w:type="dxa"/>
            <w:vAlign w:val="bottom"/>
          </w:tcPr>
          <w:p>
            <w:pPr>
              <w:spacing w:after="0"/>
              <w:rPr>
                <w:sz w:val="1"/>
                <w:szCs w:val="1"/>
                <w:color w:val="auto"/>
              </w:rPr>
            </w:pPr>
          </w:p>
        </w:tc>
      </w:tr>
      <w:tr>
        <w:trPr>
          <w:trHeight w:val="45"/>
        </w:trPr>
        <w:tc>
          <w:tcPr>
            <w:tcW w:w="28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6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April 30, 2024*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$ 1,866.7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$ 7,046.2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(708.3)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7,803.9</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640" w:hanging="328"/>
        <w:spacing w:after="0" w:line="281" w:lineRule="auto"/>
        <w:tabs>
          <w:tab w:leader="none" w:pos="65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Cash Flows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170.1</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1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Accrual for acquisition termination fee</w:t>
            </w:r>
          </w:p>
        </w:tc>
        <w:tc>
          <w:tcPr>
            <w:tcW w:w="1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changes in operating capital</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non-cash items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Acquisitions of businesses and assets, net of cash acquired, and other</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long-term debt, net of issuance costs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1,199.3</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(985.5)</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repayments of short-term debt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proceeds related to share-based compensation awards</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1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Issuance of common stock for employee stock purchase plan</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w:t>
            </w:r>
          </w:p>
        </w:tc>
      </w:tr>
      <w:tr>
        <w:trPr>
          <w:trHeight w:val="22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flow information:</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3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 General</w:t>
      </w:r>
    </w:p>
    <w:p>
      <w:pPr>
        <w:spacing w:after="0" w:line="25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20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2023. The Consolidated Condensed Financial Statements include all adjustments (consisting only of normal recurring adjustments) and accruals necessary in the judgment of management for a fair presentation of the results for the interim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Policies</w:t>
      </w:r>
    </w:p>
    <w:p>
      <w:pPr>
        <w:spacing w:after="0" w:line="246"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17"/>
          <w:szCs w:val="17"/>
          <w:color w:val="auto"/>
        </w:rPr>
        <w:t>There have been no material changes to our significant accounting policies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described in our Annual Report on Form 10-K for the fiscal year ended October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Estimates</w:t>
      </w:r>
    </w:p>
    <w:p>
      <w:pPr>
        <w:spacing w:after="0" w:line="2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Split</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The par value of the common stock remains at $0.10 per share. Accordingly, an amount equal to the par value of the increased shares resulting from the stock split was reclassified from "Additional paid-in capital" to "Common stock". All share and per share information has been retroactively adjusted to reflect the stock split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Issued But Not Yet Adopted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ASU 2023-09, </w:t>
      </w:r>
      <w:r>
        <w:rPr>
          <w:rFonts w:ascii="Times New Roman" w:cs="Times New Roman" w:eastAsia="Times New Roman" w:hAnsi="Times New Roman"/>
          <w:sz w:val="17"/>
          <w:szCs w:val="17"/>
          <w:i w:val="1"/>
          <w:iCs w:val="1"/>
          <w:color w:val="auto"/>
        </w:rPr>
        <w:t>Income Taxes (Topic 740): Improvements to Income Tax Disclosures.</w:t>
      </w:r>
    </w:p>
    <w:p>
      <w:pPr>
        <w:spacing w:after="0" w:line="1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w:t>
      </w:r>
    </w:p>
    <w:p>
      <w:pPr>
        <w:spacing w:after="0" w:line="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color w:val="auto"/>
        </w:rPr>
        <w:t>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enhances the</w:t>
      </w:r>
    </w:p>
    <w:p>
      <w:pPr>
        <w:spacing w:after="0" w:line="16"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disclosures required for operating segments in our annual and interim consolidated financial statements. The ASU is effective for us beginning on November 1, 2024, and will be applied retrospectively. Early adoption is permitted. We are currently evaluating the impact of adopting this ASU on our consolidated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 and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 Acquisitions and Joint Venture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acquisitions were funded by cash generated from operations or facility borrowings.</w:t>
      </w:r>
    </w:p>
    <w:p>
      <w:pPr>
        <w:spacing w:after="0" w:line="2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1" w:lineRule="exact"/>
        <w:rPr>
          <w:sz w:val="20"/>
          <w:szCs w:val="20"/>
          <w:color w:val="auto"/>
        </w:rPr>
      </w:pPr>
    </w:p>
    <w:p>
      <w:pPr>
        <w:ind w:right="120" w:firstLine="8"/>
        <w:spacing w:after="0" w:line="209"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To further clarify the policy detailed in our Annual Report on Form 10-K for the fiscal year ended October 31, 2023, the current portion of the deferred revenue balances at the beginning of each period presented were generally fully recognized in a ratable manner in the subsequent 12-month period. We recognized revenue of approximately $31.0 million and $62.0 million for the three and six months ended April 30, 2024, respectively, that was included in the deferred revenue balance at January 31, 2024, and October 31, 2023. We recognized revenue of approximately $27.0 million and $50.0 million for the three and six months ended April 30, 2023, respectively, that was included in the deferred revenue balance at January 31, 2023, and October 31, 2022.</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acquired primarily comprised of $157.9 million of technologies, $26.6 million of customer relationship related intangibles, and $107.2 million of goodwill.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goodwill is deductible for tax purposes.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Venture</w:t>
      </w:r>
    </w:p>
    <w:p>
      <w:pPr>
        <w:spacing w:after="0" w:line="26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CooperVision and Essilor International SAS (Essilor) executed a Contribution Agreement and a Stock Purchase Agreement (the “Agreements”) in March 2022 to form a joint venture in SightGlass Vision, Inc. (SGV), which is a medical device company developing spectacle lenses for myopia management. Essilor paid CooperVision $52.1 million in exchange for a 50% interest in SGV and their proportionate share of the revenue payments. As part of the Agreements, each party contributed their interest in SGV and $10 million in cash. Prior to March 2022, CooperVision owned 100% of SGV.</w:t>
      </w:r>
    </w:p>
    <w:p>
      <w:pPr>
        <w:spacing w:after="0" w:line="209"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7"/>
          <w:szCs w:val="17"/>
          <w:color w:val="auto"/>
        </w:rPr>
        <w:t>Further information regarding the joint venture is included in the notes to our consolidated financial statements in our Annual Report on Form 10-K for the fiscal year ended October 31, 2023.</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Note 3. Inventories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r>
      <w:tr>
        <w:trPr>
          <w:trHeight w:val="226"/>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r>
      <w:tr>
        <w:trPr>
          <w:trHeight w:val="227"/>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inventories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735.6</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4.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780" w:type="dxa"/>
            <w:vAlign w:val="bottom"/>
            <w:gridSpan w:val="3"/>
          </w:tcPr>
          <w:p>
            <w:pPr>
              <w:ind w:left="82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248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40" w:type="dxa"/>
            <w:vAlign w:val="bottom"/>
          </w:tcPr>
          <w:p>
            <w:pPr>
              <w:jc w:val="center"/>
              <w:ind w:left="55"/>
              <w:spacing w:after="0" w:line="190" w:lineRule="exact"/>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0" w:type="dxa"/>
            <w:vAlign w:val="bottom"/>
          </w:tcPr>
          <w:p>
            <w:pPr>
              <w:spacing w:after="0"/>
              <w:rPr>
                <w:sz w:val="1"/>
                <w:szCs w:val="1"/>
                <w:color w:val="auto"/>
              </w:rPr>
            </w:pPr>
          </w:p>
        </w:tc>
      </w:tr>
      <w:tr>
        <w:trPr>
          <w:trHeight w:val="216"/>
        </w:trPr>
        <w:tc>
          <w:tcPr>
            <w:tcW w:w="120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400" w:type="dxa"/>
            <w:vAlign w:val="bottom"/>
          </w:tcPr>
          <w:p>
            <w:pPr>
              <w:spacing w:after="0"/>
              <w:rPr>
                <w:sz w:val="18"/>
                <w:szCs w:val="18"/>
                <w:color w:val="auto"/>
              </w:rPr>
            </w:pPr>
          </w:p>
        </w:tc>
        <w:tc>
          <w:tcPr>
            <w:tcW w:w="164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Amortization Period</w:t>
            </w:r>
          </w:p>
        </w:tc>
        <w:tc>
          <w:tcPr>
            <w:tcW w:w="0" w:type="dxa"/>
            <w:vAlign w:val="bottom"/>
          </w:tcPr>
          <w:p>
            <w:pPr>
              <w:spacing w:after="0"/>
              <w:rPr>
                <w:sz w:val="1"/>
                <w:szCs w:val="1"/>
                <w:color w:val="auto"/>
              </w:rPr>
            </w:pPr>
          </w:p>
        </w:tc>
      </w:tr>
      <w:tr>
        <w:trPr>
          <w:trHeight w:val="27"/>
        </w:trPr>
        <w:tc>
          <w:tcPr>
            <w:tcW w:w="1200" w:type="dxa"/>
            <w:vAlign w:val="bottom"/>
            <w:vMerge w:val="continue"/>
          </w:tcPr>
          <w:p>
            <w:pPr>
              <w:spacing w:after="0"/>
              <w:rPr>
                <w:sz w:val="2"/>
                <w:szCs w:val="2"/>
                <w:color w:val="auto"/>
              </w:rPr>
            </w:pPr>
          </w:p>
        </w:tc>
        <w:tc>
          <w:tcPr>
            <w:tcW w:w="1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80" w:type="dxa"/>
            <w:vAlign w:val="bottom"/>
            <w:vMerge w:val="continue"/>
          </w:tcPr>
          <w:p>
            <w:pPr>
              <w:spacing w:after="0"/>
              <w:rPr>
                <w:sz w:val="2"/>
                <w:szCs w:val="2"/>
                <w:color w:val="auto"/>
              </w:rPr>
            </w:pP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line="20" w:lineRule="exact"/>
              <w:rPr>
                <w:sz w:val="1"/>
                <w:szCs w:val="1"/>
                <w:color w:val="auto"/>
              </w:rPr>
            </w:pPr>
          </w:p>
        </w:tc>
      </w:tr>
      <w:tr>
        <w:trPr>
          <w:trHeight w:val="175"/>
        </w:trPr>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580" w:type="dxa"/>
            <w:vAlign w:val="bottom"/>
            <w:gridSpan w:val="2"/>
            <w:vMerge w:val="continue"/>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4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560" w:space="720"/>
            <w:col w:w="6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with definite lives: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1,122.8</w:t>
            </w:r>
          </w:p>
        </w:tc>
        <w:tc>
          <w:tcPr>
            <w:tcW w:w="58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1,099.2</w:t>
            </w:r>
          </w:p>
        </w:tc>
        <w:tc>
          <w:tcPr>
            <w:tcW w:w="56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Composite intangible asset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6"/>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Trademarks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License and distribution rights and other</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6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52"/>
        </w:trPr>
        <w:tc>
          <w:tcPr>
            <w:tcW w:w="4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 and translation</w:t>
            </w: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1,302.2</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with definite lives, net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Intangible assets with indefinite lives, net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intangibles, net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Intangible assets with indefinite lives include technology and trademarks.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include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30, 2024, the estimate of future amortization expenses for intangible assets with definite lives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0" w:type="dxa"/>
            <w:vAlign w:val="bottom"/>
          </w:tcPr>
          <w:p>
            <w:pPr>
              <w:spacing w:after="0"/>
              <w:rPr>
                <w:sz w:val="1"/>
                <w:szCs w:val="1"/>
                <w:color w:val="auto"/>
              </w:rPr>
            </w:pPr>
          </w:p>
        </w:tc>
      </w:tr>
      <w:tr>
        <w:trPr>
          <w:trHeight w:val="22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0" w:type="dxa"/>
            <w:vAlign w:val="bottom"/>
          </w:tcPr>
          <w:p>
            <w:pPr>
              <w:spacing w:after="0"/>
              <w:rPr>
                <w:sz w:val="1"/>
                <w:szCs w:val="1"/>
                <w:color w:val="auto"/>
              </w:rPr>
            </w:pPr>
          </w:p>
        </w:tc>
      </w:tr>
      <w:tr>
        <w:trPr>
          <w:trHeight w:val="233"/>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0" w:type="dxa"/>
            <w:vAlign w:val="bottom"/>
          </w:tcPr>
          <w:p>
            <w:pPr>
              <w:spacing w:after="0"/>
              <w:rPr>
                <w:sz w:val="1"/>
                <w:szCs w:val="1"/>
                <w:color w:val="auto"/>
              </w:rPr>
            </w:pPr>
          </w:p>
        </w:tc>
      </w:tr>
      <w:tr>
        <w:trPr>
          <w:trHeight w:val="22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0" w:type="dxa"/>
            <w:vAlign w:val="bottom"/>
          </w:tcPr>
          <w:p>
            <w:pPr>
              <w:spacing w:after="0"/>
              <w:rPr>
                <w:sz w:val="1"/>
                <w:szCs w:val="1"/>
                <w:color w:val="auto"/>
              </w:rPr>
            </w:pPr>
          </w:p>
        </w:tc>
      </w:tr>
      <w:tr>
        <w:trPr>
          <w:trHeight w:val="233"/>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995.5</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remaining amortization for intangible assets with definite lives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7"/>
                <w:szCs w:val="17"/>
                <w:color w:val="auto"/>
              </w:rPr>
              <w:t>There was no impairment of goodwill or intangible assets recorded in the six months ended April 30, 2024.</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64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2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Note 5. Financing Arrangements</w:t>
            </w: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7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Company had outstanding debt as follows: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120" w:type="dxa"/>
            <w:vAlign w:val="bottom"/>
          </w:tcPr>
          <w:p>
            <w:pPr>
              <w:spacing w:after="0"/>
              <w:rPr>
                <w:sz w:val="24"/>
                <w:szCs w:val="24"/>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excluding financing leases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Revolving credit</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Term loans</w:t>
            </w:r>
          </w:p>
        </w:tc>
        <w:tc>
          <w:tcPr>
            <w:tcW w:w="2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excluding financing leases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2,520.4</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debt</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2,713.0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Additional information regarding our indebtedness is included in our notes to our consolidated financial statements in our Annual Report on Form 10-K for the fiscal year ended October 31, 2023. The carrying value of the Company's revolving credit facility and term loans approximates fair value based on current market rates (Level 2). As of April 30, 2024, the Company was in compliance with all debt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Agreement on December 17, 2021</w:t>
      </w:r>
    </w:p>
    <w:p>
      <w:pPr>
        <w:spacing w:after="0" w:line="26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30, 2024, the Company had $1.5 billion outstanding under the 2021 Term Loan Facility and the interest rate was 6.43%.</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and Term Loan Agreement on April 1, 2020</w:t>
      </w:r>
    </w:p>
    <w:p>
      <w:pPr>
        <w:spacing w:after="0" w:line="26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Company has an uncommitted option to increase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the revolving credit facility or establish a new term loan in an aggregate amount up to $1.605 billion. On April 30, 2024, the Company had $850.0 million outstanding under the 2020 Term Loan Facility and $320.0 million outstanding under the 2020 Revolving Credit Facility. The interest rate on the 2020 Term Loan Facility and the 2020 Revolving Credit Facility was 6.42% at April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w:t>
      </w:r>
    </w:p>
    <w:p>
      <w:pPr>
        <w:spacing w:after="0" w:line="24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 billion which, unless terminated earlier, matures on May 1, 2029. On May 1, 2024, the Company used $1.170 billion under the 2024 Revolving Credit Facility to fully repay all borrowings outstanding under the 2020 Term Loan Facility and the 2020 Revolving Credit Facility, and terminated the 2020 Credit Agreement.</w:t>
      </w:r>
    </w:p>
    <w:p>
      <w:pPr>
        <w:spacing w:after="0" w:line="22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also entered into Amendment No. 2 to the 2021 Credit Agreement, modifying the 2021 Credit Agreement by, among other things, conforming certain provisions therein to those contained in the 2024 Credit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6. Income Taxes</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The effective tax rates for the three months ended April 30, 2024, and 2023, were 31.6% and 39.3%, respectively. The effective tax rates for the six months ended April 30, 2024, and 2023, were 32.0% and 33.7%, respectively. The decreases were primarily due to changes in the geographic composition of pre-tax earnings, partially offset by an increase in the UK statutory tax rate from 19% to 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Note 7. Earnings Per Share</w:t>
            </w:r>
          </w:p>
        </w:tc>
        <w:tc>
          <w:tcPr>
            <w:tcW w:w="26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i w:val="1"/>
                <w:iCs w:val="1"/>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2"/>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dilutive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Diluted weighted-average common 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7"/>
          <w:szCs w:val="17"/>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23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8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thousands, except exercise prices)</w:t>
            </w:r>
          </w:p>
        </w:tc>
        <w:tc>
          <w:tcPr>
            <w:tcW w:w="17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5"/>
                <w:szCs w:val="15"/>
                <w:color w:val="auto"/>
              </w:rPr>
            </w:pPr>
          </w:p>
        </w:tc>
        <w:tc>
          <w:tcPr>
            <w:tcW w:w="17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shares excluded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r>
      <w:tr>
        <w:trPr>
          <w:trHeight w:val="226"/>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$75.03 - $101.54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$75.03 - $101.54</w:t>
            </w:r>
          </w:p>
        </w:tc>
      </w:tr>
      <w:tr>
        <w:trPr>
          <w:trHeight w:val="233"/>
        </w:trPr>
        <w:tc>
          <w:tcPr>
            <w:tcW w:w="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 excluded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8. Share-Based Compensation</w:t>
      </w:r>
    </w:p>
    <w:p>
      <w:pPr>
        <w:spacing w:after="0" w:line="135"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7"/>
          <w:szCs w:val="17"/>
          <w:color w:val="auto"/>
        </w:rPr>
        <w:t>The Company has several stock plans that are described in the Company’s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fiscal year ended October 31, 2023. The compensation expense and related income tax benefit recognized in our Consolidated Condensed Statements of Income and Comprehensive Income for share-based awards, including the Employee Stock Purchase Plan, were as follows: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26"/>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7"/>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9. Stockholders'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Analysis of Changes in Accumulated Other Comprehensive Loss: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Foreign Currency</w:t>
            </w:r>
          </w:p>
        </w:tc>
        <w:tc>
          <w:tcPr>
            <w:tcW w:w="100" w:type="dxa"/>
            <w:vAlign w:val="bottom"/>
          </w:tcPr>
          <w:p>
            <w:pPr>
              <w:spacing w:after="0"/>
              <w:rPr>
                <w:sz w:val="17"/>
                <w:szCs w:val="17"/>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Minimum Pension</w:t>
            </w:r>
          </w:p>
        </w:tc>
        <w:tc>
          <w:tcPr>
            <w:tcW w:w="240" w:type="dxa"/>
            <w:vAlign w:val="bottom"/>
          </w:tcPr>
          <w:p>
            <w:pPr>
              <w:spacing w:after="0"/>
              <w:rPr>
                <w:sz w:val="17"/>
                <w:szCs w:val="17"/>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7"/>
                <w:szCs w:val="17"/>
                <w:b w:val="1"/>
                <w:bCs w:val="1"/>
                <w:color w:val="auto"/>
              </w:rPr>
              <w:t>Adjustment</w:t>
            </w:r>
          </w:p>
        </w:tc>
        <w:tc>
          <w:tcPr>
            <w:tcW w:w="100" w:type="dxa"/>
            <w:vAlign w:val="bottom"/>
          </w:tcPr>
          <w:p>
            <w:pPr>
              <w:spacing w:after="0"/>
              <w:rPr>
                <w:sz w:val="15"/>
                <w:szCs w:val="15"/>
                <w:color w:val="auto"/>
              </w:rPr>
            </w:pPr>
          </w:p>
        </w:tc>
        <w:tc>
          <w:tcPr>
            <w:tcW w:w="1560" w:type="dxa"/>
            <w:vAlign w:val="bottom"/>
            <w:gridSpan w:val="2"/>
          </w:tcPr>
          <w:p>
            <w:pPr>
              <w:ind w:left="360"/>
              <w:spacing w:after="0" w:line="154" w:lineRule="exact"/>
              <w:rPr>
                <w:sz w:val="20"/>
                <w:szCs w:val="20"/>
                <w:color w:val="auto"/>
              </w:rPr>
            </w:pPr>
            <w:r>
              <w:rPr>
                <w:rFonts w:ascii="Times New Roman" w:cs="Times New Roman" w:eastAsia="Times New Roman" w:hAnsi="Times New Roman"/>
                <w:sz w:val="17"/>
                <w:szCs w:val="17"/>
                <w:b w:val="1"/>
                <w:bCs w:val="1"/>
                <w:color w:val="auto"/>
              </w:rPr>
              <w:t>Liability</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54" w:lineRule="exact"/>
              <w:rPr>
                <w:sz w:val="20"/>
                <w:szCs w:val="20"/>
                <w:color w:val="auto"/>
              </w:rPr>
            </w:pPr>
            <w:r>
              <w:rPr>
                <w:rFonts w:ascii="Times New Roman" w:cs="Times New Roman" w:eastAsia="Times New Roman" w:hAnsi="Times New Roman"/>
                <w:sz w:val="17"/>
                <w:szCs w:val="17"/>
                <w:b w:val="1"/>
                <w:bCs w:val="1"/>
                <w:color w:val="auto"/>
                <w:w w:val="99"/>
              </w:rPr>
              <w:t>Instruments</w:t>
            </w: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effect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2"/>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April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7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In March 2017, the authorization under the 2012 Share Repurchase Program was increased to $1.0 billion by the Company's Board of Directors. As of April 30, 2024, $256.4 million remains authorized for repurchase.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six months ended April 30, 2024, and 2023, there were no share repurchases.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paid a semiannual dividend of approximately $1.5 million or 3 cents per share, on February 10, 2023, to stockholders of record on January 23,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10. Contingencies and Commitments</w:t>
      </w:r>
    </w:p>
    <w:p>
      <w:pPr>
        <w:spacing w:after="0" w:line="2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Legal fees are expensed as incurred.</w:t>
      </w:r>
    </w:p>
    <w:p>
      <w:pPr>
        <w:spacing w:after="0" w:line="213"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color w:val="auto"/>
        </w:rPr>
        <w:t>As of April 30, 2024, the Company entered into an additional lease that has not yet commenced in order to expand capacity. The undiscounted lease payments are estimated at $73.0 million for a lease that will commence beginning in fiscal 2025 for a term of 25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11. Business Segment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revenue and other financial information by reportable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Segment information:</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net sales by category:</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Toric and multifocal</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10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4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Sphere, other</w:t>
            </w: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4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649.8</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CooperVision net sales</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589.3</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net sales by category:</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Office and surgical</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0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14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Fertility</w:t>
            </w: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4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CooperSurgical net sales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565.3</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net sales</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CooperVision</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CooperSurgical</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Corporate</w:t>
            </w: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income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4"/>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identifiable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CooperVision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7,115.3</w:t>
            </w:r>
          </w:p>
        </w:tc>
        <w:tc>
          <w:tcPr>
            <w:tcW w:w="1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7,044.0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CooperSurgical</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4,691.6</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4,351.8</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Corporate</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12,047.4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Geographic information:</w:t>
            </w: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5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ind w:left="260"/>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27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9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 to unaffiliated customers by country of domicile: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479.0</w:t>
            </w:r>
          </w:p>
        </w:tc>
        <w:tc>
          <w:tcPr>
            <w:tcW w:w="14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276.7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7"/>
                <w:szCs w:val="17"/>
                <w:color w:val="auto"/>
              </w:rPr>
              <w:t>Rest of world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186.9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371.5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360.3</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942.6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180" w:type="dxa"/>
            <w:vAlign w:val="bottom"/>
          </w:tcPr>
          <w:p>
            <w:pPr>
              <w:spacing w:after="0"/>
              <w:rPr>
                <w:sz w:val="17"/>
                <w:szCs w:val="17"/>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property, plant and equipment by country of domicile:</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1,027.6</w:t>
            </w:r>
          </w:p>
        </w:tc>
      </w:tr>
      <w:tr>
        <w:trPr>
          <w:trHeight w:val="233"/>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Europe</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w:t>
            </w:r>
          </w:p>
        </w:tc>
      </w:tr>
      <w:tr>
        <w:trPr>
          <w:trHeight w:val="226"/>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7"/>
                <w:szCs w:val="17"/>
                <w:color w:val="auto"/>
              </w:rPr>
              <w:t>Rest of world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279.1</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12. Financial Derivatives and Hedging</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of April 30, 2024, the notional amount of outstanding foreign currency forward contracts was $45.7 million. The resulting impact on our Consolidated Financial Statements from currency hedging activities was not significant for the three and six months ended April 30, 2024, and April 30, 2023.</w:t>
      </w:r>
    </w:p>
    <w:p>
      <w:pPr>
        <w:spacing w:after="0" w:line="10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As of April 30, 2024, the Company has 8 interest rate swap contracts that have a total notional amount of $1.6 billion and remaining maturities of less than four years.</w:t>
      </w:r>
    </w:p>
    <w:p>
      <w:pPr>
        <w:spacing w:after="0" w:line="10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7"/>
          <w:szCs w:val="17"/>
          <w:color w:val="auto"/>
        </w:rPr>
        <w:t>The following table summarizes the amounts recognized with respect to our derivative instruments within the accompanying Consolidated Condensed Statements of Income and Comprehensive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Derivatives designated as cash flow hedges</w:t>
            </w:r>
          </w:p>
        </w:tc>
        <w:tc>
          <w:tcPr>
            <w:tcW w:w="680" w:type="dxa"/>
            <w:vAlign w:val="bottom"/>
            <w:shd w:val="clear" w:color="auto" w:fill="CCEEFF"/>
          </w:tcPr>
          <w:p>
            <w:pPr>
              <w:spacing w:after="0"/>
              <w:rPr>
                <w:sz w:val="13"/>
                <w:szCs w:val="13"/>
                <w:color w:val="auto"/>
              </w:rPr>
            </w:pPr>
          </w:p>
        </w:tc>
        <w:tc>
          <w:tcPr>
            <w:tcW w:w="2220" w:type="dxa"/>
            <w:vAlign w:val="bottom"/>
            <w:gridSpan w:val="4"/>
            <w:shd w:val="clear" w:color="auto" w:fill="CCEEFF"/>
          </w:tcPr>
          <w:p>
            <w:pPr>
              <w:ind w:left="100"/>
              <w:spacing w:after="0" w:line="157" w:lineRule="exact"/>
              <w:rPr>
                <w:sz w:val="20"/>
                <w:szCs w:val="20"/>
                <w:color w:val="auto"/>
              </w:rPr>
            </w:pPr>
            <w:r>
              <w:rPr>
                <w:rFonts w:ascii="Times New Roman" w:cs="Times New Roman" w:eastAsia="Times New Roman" w:hAnsi="Times New Roman"/>
                <w:sz w:val="17"/>
                <w:szCs w:val="17"/>
                <w:b w:val="1"/>
                <w:bCs w:val="1"/>
                <w:color w:val="auto"/>
              </w:rPr>
              <w:t>Location of (Gain)/Loss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CCEEFF"/>
            </w:tcBorders>
            <w:gridSpan w:val="2"/>
            <w:vMerge w:val="continue"/>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 contracts</w:t>
            </w:r>
          </w:p>
        </w:tc>
        <w:tc>
          <w:tcPr>
            <w:tcW w:w="400" w:type="dxa"/>
            <w:vAlign w:val="bottom"/>
          </w:tcPr>
          <w:p>
            <w:pPr>
              <w:spacing w:after="0"/>
              <w:rPr>
                <w:sz w:val="18"/>
                <w:szCs w:val="18"/>
                <w:color w:val="auto"/>
              </w:rPr>
            </w:pPr>
          </w:p>
        </w:tc>
        <w:tc>
          <w:tcPr>
            <w:tcW w:w="290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Interest expense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gain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Amount recognized in accumulated other comprehensive income</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on interest rate swap contracts, gross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Amount reclassified from accumulated other comprehensive</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into earnings, gross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gain</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amount recognized in other comprehensive income on interest rate swap contracts was $31.8 million and $13.8 million, net of tax, for the three and six months ended April 30, 2024, respectively, and $2.0 million and $(12.7) million, net of tax, for the three and six months ended April 30, 2023, respectively.</w:t>
      </w:r>
    </w:p>
    <w:p>
      <w:pPr>
        <w:spacing w:after="0" w:line="207"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amount reclassified from other comprehensive income into earnings was $(10.4) million and $(20.4) million, net of tax, for the three and six months ended April 30, 2024, respectively, and $(7.5) million and $(13.8) million, net of tax, for the three and six months ended April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9. Stockholders' Equity for amounts presented net of the related tax impact in "Accumulated other comprehensive loss."</w:t>
      </w:r>
    </w:p>
    <w:p>
      <w:pPr>
        <w:spacing w:after="0" w:line="25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The Company expects that $(50.3) million recorded as a component of "Accumulated other comprehensive loss" will be realized in the Consolidated Condensed Statements of Income over the next twelve months and the amount will vary depending on prevailing interest rates.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numbers refer to “Notes to Consolidated Condensed Financial Statements” in Item 1. Unaudited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32" w:lineRule="exact"/>
        <w:rPr>
          <w:sz w:val="20"/>
          <w:szCs w:val="20"/>
          <w:color w:val="auto"/>
        </w:rPr>
      </w:pPr>
    </w:p>
    <w:p>
      <w:pPr>
        <w:ind w:left="660" w:right="220" w:hanging="652"/>
        <w:spacing w:after="0" w:line="250"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spacing w:after="0" w:line="1" w:lineRule="exact"/>
        <w:rPr>
          <w:rFonts w:ascii="Times New Roman" w:cs="Times New Roman" w:eastAsia="Times New Roman" w:hAnsi="Times New Roman"/>
          <w:sz w:val="17"/>
          <w:szCs w:val="17"/>
          <w:color w:val="auto"/>
        </w:rPr>
      </w:pPr>
    </w:p>
    <w:p>
      <w:pPr>
        <w:ind w:left="660" w:right="440" w:hanging="652"/>
        <w:spacing w:after="0" w:line="231" w:lineRule="auto"/>
        <w:tabs>
          <w:tab w:leader="none" w:pos="651" w:val="left"/>
        </w:tabs>
        <w:numPr>
          <w:ilvl w:val="0"/>
          <w:numId w:val="7"/>
        </w:numPr>
        <w:rPr>
          <w:rFonts w:ascii="Calibri" w:cs="Calibri" w:eastAsia="Calibri" w:hAnsi="Calibri"/>
          <w:sz w:val="14"/>
          <w:szCs w:val="14"/>
          <w:color w:val="auto"/>
        </w:rPr>
      </w:pPr>
      <w:r>
        <w:rPr>
          <w:rFonts w:ascii="Times New Roman" w:cs="Times New Roman" w:eastAsia="Times New Roman" w:hAnsi="Times New Roman"/>
          <w:sz w:val="17"/>
          <w:szCs w:val="17"/>
          <w:color w:val="auto"/>
        </w:rPr>
        <w:t>The impact of international conflicts and the global response to international conflicts on the global economy, European economy, financial markets, energy markets, currency rates and our ability to supply product to, or through, affected countries.</w:t>
      </w:r>
    </w:p>
    <w:p>
      <w:pPr>
        <w:ind w:left="660" w:right="700" w:hanging="652"/>
        <w:spacing w:after="0" w:line="256"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and expanding international operations and the challenges of managing an organization spread throughout multiple countries and complying with a variety of legal, compliance and regulatory requirements.</w:t>
      </w:r>
    </w:p>
    <w:p>
      <w:pPr>
        <w:spacing w:after="0" w:line="1" w:lineRule="exact"/>
        <w:rPr>
          <w:rFonts w:ascii="Times New Roman" w:cs="Times New Roman" w:eastAsia="Times New Roman" w:hAnsi="Times New Roman"/>
          <w:sz w:val="17"/>
          <w:szCs w:val="17"/>
          <w:color w:val="auto"/>
        </w:rPr>
      </w:pPr>
    </w:p>
    <w:p>
      <w:pPr>
        <w:ind w:left="660" w:right="48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Times New Roman" w:cs="Times New Roman" w:eastAsia="Times New Roman" w:hAnsi="Times New Roman"/>
          <w:sz w:val="17"/>
          <w:szCs w:val="17"/>
          <w:color w:val="auto"/>
        </w:rPr>
      </w:pPr>
    </w:p>
    <w:p>
      <w:pPr>
        <w:ind w:left="660" w:right="40" w:hanging="652"/>
        <w:spacing w:after="0" w:line="249"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examinations by tax authorities, and changes in our geographic composition of income.</w:t>
      </w:r>
    </w:p>
    <w:p>
      <w:pPr>
        <w:spacing w:after="0" w:line="18" w:lineRule="exact"/>
        <w:rPr>
          <w:rFonts w:ascii="Times New Roman" w:cs="Times New Roman" w:eastAsia="Times New Roman" w:hAnsi="Times New Roman"/>
          <w:sz w:val="17"/>
          <w:szCs w:val="17"/>
          <w:color w:val="auto"/>
        </w:rPr>
      </w:pPr>
    </w:p>
    <w:p>
      <w:pPr>
        <w:ind w:left="660" w:right="160" w:hanging="652"/>
        <w:spacing w:after="0" w:line="251"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 w:lineRule="exact"/>
        <w:rPr>
          <w:rFonts w:ascii="Times New Roman" w:cs="Times New Roman" w:eastAsia="Times New Roman" w:hAnsi="Times New Roman"/>
          <w:sz w:val="17"/>
          <w:szCs w:val="17"/>
          <w:color w:val="auto"/>
        </w:rPr>
      </w:pPr>
    </w:p>
    <w:p>
      <w:pPr>
        <w:ind w:left="660" w:right="2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spacing w:after="0" w:line="1" w:lineRule="exact"/>
        <w:rPr>
          <w:rFonts w:ascii="Times New Roman" w:cs="Times New Roman" w:eastAsia="Times New Roman" w:hAnsi="Times New Roman"/>
          <w:sz w:val="17"/>
          <w:szCs w:val="17"/>
          <w:color w:val="auto"/>
        </w:rPr>
      </w:pPr>
    </w:p>
    <w:p>
      <w:pPr>
        <w:jc w:val="both"/>
        <w:ind w:left="660" w:right="320" w:hanging="652"/>
        <w:spacing w:after="0" w:line="254"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ind w:left="660" w:right="200" w:hanging="652"/>
        <w:spacing w:after="0" w:line="249"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ind w:left="660" w:right="220" w:hanging="652"/>
        <w:spacing w:after="0" w:line="255"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supplies of raw materials, particularly components used to manufacture our silicone hydrogel lenses.</w:t>
      </w:r>
    </w:p>
    <w:p>
      <w:pPr>
        <w:spacing w:after="0" w:line="7" w:lineRule="exact"/>
        <w:rPr>
          <w:rFonts w:ascii="Times New Roman" w:cs="Times New Roman" w:eastAsia="Times New Roman" w:hAnsi="Times New Roman"/>
          <w:sz w:val="17"/>
          <w:szCs w:val="17"/>
          <w:color w:val="auto"/>
        </w:rPr>
      </w:pPr>
    </w:p>
    <w:p>
      <w:pPr>
        <w:ind w:left="660" w:right="120" w:hanging="652"/>
        <w:spacing w:after="0" w:line="262"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but not limited to the EU Medical Devices Regulation (MDR) and the EU In Vitro Diagnostic Medical Devices Regulation (IVDR).</w:t>
      </w:r>
    </w:p>
    <w:p>
      <w:pPr>
        <w:spacing w:after="0" w:line="25" w:lineRule="exact"/>
        <w:rPr>
          <w:sz w:val="20"/>
          <w:szCs w:val="20"/>
          <w:color w:val="auto"/>
        </w:rPr>
      </w:pPr>
    </w:p>
    <w:p>
      <w:pPr>
        <w:ind w:left="660" w:hanging="652"/>
        <w:spacing w:after="0" w:line="249"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insurance expenses, settlement costs and the risk of an adverse decision, prohibitive injunction or settlement related to product liability, patent infringement, contractual disputes, or other litigation.</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sales following product introductions due to poor market acceptance.</w:t>
      </w:r>
    </w:p>
    <w:p>
      <w:pPr>
        <w:spacing w:after="0" w:line="18" w:lineRule="exact"/>
        <w:rPr>
          <w:rFonts w:ascii="Times New Roman" w:cs="Times New Roman" w:eastAsia="Times New Roman" w:hAnsi="Times New Roman"/>
          <w:sz w:val="17"/>
          <w:szCs w:val="17"/>
          <w:color w:val="auto"/>
        </w:rPr>
      </w:pPr>
    </w:p>
    <w:p>
      <w:pPr>
        <w:ind w:left="660" w:right="360" w:hanging="652"/>
        <w:spacing w:after="0" w:line="24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Times New Roman" w:cs="Times New Roman" w:eastAsia="Times New Roman" w:hAnsi="Times New Roman"/>
          <w:sz w:val="17"/>
          <w:szCs w:val="17"/>
          <w:color w:val="auto"/>
        </w:rPr>
      </w:pPr>
    </w:p>
    <w:p>
      <w:pPr>
        <w:ind w:left="660" w:right="240" w:hanging="652"/>
        <w:spacing w:after="0" w:line="249"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sales, loss of customers, reputational harm and costs and expenses, including from claims and litigation related to product recalls and warning letters.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or delays in receiving, regulatory approvals or certifications for products.</w:t>
      </w:r>
    </w:p>
    <w:p>
      <w:pPr>
        <w:spacing w:after="0" w:line="1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customers and end users to obtain adequate coverage and reimbursement from third-party payers for our products and services.</w:t>
      </w:r>
    </w:p>
    <w:p>
      <w:pPr>
        <w:spacing w:after="0" w:line="7" w:lineRule="exact"/>
        <w:rPr>
          <w:rFonts w:ascii="Times New Roman" w:cs="Times New Roman" w:eastAsia="Times New Roman" w:hAnsi="Times New Roman"/>
          <w:sz w:val="17"/>
          <w:szCs w:val="17"/>
          <w:color w:val="auto"/>
        </w:rPr>
      </w:pPr>
    </w:p>
    <w:p>
      <w:pPr>
        <w:ind w:left="660" w:right="100" w:hanging="652"/>
        <w:spacing w:after="0" w:line="24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and development activities and other start-up projects.</w:t>
      </w:r>
    </w:p>
    <w:p>
      <w:pPr>
        <w:spacing w:after="0" w:line="7"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to earnings per share from acquisitions or issuing stock.</w:t>
      </w:r>
    </w:p>
    <w:p>
      <w:pPr>
        <w:spacing w:after="0" w:line="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and costs incurred from changes in accounting standards and policies.</w:t>
      </w:r>
    </w:p>
    <w:p>
      <w:pPr>
        <w:spacing w:after="0" w:line="18" w:lineRule="exact"/>
        <w:rPr>
          <w:rFonts w:ascii="Times New Roman" w:cs="Times New Roman" w:eastAsia="Times New Roman" w:hAnsi="Times New Roman"/>
          <w:sz w:val="17"/>
          <w:szCs w:val="17"/>
          <w:color w:val="auto"/>
        </w:rPr>
      </w:pPr>
    </w:p>
    <w:p>
      <w:pPr>
        <w:ind w:left="660" w:right="300" w:hanging="652"/>
        <w:spacing w:after="0" w:line="24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laws and requirements applicable to our facilities, products or manufacturing processes, including evolving regulations regarding the use of hazardous substances or chemicals in our products.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social and corporate governance (ESG) issues, including those related to climate change and sustainability.</w:t>
      </w:r>
    </w:p>
    <w:p>
      <w:pPr>
        <w:spacing w:after="0" w:line="7" w:lineRule="exact"/>
        <w:rPr>
          <w:rFonts w:ascii="Times New Roman" w:cs="Times New Roman" w:eastAsia="Times New Roman" w:hAnsi="Times New Roman"/>
          <w:sz w:val="17"/>
          <w:szCs w:val="17"/>
          <w:color w:val="auto"/>
        </w:rPr>
      </w:pPr>
    </w:p>
    <w:p>
      <w:pPr>
        <w:ind w:left="660" w:right="20" w:hanging="652"/>
        <w:spacing w:after="0" w:line="275"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described in our Securities and Exchange Commission filings, including the “Business” and “Risk Factors” sections in our Annual Report on Form 10-K for the fiscal year ended October 31, 2023, as such Risk Factors may be updated in quarterly filings including updates made in this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this section, we discuss the results of our operations for the second quarter of fiscal 2024 ended April 30, 2024, compared with the same period of fiscal 2023.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These risks and uncertainties have adversely affected our sales, cash flow and performance in the past and could further adversely affect our future sales, cash flow and performance.</w:t>
      </w:r>
    </w:p>
    <w:p>
      <w:pPr>
        <w:spacing w:after="0" w:line="1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 We compete in the worldwide contact lens market with our spherical, toric, multifocal, and toric multifocal contact lenses offered in materials like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has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 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CooperSurgical - </w:t>
      </w:r>
      <w:r>
        <w:rPr>
          <w:rFonts w:ascii="Times New Roman" w:cs="Times New Roman" w:eastAsia="Times New Roman" w:hAnsi="Times New Roman"/>
          <w:sz w:val="17"/>
          <w:szCs w:val="17"/>
          <w:color w:val="auto"/>
        </w:rPr>
        <w:t>Our CooperSurgical business competes in the fertility and women's health care market through its diversified portfolio of products and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w:t>
      </w:r>
    </w:p>
    <w:p>
      <w:pPr>
        <w:spacing w:after="0" w:line="22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10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w:t>
      </w:r>
    </w:p>
    <w:p>
      <w:pPr>
        <w:spacing w:after="0" w:line="2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CooperVision, CooperSurgical, and other trade names, trademarks or service marks of Cooper and its subsidiaries appearing in this report are the property of Cooper and its subsidiaries. Trade names, trademarks and service marks of the other companies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12065</wp:posOffset>
            </wp:positionV>
            <wp:extent cx="5572125" cy="2177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21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contact lens market has two major product categories:</w:t>
      </w:r>
    </w:p>
    <w:p>
      <w:pPr>
        <w:spacing w:after="0" w:line="169" w:lineRule="exact"/>
        <w:rPr>
          <w:sz w:val="20"/>
          <w:szCs w:val="20"/>
          <w:color w:val="auto"/>
        </w:rPr>
      </w:pPr>
    </w:p>
    <w:p>
      <w:pPr>
        <w:ind w:left="340" w:right="140" w:hanging="332"/>
        <w:spacing w:after="0" w:line="281" w:lineRule="auto"/>
        <w:tabs>
          <w:tab w:leader="none" w:pos="3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spacing w:after="0" w:line="122" w:lineRule="exact"/>
        <w:rPr>
          <w:rFonts w:ascii="Times New Roman" w:cs="Times New Roman" w:eastAsia="Times New Roman" w:hAnsi="Times New Roman"/>
          <w:sz w:val="17"/>
          <w:szCs w:val="17"/>
          <w:color w:val="auto"/>
        </w:rPr>
      </w:pPr>
    </w:p>
    <w:p>
      <w:pPr>
        <w:ind w:left="340" w:right="320" w:hanging="332"/>
        <w:spacing w:after="0" w:line="281" w:lineRule="auto"/>
        <w:tabs>
          <w:tab w:leader="none" w:pos="3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20955</wp:posOffset>
            </wp:positionV>
            <wp:extent cx="5143500" cy="2451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Toric and multifocal</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Sphere, other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52"/>
        </w:trPr>
        <w:tc>
          <w:tcPr>
            <w:tcW w:w="56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323215</wp:posOffset>
            </wp:positionV>
            <wp:extent cx="5143500" cy="2451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400" w:type="dxa"/>
            <w:vAlign w:val="bottom"/>
          </w:tcPr>
          <w:p>
            <w:pPr>
              <w:spacing w:after="0"/>
              <w:rPr>
                <w:sz w:val="21"/>
                <w:szCs w:val="21"/>
                <w:color w:val="auto"/>
              </w:rPr>
            </w:pPr>
          </w:p>
        </w:tc>
        <w:tc>
          <w:tcPr>
            <w:tcW w:w="1320" w:type="dxa"/>
            <w:vAlign w:val="bottom"/>
            <w:vMerge w:val="restart"/>
          </w:tcPr>
          <w:p>
            <w:pPr>
              <w:jc w:val="right"/>
              <w:ind w:right="61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vMerge w:val="restart"/>
          </w:tcPr>
          <w:p>
            <w:pPr>
              <w:jc w:val="right"/>
              <w:ind w:right="61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8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Toric and multifocal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Sphere,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7"/>
          <w:szCs w:val="17"/>
          <w:color w:val="auto"/>
        </w:rPr>
        <w:t>In the three and six months ended April 30, 2024, the growth experienced across most categories was partially offset by unfavorable foreign exchange rate fluctuations of approximately $11.1 million and $6.7 million, respectively.</w:t>
      </w:r>
    </w:p>
    <w:p>
      <w:pPr>
        <w:spacing w:after="0" w:line="12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grew primarily through the success of MyDay and Biofinity.</w:t>
      </w:r>
    </w:p>
    <w:p>
      <w:pPr>
        <w:spacing w:after="0" w:line="169"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Sphere, other grew primarily through MyDay, MiSight, and Biofinity.</w:t>
      </w:r>
    </w:p>
    <w:p>
      <w:pPr>
        <w:spacing w:after="0" w:line="169"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products represented approximately 1% of net sales in the three and six months ended April 30, 2024, and 2023,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Geography</w:t>
      </w:r>
    </w:p>
    <w:p>
      <w:pPr>
        <w:spacing w:after="0" w:line="25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in three primary regions: the Americas, EMEA (Europe, Middle East and Africa) and Asia Pacific.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00" w:type="dxa"/>
            <w:vAlign w:val="bottom"/>
          </w:tcPr>
          <w:p>
            <w:pPr>
              <w:spacing w:after="0"/>
              <w:rPr>
                <w:sz w:val="14"/>
                <w:szCs w:val="14"/>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4"/>
                <w:szCs w:val="14"/>
                <w:color w:val="auto"/>
              </w:rPr>
            </w:pPr>
          </w:p>
        </w:tc>
        <w:tc>
          <w:tcPr>
            <w:tcW w:w="146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2024 vs 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4"/>
                <w:szCs w:val="14"/>
                <w:color w:val="auto"/>
              </w:rPr>
            </w:pPr>
          </w:p>
        </w:tc>
        <w:tc>
          <w:tcPr>
            <w:tcW w:w="1440" w:type="dxa"/>
            <w:vAlign w:val="bottom"/>
          </w:tcPr>
          <w:p>
            <w:pPr>
              <w:jc w:val="right"/>
              <w:ind w:right="175"/>
              <w:spacing w:after="0" w:line="163" w:lineRule="exact"/>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7"/>
        </w:trPr>
        <w:tc>
          <w:tcPr>
            <w:tcW w:w="26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CooperVision's growth in net sales across all regions was primarily attributable to market gains of silicone hydrogel contact lenses. Refer to CooperVision Net Sales by Category above for further discussion.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 by Category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CooperSurgical supplies the fertility and women's health care market with a diversified portfolio of products and services in two categories:</w:t>
      </w:r>
    </w:p>
    <w:p>
      <w:pPr>
        <w:spacing w:after="0" w:line="169" w:lineRule="exact"/>
        <w:rPr>
          <w:sz w:val="20"/>
          <w:szCs w:val="20"/>
          <w:color w:val="auto"/>
        </w:rPr>
      </w:pPr>
    </w:p>
    <w:p>
      <w:pPr>
        <w:ind w:left="340" w:right="120" w:hanging="332"/>
        <w:spacing w:after="0" w:line="273" w:lineRule="auto"/>
        <w:tabs>
          <w:tab w:leader="none" w:pos="3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spacing w:after="0" w:line="115" w:lineRule="exact"/>
        <w:rPr>
          <w:rFonts w:ascii="Times New Roman" w:cs="Times New Roman" w:eastAsia="Times New Roman" w:hAnsi="Times New Roman"/>
          <w:sz w:val="17"/>
          <w:szCs w:val="17"/>
          <w:color w:val="auto"/>
        </w:rPr>
      </w:pPr>
    </w:p>
    <w:p>
      <w:pPr>
        <w:ind w:left="340" w:right="320" w:hanging="332"/>
        <w:spacing w:after="0" w:line="265" w:lineRule="auto"/>
        <w:tabs>
          <w:tab w:leader="none" w:pos="3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Fertility offerings include highly specialized products and services that target the IVF process, including diagnostics testing with a goal to make fertility treatment safer, more efficient and convenient. This includes fertility consumables and equipment, donor gamete services, and genomic services (including genetic testing).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chart below shows the percentage of net sales of office and surgical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121285</wp:posOffset>
            </wp:positionV>
            <wp:extent cx="5417820" cy="254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782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455"/>
              <w:spacing w:after="0" w:line="155"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and surgical</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Fertility</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365760</wp:posOffset>
            </wp:positionV>
            <wp:extent cx="5417820" cy="254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782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455"/>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and surgical</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Fertility</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7"/>
          <w:szCs w:val="17"/>
          <w:color w:val="auto"/>
        </w:rPr>
        <w:t>In the three months ended April 30, 2024, office and surgical net sales increased primarily due to the addition of Cook Medical on November 1, 2023, and an increase in revenue from Paragard. Fertility net sales remained relatively flat compared to the three months ended April 30, 2023.</w:t>
      </w:r>
    </w:p>
    <w:p>
      <w:pPr>
        <w:spacing w:after="0" w:line="9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In the six months ended April 30, 2024, office and surgical net sales increased primarily due to the addition of Cook Medical on November 1, 2023, and an increase in revenue from Paragard. Fertility net sales increased due to an increase in revenue from consumable products and genomic services, partially offset by a decrease in revenue from gamete services.</w:t>
      </w:r>
    </w:p>
    <w:p>
      <w:pPr>
        <w:spacing w:after="0" w:line="12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The above growth experienced across all categories was partially offset by unfavorable foreign exchange rate fluctuations of approximately $4.0 million and $6.7 million for the three and six months ended April 30,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25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Consolidated gross margin increased in the three and six months ended April 30, 2024, to 67% compared to 66% in the three and six months ended April 30, 2023, primarily driven by efficiency gains and price.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 Expenses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60" w:type="dxa"/>
            <w:vAlign w:val="bottom"/>
          </w:tcPr>
          <w:p>
            <w:pPr>
              <w:spacing w:after="0"/>
              <w:rPr>
                <w:sz w:val="17"/>
                <w:szCs w:val="17"/>
                <w:color w:val="auto"/>
              </w:rPr>
            </w:pPr>
          </w:p>
        </w:tc>
        <w:tc>
          <w:tcPr>
            <w:tcW w:w="1140" w:type="dxa"/>
            <w:vAlign w:val="bottom"/>
            <w:vMerge w:val="restart"/>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38 %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58 %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380.3</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407.5</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46 %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60" w:type="dxa"/>
            <w:vAlign w:val="bottom"/>
          </w:tcPr>
          <w:p>
            <w:pPr>
              <w:spacing w:after="0"/>
              <w:rPr>
                <w:sz w:val="17"/>
                <w:szCs w:val="17"/>
                <w:color w:val="auto"/>
              </w:rPr>
            </w:pPr>
          </w:p>
        </w:tc>
        <w:tc>
          <w:tcPr>
            <w:tcW w:w="1140" w:type="dxa"/>
            <w:vAlign w:val="bottom"/>
            <w:vMerge w:val="restart"/>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52 %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761.2</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738.4</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43 %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7"/>
          <w:szCs w:val="17"/>
          <w:color w:val="auto"/>
        </w:rPr>
        <w:t>CooperVision's SGA expenses increased in the three months ended April 30, 2024, compared to the three months ended April 30, 2023, due to increases in advertising and marketing activities. The increase in the six months ended April 30, 2024, was primarily due to $31.8 million release of contingent consideration liability associated with SightGlass Vision's regulatory approval milestone in the six months ended April 30, 2023.</w:t>
      </w:r>
    </w:p>
    <w:p>
      <w:pPr>
        <w:spacing w:after="0" w:line="10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CooperSurgical's SGA expenses decreased in the three and six months ended April 30, 2024, compared to the three and six months ended April 30, 2023, primarily due to an accrual of $45.0 million associated with the payment of a termination fee under an asset purchase agreement related to Cook Medical’s reproductive health business in the three and six months ended April 30, 2023, partially offset by an increase in selling activities and distribution costs.</w:t>
      </w:r>
    </w:p>
    <w:p>
      <w:pPr>
        <w:spacing w:after="0" w:line="11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Corporate SGA expenses increased in the three and six months ended April 30, 2024, compared to the three and six months ended April 30, 2023, primarily due to share-based compensation related expenses.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 (R&amp;D)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7"/>
                <w:szCs w:val="17"/>
                <w:color w:val="auto"/>
              </w:rPr>
            </w:pPr>
          </w:p>
        </w:tc>
        <w:tc>
          <w:tcPr>
            <w:tcW w:w="126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7"/>
                <w:szCs w:val="17"/>
                <w:color w:val="auto"/>
              </w:rPr>
            </w:pPr>
          </w:p>
        </w:tc>
        <w:tc>
          <w:tcPr>
            <w:tcW w:w="126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CooperVision's R&amp;D expenses increased in the three and six months ended April 30, 2024, compared to the three and six months ended April 30, 2023, primarily due to myopia management programs and timing of R&amp;D projects. CooperVision's R&amp;D activities are primarily focused on the development of contact lenses, manufacturing technology and process enhancements.</w:t>
      </w:r>
    </w:p>
    <w:p>
      <w:pPr>
        <w:spacing w:after="0" w:line="11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CooperSurgical's R&amp;D expenses increased in the three and six months ended April 30, 2024, compared to the three and six months ended April 30, 2023, mainly due to project spend and European Medical Device Regulation costs. CooperSurgical's R&amp;D activities are focused on developing and refining diagnostic and therapeutic products including medical interventions, surgical devices and fertility solutions.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Amortization Expense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7"/>
                <w:szCs w:val="17"/>
                <w:color w:val="auto"/>
              </w:rPr>
            </w:pPr>
          </w:p>
        </w:tc>
        <w:tc>
          <w:tcPr>
            <w:tcW w:w="1320" w:type="dxa"/>
            <w:vAlign w:val="bottom"/>
            <w:vMerge w:val="restart"/>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7"/>
                <w:szCs w:val="17"/>
                <w:color w:val="auto"/>
              </w:rPr>
            </w:pPr>
          </w:p>
        </w:tc>
        <w:tc>
          <w:tcPr>
            <w:tcW w:w="1320" w:type="dxa"/>
            <w:vAlign w:val="bottom"/>
            <w:vMerge w:val="restart"/>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CooperVision's amortization expense for the three and six months ended April 30, 2024, remained relatively flat year over year. CooperSurgical's amortization expense increased in the three and six months ended April 30, 2024, compared to the three and six months ended April 30, 2023, primarily due to the amortization of intangible assets recently acquired through acquisitions.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CooperVision's operating income increased in the three and six months ended April 30, 2024, compared to the three and six months ended April 30, 2023, primarily due to a net increase in net sales, partially offset by a net increase in operating expenses.</w:t>
      </w:r>
    </w:p>
    <w:p>
      <w:pPr>
        <w:spacing w:after="0" w:line="19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CooperSurgical's operating income in the three and six months ended April 30, 2024, compared to operating loss in the three and six months ended April 30, 2023, was primarily due to an accrual of $45.0 million associated with the payment of a termination fee under an asset purchase agreement related to Cook Medical’s reproductive health business in the three and six months ended April 30, 2023.</w:t>
      </w:r>
    </w:p>
    <w:p>
      <w:pPr>
        <w:spacing w:after="0" w:line="19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Corporate operating loss increased in the three and six months ended April 30, 2024, compared to the three and six months ended April 30, 2023, primarily due to higher share-based compensation expenses.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0" w:type="dxa"/>
            <w:vAlign w:val="bottom"/>
          </w:tcPr>
          <w:p>
            <w:pPr>
              <w:spacing w:after="0"/>
              <w:rPr>
                <w:sz w:val="24"/>
                <w:szCs w:val="24"/>
                <w:color w:val="auto"/>
              </w:rPr>
            </w:pPr>
          </w:p>
        </w:tc>
        <w:tc>
          <w:tcPr>
            <w:tcW w:w="34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7"/>
          <w:szCs w:val="17"/>
          <w:color w:val="auto"/>
        </w:rPr>
        <w:t>Interest expense increased during the three and six months ended April 30, 2024, compared to the three and six months ended April 30, 2023, primarily due to higher debt balances and higher interest rates.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Expense, Net</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14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5"/>
                <w:szCs w:val="15"/>
                <w:color w:val="auto"/>
              </w:rPr>
            </w:pPr>
          </w:p>
        </w:tc>
        <w:tc>
          <w:tcPr>
            <w:tcW w:w="13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jc w:val="right"/>
              <w:ind w:right="65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loss (gain)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6"/>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Foreign exchange loss is primarily associated with the weakening of the U.S. dollar against foreign currencies and the effect on intercompany receivables during the three and six months ended April 30, 2024.</w:t>
      </w:r>
    </w:p>
    <w:p>
      <w:pPr>
        <w:spacing w:after="0" w:line="150"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7"/>
          <w:szCs w:val="17"/>
          <w:color w:val="auto"/>
        </w:rPr>
        <w:t>Other expense, net decreased in the three and six months ended April 30, 2024, compared to the three and six months ended April 30, 2023, primarily due to a decrease in loss on minority investments.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5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The effective tax rates for the three months ended April 30, 2024, and 2023, were 31.6% and 39.3%, respectively. The effective tax rates for the six months ended April 30, 2024, and 2023, were 32.0% and 33.7%, respectively. The decreases were primarily due to changes in the geographic composition of pre-tax earnings, partially offset by an increase in the UK statutory tax rate from 19% to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 and Liquidity</w:t>
      </w: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Working capital on April 30, 2024, and October 31, 2023, was $906.5 million and $735.9 million, respectively. The increase in working capital was primarily due to an increase in trade accounts receivable mainly due to higher sales and timing of collections, an increase in prepaid expenses and other current assets, and an increase in inventories.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40" w:type="dxa"/>
            <w:vAlign w:val="bottom"/>
          </w:tcPr>
          <w:p>
            <w:pPr>
              <w:spacing w:after="0"/>
              <w:rPr>
                <w:sz w:val="17"/>
                <w:szCs w:val="17"/>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2024</w:t>
            </w:r>
          </w:p>
        </w:tc>
        <w:tc>
          <w:tcPr>
            <w:tcW w:w="22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April 30, 2023</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w:t>
            </w:r>
          </w:p>
        </w:tc>
      </w:tr>
      <w:tr>
        <w:trPr>
          <w:trHeight w:val="235"/>
        </w:trPr>
        <w:tc>
          <w:tcPr>
            <w:tcW w:w="20" w:type="dxa"/>
            <w:vAlign w:val="bottom"/>
          </w:tcPr>
          <w:p>
            <w:pPr>
              <w:spacing w:after="0"/>
              <w:rPr>
                <w:sz w:val="20"/>
                <w:szCs w:val="20"/>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51"/>
        </w:trPr>
        <w:tc>
          <w:tcPr>
            <w:tcW w:w="20" w:type="dxa"/>
            <w:vAlign w:val="bottom"/>
            <w:shd w:val="clear" w:color="auto" w:fill="CCEEFF"/>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r>
      <w:tr>
        <w:trPr>
          <w:trHeight w:val="237"/>
        </w:trPr>
        <w:tc>
          <w:tcPr>
            <w:tcW w:w="20" w:type="dxa"/>
            <w:vAlign w:val="bottom"/>
            <w:tcBorders>
              <w:bottom w:val="single" w:sz="8" w:color="CCEEFF"/>
            </w:tcBorders>
          </w:tcPr>
          <w:p>
            <w:pPr>
              <w:spacing w:after="0"/>
              <w:rPr>
                <w:sz w:val="20"/>
                <w:szCs w:val="20"/>
                <w:color w:val="auto"/>
              </w:rPr>
            </w:pPr>
          </w:p>
        </w:tc>
        <w:tc>
          <w:tcPr>
            <w:tcW w:w="7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restricted cash</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6"/>
        </w:trPr>
        <w:tc>
          <w:tcPr>
            <w:tcW w:w="20" w:type="dxa"/>
            <w:vAlign w:val="bottom"/>
            <w:shd w:val="clear" w:color="auto" w:fill="CCEEFF"/>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Cash Flow</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Cash provided by operating activities in the first six months of fiscal 2024 decreased compared to the first six months of fiscal 2023, primarily due to net changes in operating capital, including a decrease in accrued liabilities and an increase in accounts receivable, partially offset by net changes in other non-cash items and the $31.8 million release of contingent consideration liability associated with SightGlass Vision's regulatory approval milestone in the first six months of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Cash Flow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used in investing activities in the first six months of fiscal 2024 increased compared to the first six months of fiscal 2023, primarily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$200.0 million cash paid for the Cook Medical acquisition in the first </w:t>
      </w:r>
      <w:r>
        <w:rPr>
          <w:rFonts w:ascii="Times New Roman" w:cs="Times New Roman" w:eastAsia="Times New Roman" w:hAnsi="Times New Roman"/>
          <w:sz w:val="17"/>
          <w:szCs w:val="17"/>
          <w:color w:val="auto"/>
        </w:rPr>
        <w:t>six months of fiscal 2024, and an increase in purchases of property, plant and equipment.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Cash Flow</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Cash provided by financing activities in the first six months of fiscal 2024 was primarily attributable to $200.0 million drawn on the 2020 revolving credit to pay for the Cook Medical acquisition, partially offset by repayments on the 2020 revolving credit.</w:t>
      </w:r>
    </w:p>
    <w:p>
      <w:pPr>
        <w:spacing w:after="0" w:line="82"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color w:val="auto"/>
        </w:rPr>
        <w:t>Cash used in financing activities in the first six months of fiscal 2023 was primarily due to repayments of $338.0 million on the 2021 364-day term loan, partially offset by $215.0 million of funds drawn on the 2020 revolving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maximum commitments and the net amounts available to us under different credit facilities as of April 30, 2024:</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7"/>
              </w:rPr>
              <w:t>Total Amount</w:t>
            </w:r>
          </w:p>
        </w:tc>
        <w:tc>
          <w:tcPr>
            <w:tcW w:w="2120" w:type="dxa"/>
            <w:vAlign w:val="bottom"/>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8"/>
              </w:rPr>
              <w:t>Borrowings</w:t>
            </w:r>
          </w:p>
        </w:tc>
        <w:tc>
          <w:tcPr>
            <w:tcW w:w="146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7"/>
                <w:szCs w:val="17"/>
                <w:b w:val="1"/>
                <w:bCs w:val="1"/>
                <w:color w:val="auto"/>
              </w:rPr>
              <w:t>Letters of Credit</w:t>
            </w:r>
          </w:p>
        </w:tc>
        <w:tc>
          <w:tcPr>
            <w:tcW w:w="100" w:type="dxa"/>
            <w:vAlign w:val="bottom"/>
          </w:tcPr>
          <w:p>
            <w:pPr>
              <w:spacing w:after="0"/>
              <w:rPr>
                <w:sz w:val="15"/>
                <w:szCs w:val="15"/>
                <w:color w:val="auto"/>
              </w:rPr>
            </w:pPr>
          </w:p>
        </w:tc>
        <w:tc>
          <w:tcPr>
            <w:tcW w:w="1140" w:type="dxa"/>
            <w:vAlign w:val="bottom"/>
          </w:tcPr>
          <w:p>
            <w:pPr>
              <w:jc w:val="right"/>
              <w:ind w:right="194"/>
              <w:spacing w:after="0" w:line="176"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Revolving Credit: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Revolving Credit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 2025</w:t>
            </w: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loan:</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Term Loan</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26"/>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2021 Term Loan</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17, 2026</w:t>
            </w:r>
          </w:p>
        </w:tc>
        <w:tc>
          <w:tcPr>
            <w:tcW w:w="0" w:type="dxa"/>
            <w:vAlign w:val="bottom"/>
          </w:tcPr>
          <w:p>
            <w:pPr>
              <w:spacing w:after="0"/>
              <w:rPr>
                <w:sz w:val="1"/>
                <w:szCs w:val="1"/>
                <w:color w:val="auto"/>
              </w:rPr>
            </w:pPr>
          </w:p>
        </w:tc>
      </w:tr>
      <w:tr>
        <w:trPr>
          <w:trHeight w:val="252"/>
        </w:trPr>
        <w:tc>
          <w:tcPr>
            <w:tcW w:w="34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As of April 30, 2024, the Company was in compliance with all debt covenants. On May 1, 2024, the Company entered into a Revolving Credit Agreement (the 2024 Credit Agreement). The Company drew on the 2024 Credit Agreement to fully repay borrowings outstanding under the 2020 Term Loan and 2020 Revolving Credit Facility and terminated the 2020 Credit Agreement. See Note 5. Financing Arrangements of the Consolidated Condensed Financial Statements for further information.</w:t>
      </w:r>
    </w:p>
    <w:p>
      <w:pPr>
        <w:spacing w:after="0" w:line="122"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7"/>
          <w:szCs w:val="17"/>
          <w:color w:val="auto"/>
        </w:rPr>
        <w:t>Considering recent market conditions, we have re-evaluated our operating cash flows and cash requirements and continue to believe that current cash, cash equivalents, future cash flow from operating activities and cash available under our 2024 Credit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for acquisitions, share repurchases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w:t>
      </w:r>
    </w:p>
    <w:p>
      <w:pPr>
        <w:spacing w:after="0" w:line="17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In March 2017, the authorization under the 2012 Share Repurchase Program was increased to $1.0 billion by the Company's Board of Directors. As of April 30, 2024, $256.4 million remains authorized for repurchase.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six months ended April 30, 2024, and 2023, there were no share repurchases.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Split</w:t>
      </w:r>
    </w:p>
    <w:p>
      <w:pPr>
        <w:spacing w:after="0" w:line="17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All share and per share information has been retroactively adjusted to reflect the stock split for all periods presented. The par value of the common stock remains $0.10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Estimates and Critical Accounting Policies</w:t>
      </w:r>
    </w:p>
    <w:p>
      <w:pPr>
        <w:spacing w:after="0" w:line="254"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7"/>
          <w:szCs w:val="17"/>
          <w:color w:val="auto"/>
        </w:rPr>
        <w:t>Information regarding estimates and critical accounting policies is included in Management's Discussion and Analysis in our Form 10-K for the fiscal year ended October 31, 2023. There have been no material changes in our policies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from those previously discussed in our Form 10-K for the fiscal year ended October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Information regarding new accounting pronouncements is included in Note 1. General of the Consolidated Condensed Financial Statements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714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firstLine="8"/>
        <w:spacing w:after="0" w:line="214" w:lineRule="auto"/>
        <w:tabs>
          <w:tab w:leader="none" w:pos="10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To further clarify the policy detailed in our Annual Report on Form 10-K for the fiscal year ended October 31, 2023, the current portion of the deferred revenue balances at the beginning of each period presented were generally fully recognized in a ratable manner in the subsequent 12-month period. We recognized revenue of approximately $31.0 million and $62.0 million for the three and six months ended April 30, 2024, respectively, that was included in the deferred revenue balance at January 31, 2024, and October 31, 2023.We recognized revenue of approximately $27.0 million and $50.0 million for the three and six months ended April 30, 2023, respectively, that was included in the deferred revenue balance at January 31, 2023, and October 31,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Quantitative and Qualitative Disclosure About Market Risk</w:t>
      </w:r>
    </w:p>
    <w:p>
      <w:pPr>
        <w:spacing w:after="0" w:line="169"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w:t>
      </w:r>
    </w:p>
    <w:p>
      <w:pPr>
        <w:spacing w:after="0" w:line="13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At April 30, 2024, a uniform hypothetical 10% increase or decrease in the foreign currency exchange rates in comparison to the value of the U.S. dollar would have resulted in a corresponding increase or decrease of approximately $28.3 million in operating income for the fiscal quarter ended April 30, 2024. See Note 12. Financial Derivatives and Hedging of the Consolidated Condensed Financial Statements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as the interest rates on our revolving lines of credit and term loans may vary with the federal funds rate and SOFR. As of April 30, 2024, we had outstanding debt for an aggregate carrying amount of $2.7 billion. We have entered, and in the future may enter, into interest rate swaps to manage interest rate risk.</w:t>
      </w:r>
    </w:p>
    <w:p>
      <w:pPr>
        <w:spacing w:after="0" w:line="12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second quarter of fiscal 2024. See Note 5. Financing Arrangements of the Consolidated Condensed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required by Rule 13a-15(d) and 15d-15(d) of the Exchange Act that occurred during our second quarter of fiscal 2024, that have materially affected, or are reasonably likely to materially affect, our internal control over financial reporting.</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PART II—OTHER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 Legal Proceedings</w:t>
      </w:r>
    </w:p>
    <w:p>
      <w:pPr>
        <w:spacing w:after="0" w:line="25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Information regarding legal proceedings is included in Note 10. Contingencies of the Consolidated Condensed Financial Statements of this Quarterly Report on Form 10-Q.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4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7"/>
          <w:szCs w:val="17"/>
          <w:color w:val="auto"/>
        </w:rPr>
        <w:t>Risk factors describing the major risks to our business can be found under Item 1A. Risk Factors in our Annual Report on Form 10-K for the fiscal year ended October 31, 2023. There have been no material changes to the risk factors previously disclosed in our Annual Report on Form 10-K for the fiscal year ended October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55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13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In March 2017, the authorization under the 2012 Stock Repurchase Program was increased to $1.0 billion by the Company's Board of Directors. As of April 30, 2024, $256.4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six months ended April 30, 2024, and 2023, there were no share repurchases.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Defaults Upon Senior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Mine Safety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2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During the six months ended April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8" w:name="page29"/>
    <w:bookmarkEnd w:id="28"/>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08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Description of Document</w:t>
            </w:r>
          </w:p>
        </w:tc>
      </w:tr>
      <w:tr>
        <w:trPr>
          <w:trHeight w:val="155"/>
        </w:trPr>
        <w:tc>
          <w:tcPr>
            <w:tcW w:w="6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7"/>
                <w:szCs w:val="17"/>
                <w:b w:val="1"/>
                <w:bCs w:val="1"/>
                <w:color w:val="auto"/>
                <w:w w:val="99"/>
              </w:rPr>
              <w:t>Number</w:t>
            </w:r>
          </w:p>
        </w:tc>
        <w:tc>
          <w:tcPr>
            <w:tcW w:w="308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spacing w:after="0" w:line="316" w:lineRule="exact"/>
        <w:rPr>
          <w:sz w:val="20"/>
          <w:szCs w:val="20"/>
          <w:color w:val="auto"/>
        </w:rPr>
      </w:pPr>
    </w:p>
    <w:p>
      <w:pPr>
        <w:ind w:left="920" w:right="480" w:hanging="655"/>
        <w:spacing w:after="0" w:line="248" w:lineRule="auto"/>
        <w:tabs>
          <w:tab w:leader="none" w:pos="90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u w:val="single" w:color="auto"/>
          <w:color w:val="0000FF"/>
        </w:rPr>
        <w:t>Executive Employment Agreement by and between The Cooper Companies, Inc. and Gerard Warner, effective as of March 19, 2024</w:t>
      </w:r>
    </w:p>
    <w:p>
      <w:pPr>
        <w:spacing w:after="0" w:line="82" w:lineRule="exact"/>
        <w:rPr>
          <w:sz w:val="20"/>
          <w:szCs w:val="20"/>
          <w:color w:val="auto"/>
        </w:rPr>
      </w:pPr>
    </w:p>
    <w:p>
      <w:pPr>
        <w:ind w:left="920" w:right="180" w:hanging="655"/>
        <w:spacing w:after="0" w:line="248" w:lineRule="auto"/>
        <w:tabs>
          <w:tab w:leader="none" w:pos="90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u w:val="single" w:color="auto"/>
          <w:color w:val="0000FF"/>
        </w:rPr>
        <w:t>Executive Employment Agreement by and between The Cooper Companies, Inc. and Albert G. White III, effective as of March 19, 2024</w:t>
      </w:r>
    </w:p>
    <w:p>
      <w:pPr>
        <w:spacing w:after="0" w:line="82" w:lineRule="exact"/>
        <w:rPr>
          <w:sz w:val="20"/>
          <w:szCs w:val="20"/>
          <w:color w:val="auto"/>
        </w:rPr>
      </w:pPr>
    </w:p>
    <w:p>
      <w:pPr>
        <w:ind w:left="920" w:right="180" w:hanging="655"/>
        <w:spacing w:after="0" w:line="248" w:lineRule="auto"/>
        <w:tabs>
          <w:tab w:leader="none" w:pos="90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u w:val="single" w:color="auto"/>
          <w:color w:val="0000FF"/>
        </w:rPr>
        <w:t>Executive Employment Agreement by and between The Cooper Companies, Inc. and Daniel G. McBride, effective as of March 19, 2024</w:t>
      </w:r>
    </w:p>
    <w:p>
      <w:pPr>
        <w:spacing w:after="0" w:line="82" w:lineRule="exact"/>
        <w:rPr>
          <w:sz w:val="20"/>
          <w:szCs w:val="20"/>
          <w:color w:val="auto"/>
        </w:rPr>
      </w:pPr>
    </w:p>
    <w:p>
      <w:pPr>
        <w:ind w:left="920" w:right="80" w:hanging="612"/>
        <w:spacing w:after="0" w:line="234"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w:t>
      </w:r>
      <w:r>
        <w:rPr>
          <w:sz w:val="20"/>
          <w:szCs w:val="20"/>
          <w:color w:val="auto"/>
        </w:rPr>
        <w:tab/>
      </w:r>
      <w:hyperlink r:id="rId44">
        <w:r>
          <w:rPr>
            <w:rFonts w:ascii="Times New Roman" w:cs="Times New Roman" w:eastAsia="Times New Roman" w:hAnsi="Times New Roman"/>
            <w:sz w:val="17"/>
            <w:szCs w:val="17"/>
            <w:u w:val="single" w:color="auto"/>
            <w:color w:val="0000FF"/>
          </w:rPr>
          <w:t>Revolving Credit Agreement, dated as of May 1, 2024, among the Company, CooperVision International</w:t>
        </w:r>
      </w:hyperlink>
      <w:r>
        <w:rPr>
          <w:rFonts w:ascii="Times New Roman" w:cs="Times New Roman" w:eastAsia="Times New Roman" w:hAnsi="Times New Roman"/>
          <w:sz w:val="17"/>
          <w:szCs w:val="17"/>
          <w:u w:val="single" w:color="auto"/>
          <w:color w:val="0000FF"/>
        </w:rPr>
        <w:t xml:space="preserve"> </w:t>
      </w:r>
      <w:hyperlink r:id="rId44">
        <w:r>
          <w:rPr>
            <w:rFonts w:ascii="Times New Roman" w:cs="Times New Roman" w:eastAsia="Times New Roman" w:hAnsi="Times New Roman"/>
            <w:sz w:val="17"/>
            <w:szCs w:val="17"/>
            <w:u w:val="single" w:color="auto"/>
            <w:color w:val="0000FF"/>
          </w:rPr>
          <w:t>Limited, the lenders from time to time party thereto and PNC Bank National Association, as administrative</w:t>
        </w:r>
      </w:hyperlink>
      <w:r>
        <w:rPr>
          <w:rFonts w:ascii="Times New Roman" w:cs="Times New Roman" w:eastAsia="Times New Roman" w:hAnsi="Times New Roman"/>
          <w:sz w:val="17"/>
          <w:szCs w:val="17"/>
          <w:u w:val="single" w:color="auto"/>
          <w:color w:val="0000FF"/>
        </w:rPr>
        <w:t xml:space="preserve"> </w:t>
      </w:r>
      <w:hyperlink r:id="rId44">
        <w:r>
          <w:rPr>
            <w:rFonts w:ascii="Times New Roman" w:cs="Times New Roman" w:eastAsia="Times New Roman" w:hAnsi="Times New Roman"/>
            <w:sz w:val="17"/>
            <w:szCs w:val="17"/>
            <w:u w:val="single" w:color="auto"/>
            <w:color w:val="0000FF"/>
          </w:rPr>
          <w:t>agent</w:t>
        </w:r>
      </w:hyperlink>
    </w:p>
    <w:p>
      <w:pPr>
        <w:spacing w:after="0" w:line="90" w:lineRule="exact"/>
        <w:rPr>
          <w:rFonts w:ascii="Times New Roman" w:cs="Times New Roman" w:eastAsia="Times New Roman" w:hAnsi="Times New Roman"/>
          <w:sz w:val="17"/>
          <w:szCs w:val="17"/>
          <w:u w:val="single" w:color="auto"/>
          <w:color w:val="0000FF"/>
        </w:rPr>
      </w:pPr>
    </w:p>
    <w:p>
      <w:pPr>
        <w:jc w:val="both"/>
        <w:ind w:left="920" w:hanging="612"/>
        <w:spacing w:after="0" w:line="234"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10.5</w:t>
      </w:r>
      <w:r>
        <w:rPr>
          <w:sz w:val="20"/>
          <w:szCs w:val="20"/>
          <w:color w:val="auto"/>
        </w:rPr>
        <w:tab/>
      </w:r>
      <w:hyperlink r:id="rId45">
        <w:r>
          <w:rPr>
            <w:rFonts w:ascii="Times New Roman" w:cs="Times New Roman" w:eastAsia="Times New Roman" w:hAnsi="Times New Roman"/>
            <w:sz w:val="17"/>
            <w:szCs w:val="17"/>
            <w:u w:val="single" w:color="auto"/>
            <w:color w:val="0000FF"/>
          </w:rPr>
          <w:t>Amendment No. 2, dated as of May 1, 2024, to the Term Loan Agreement, dated as of December 17, 2021,</w:t>
        </w:r>
      </w:hyperlink>
      <w:r>
        <w:rPr>
          <w:rFonts w:ascii="Times New Roman" w:cs="Times New Roman" w:eastAsia="Times New Roman" w:hAnsi="Times New Roman"/>
          <w:sz w:val="17"/>
          <w:szCs w:val="17"/>
          <w:u w:val="single" w:color="auto"/>
          <w:color w:val="0000FF"/>
        </w:rPr>
        <w:t xml:space="preserve"> </w:t>
      </w:r>
      <w:hyperlink r:id="rId45">
        <w:r>
          <w:rPr>
            <w:rFonts w:ascii="Times New Roman" w:cs="Times New Roman" w:eastAsia="Times New Roman" w:hAnsi="Times New Roman"/>
            <w:sz w:val="17"/>
            <w:szCs w:val="17"/>
            <w:u w:val="single" w:color="auto"/>
            <w:color w:val="0000FF"/>
          </w:rPr>
          <w:t>by and among The Cooper Companies, Inc., the lenders party thereto, and PNC Bank, National Association,</w:t>
        </w:r>
      </w:hyperlink>
      <w:r>
        <w:rPr>
          <w:rFonts w:ascii="Times New Roman" w:cs="Times New Roman" w:eastAsia="Times New Roman" w:hAnsi="Times New Roman"/>
          <w:sz w:val="17"/>
          <w:szCs w:val="17"/>
          <w:u w:val="single" w:color="auto"/>
          <w:color w:val="0000FF"/>
        </w:rPr>
        <w:t xml:space="preserve"> </w:t>
      </w:r>
      <w:hyperlink r:id="rId45">
        <w:r>
          <w:rPr>
            <w:rFonts w:ascii="Times New Roman" w:cs="Times New Roman" w:eastAsia="Times New Roman" w:hAnsi="Times New Roman"/>
            <w:sz w:val="17"/>
            <w:szCs w:val="17"/>
            <w:u w:val="single" w:color="auto"/>
            <w:color w:val="0000FF"/>
          </w:rPr>
          <w:t>as the administrative agent</w:t>
        </w:r>
      </w:hyperlink>
    </w:p>
    <w:p>
      <w:pPr>
        <w:spacing w:after="0" w:line="90" w:lineRule="exact"/>
        <w:rPr>
          <w:rFonts w:ascii="Times New Roman" w:cs="Times New Roman" w:eastAsia="Times New Roman" w:hAnsi="Times New Roman"/>
          <w:sz w:val="17"/>
          <w:szCs w:val="17"/>
          <w:u w:val="single" w:color="auto"/>
          <w:color w:val="0000FF"/>
        </w:rPr>
      </w:pPr>
    </w:p>
    <w:p>
      <w:pPr>
        <w:ind w:left="920" w:right="100" w:hanging="612"/>
        <w:spacing w:after="0" w:line="248" w:lineRule="auto"/>
        <w:tabs>
          <w:tab w:leader="none" w:pos="90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 13a-14(a) under the Securities Exchange Act of 1934</w:t>
      </w:r>
    </w:p>
    <w:p>
      <w:pPr>
        <w:spacing w:after="0" w:line="82" w:lineRule="exact"/>
        <w:rPr>
          <w:rFonts w:ascii="Times New Roman" w:cs="Times New Roman" w:eastAsia="Times New Roman" w:hAnsi="Times New Roman"/>
          <w:sz w:val="17"/>
          <w:szCs w:val="17"/>
          <w:u w:val="single" w:color="auto"/>
          <w:color w:val="0000FF"/>
        </w:rPr>
      </w:pPr>
    </w:p>
    <w:p>
      <w:pPr>
        <w:ind w:left="920" w:right="140" w:hanging="612"/>
        <w:spacing w:after="0" w:line="248" w:lineRule="auto"/>
        <w:tabs>
          <w:tab w:leader="none" w:pos="90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Rule 13a-14(a) under the Securities Exchange Act of 1934</w:t>
      </w:r>
    </w:p>
    <w:p>
      <w:pPr>
        <w:spacing w:after="0" w:line="82" w:lineRule="exact"/>
        <w:rPr>
          <w:rFonts w:ascii="Times New Roman" w:cs="Times New Roman" w:eastAsia="Times New Roman" w:hAnsi="Times New Roman"/>
          <w:sz w:val="17"/>
          <w:szCs w:val="17"/>
          <w:u w:val="single" w:color="auto"/>
          <w:color w:val="0000FF"/>
        </w:rPr>
      </w:pPr>
    </w:p>
    <w:p>
      <w:pPr>
        <w:ind w:left="300"/>
        <w:spacing w:after="0"/>
        <w:tabs>
          <w:tab w:leader="none" w:pos="90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18 U.S.C. Section 1350</w:t>
      </w:r>
    </w:p>
    <w:p>
      <w:pPr>
        <w:spacing w:after="0" w:line="129" w:lineRule="exact"/>
        <w:rPr>
          <w:rFonts w:ascii="Times New Roman" w:cs="Times New Roman" w:eastAsia="Times New Roman" w:hAnsi="Times New Roman"/>
          <w:sz w:val="17"/>
          <w:szCs w:val="17"/>
          <w:u w:val="single" w:color="auto"/>
          <w:color w:val="0000FF"/>
        </w:rPr>
      </w:pPr>
    </w:p>
    <w:p>
      <w:pPr>
        <w:ind w:left="300"/>
        <w:spacing w:after="0"/>
        <w:tabs>
          <w:tab w:leader="none" w:pos="90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18 U.S.C. Section 1350</w:t>
      </w:r>
    </w:p>
    <w:p>
      <w:pPr>
        <w:spacing w:after="0" w:line="129" w:lineRule="exact"/>
        <w:rPr>
          <w:rFonts w:ascii="Times New Roman" w:cs="Times New Roman" w:eastAsia="Times New Roman" w:hAnsi="Times New Roman"/>
          <w:sz w:val="17"/>
          <w:szCs w:val="17"/>
          <w:u w:val="single" w:color="auto"/>
          <w:color w:val="0000FF"/>
        </w:rPr>
      </w:pPr>
    </w:p>
    <w:p>
      <w:pPr>
        <w:ind w:left="920" w:right="160" w:hanging="655"/>
        <w:spacing w:after="0" w:line="226" w:lineRule="auto"/>
        <w:tabs>
          <w:tab w:leader="none" w:pos="900" w:val="left"/>
        </w:tabs>
        <w:rPr>
          <w:sz w:val="20"/>
          <w:szCs w:val="20"/>
          <w:color w:val="auto"/>
        </w:rPr>
      </w:pPr>
      <w:r>
        <w:rPr>
          <w:rFonts w:ascii="Times New Roman" w:cs="Times New Roman" w:eastAsia="Times New Roman" w:hAnsi="Times New Roman"/>
          <w:sz w:val="17"/>
          <w:szCs w:val="17"/>
          <w:color w:val="auto"/>
        </w:rPr>
        <w:t>101.1</w:t>
      </w:r>
      <w:r>
        <w:rPr>
          <w:sz w:val="20"/>
          <w:szCs w:val="20"/>
          <w:color w:val="auto"/>
        </w:rPr>
        <w:tab/>
      </w:r>
      <w:r>
        <w:rPr>
          <w:rFonts w:ascii="Times New Roman" w:cs="Times New Roman" w:eastAsia="Times New Roman" w:hAnsi="Times New Roman"/>
          <w:sz w:val="17"/>
          <w:szCs w:val="17"/>
          <w:color w:val="auto"/>
        </w:rPr>
        <w:t>The following materials from the Company's Quarterly Report on Form 10-Q for the three and six months period ended April 30, 2024 formatted in Inline XBRL (Extensible Business Reporting Language): (i)</w:t>
      </w:r>
    </w:p>
    <w:p>
      <w:pPr>
        <w:spacing w:after="0" w:line="1" w:lineRule="exact"/>
        <w:rPr>
          <w:rFonts w:ascii="Times New Roman" w:cs="Times New Roman" w:eastAsia="Times New Roman" w:hAnsi="Times New Roman"/>
          <w:sz w:val="17"/>
          <w:szCs w:val="17"/>
          <w:u w:val="single" w:color="auto"/>
          <w:color w:val="0000FF"/>
        </w:rPr>
      </w:pPr>
    </w:p>
    <w:p>
      <w:pPr>
        <w:ind w:left="920" w:right="160"/>
        <w:spacing w:after="0" w:line="207" w:lineRule="auto"/>
        <w:rPr>
          <w:sz w:val="20"/>
          <w:szCs w:val="20"/>
          <w:color w:val="auto"/>
        </w:rPr>
      </w:pPr>
      <w:r>
        <w:rPr>
          <w:rFonts w:ascii="Times New Roman" w:cs="Times New Roman" w:eastAsia="Times New Roman" w:hAnsi="Times New Roman"/>
          <w:sz w:val="17"/>
          <w:szCs w:val="17"/>
          <w:color w:val="auto"/>
        </w:rPr>
        <w:t>Consolidated Condensed Statements of Income and Comprehensive Income, (ii) Consolidated Condensed Balance Sheets, (iii) Consolidated Condensed Statements of Stockholders' Equity, (iv) Consolidated</w:t>
      </w:r>
    </w:p>
    <w:p>
      <w:pPr>
        <w:ind w:left="920" w:right="740"/>
        <w:spacing w:after="0" w:line="224" w:lineRule="auto"/>
        <w:rPr>
          <w:sz w:val="20"/>
          <w:szCs w:val="20"/>
          <w:color w:val="auto"/>
        </w:rPr>
      </w:pPr>
      <w:r>
        <w:rPr>
          <w:rFonts w:ascii="Times New Roman" w:cs="Times New Roman" w:eastAsia="Times New Roman" w:hAnsi="Times New Roman"/>
          <w:sz w:val="17"/>
          <w:szCs w:val="17"/>
          <w:color w:val="auto"/>
        </w:rPr>
        <w:t>Condensed Statements of Cash Flows and (v) related Notes to Consolidated Condensed Financial Statements.</w:t>
      </w:r>
    </w:p>
    <w:p>
      <w:pPr>
        <w:spacing w:after="0" w:line="103" w:lineRule="exact"/>
        <w:rPr>
          <w:rFonts w:ascii="Times New Roman" w:cs="Times New Roman" w:eastAsia="Times New Roman" w:hAnsi="Times New Roman"/>
          <w:sz w:val="17"/>
          <w:szCs w:val="17"/>
          <w:u w:val="single" w:color="auto"/>
          <w:color w:val="0000FF"/>
        </w:rPr>
      </w:pPr>
    </w:p>
    <w:p>
      <w:pPr>
        <w:ind w:left="260"/>
        <w:spacing w:after="0"/>
        <w:tabs>
          <w:tab w:leader="none" w:pos="900" w:val="left"/>
        </w:tabs>
        <w:rPr>
          <w:sz w:val="20"/>
          <w:szCs w:val="20"/>
          <w:color w:val="auto"/>
        </w:rPr>
      </w:pPr>
      <w:r>
        <w:rPr>
          <w:rFonts w:ascii="Times New Roman" w:cs="Times New Roman" w:eastAsia="Times New Roman" w:hAnsi="Times New Roman"/>
          <w:sz w:val="17"/>
          <w:szCs w:val="17"/>
          <w:color w:val="auto"/>
        </w:rPr>
        <w:t>104.1</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77" w:lineRule="exact"/>
        <w:rPr>
          <w:rFonts w:ascii="Times New Roman" w:cs="Times New Roman" w:eastAsia="Times New Roman" w:hAnsi="Times New Roman"/>
          <w:sz w:val="17"/>
          <w:szCs w:val="17"/>
          <w:u w:val="single" w:color="auto"/>
          <w:color w:val="0000FF"/>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Indicates management contract or compensatory plan.</w:t>
      </w:r>
    </w:p>
    <w:p>
      <w:pPr>
        <w:spacing w:after="0" w:line="200" w:lineRule="exact"/>
        <w:rPr>
          <w:rFonts w:ascii="Times New Roman" w:cs="Times New Roman" w:eastAsia="Times New Roman" w:hAnsi="Times New Roman"/>
          <w:sz w:val="17"/>
          <w:szCs w:val="17"/>
          <w:u w:val="single" w:color="auto"/>
          <w:color w:val="0000FF"/>
        </w:rPr>
      </w:pPr>
    </w:p>
    <w:p>
      <w:pPr>
        <w:spacing w:after="0" w:line="364" w:lineRule="exact"/>
        <w:rPr>
          <w:rFonts w:ascii="Times New Roman" w:cs="Times New Roman" w:eastAsia="Times New Roman" w:hAnsi="Times New Roman"/>
          <w:sz w:val="17"/>
          <w:szCs w:val="17"/>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2" w:lineRule="exact"/>
        <w:rPr>
          <w:rFonts w:ascii="Times New Roman" w:cs="Times New Roman" w:eastAsia="Times New Roman" w:hAnsi="Times New Roman"/>
          <w:sz w:val="17"/>
          <w:szCs w:val="17"/>
          <w:u w:val="single" w:color="auto"/>
          <w:color w:val="0000FF"/>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5" w:lineRule="exact"/>
        <w:rPr>
          <w:rFonts w:ascii="Times New Roman" w:cs="Times New Roman" w:eastAsia="Times New Roman" w:hAnsi="Times New Roman"/>
          <w:sz w:val="17"/>
          <w:szCs w:val="17"/>
          <w:u w:val="single" w:color="auto"/>
          <w:color w:val="0000FF"/>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c>
          <w:tcPr>
            <w:tcW w:w="0" w:type="dxa"/>
            <w:vAlign w:val="bottom"/>
          </w:tcPr>
          <w:p>
            <w:pPr>
              <w:spacing w:after="0"/>
              <w:rPr>
                <w:sz w:val="1"/>
                <w:szCs w:val="1"/>
                <w:color w:val="auto"/>
              </w:rPr>
            </w:pPr>
          </w:p>
        </w:tc>
      </w:tr>
      <w:tr>
        <w:trPr>
          <w:trHeight w:val="18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jc w:val="center"/>
              <w:ind w:left="90"/>
              <w:spacing w:after="0" w:line="184" w:lineRule="exact"/>
              <w:rPr>
                <w:sz w:val="20"/>
                <w:szCs w:val="20"/>
                <w:color w:val="auto"/>
              </w:rPr>
            </w:pPr>
            <w:r>
              <w:rPr>
                <w:rFonts w:ascii="Times New Roman" w:cs="Times New Roman" w:eastAsia="Times New Roman" w:hAnsi="Times New Roman"/>
                <w:sz w:val="18"/>
                <w:szCs w:val="18"/>
                <w:b w:val="1"/>
                <w:bCs w:val="1"/>
                <w:color w:val="auto"/>
              </w:rPr>
              <w:t>Period End</w:t>
            </w:r>
          </w:p>
        </w:tc>
        <w:tc>
          <w:tcPr>
            <w:tcW w:w="0" w:type="dxa"/>
            <w:vAlign w:val="bottom"/>
          </w:tcPr>
          <w:p>
            <w:pPr>
              <w:spacing w:after="0"/>
              <w:rPr>
                <w:sz w:val="1"/>
                <w:szCs w:val="1"/>
                <w:color w:val="auto"/>
              </w:rPr>
            </w:pPr>
          </w:p>
        </w:tc>
      </w:tr>
      <w:tr>
        <w:trPr>
          <w:trHeight w:val="238"/>
        </w:trPr>
        <w:tc>
          <w:tcPr>
            <w:tcW w:w="6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76" w:lineRule="exact"/>
        <w:rPr>
          <w:rFonts w:ascii="Times New Roman" w:cs="Times New Roman" w:eastAsia="Times New Roman" w:hAnsi="Times New Roman"/>
          <w:sz w:val="17"/>
          <w:szCs w:val="17"/>
          <w:u w:val="single" w:color="auto"/>
          <w:color w:val="0000FF"/>
        </w:rPr>
      </w:pPr>
    </w:p>
    <w:p>
      <w:pPr>
        <w:ind w:left="80"/>
        <w:spacing w:after="0"/>
        <w:tabs>
          <w:tab w:leader="none" w:pos="880" w:val="left"/>
          <w:tab w:leader="none" w:pos="17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5/1/2024</w:t>
      </w:r>
    </w:p>
    <w:p>
      <w:pPr>
        <w:spacing w:after="0" w:line="200" w:lineRule="exact"/>
        <w:rPr>
          <w:rFonts w:ascii="Times New Roman" w:cs="Times New Roman" w:eastAsia="Times New Roman" w:hAnsi="Times New Roman"/>
          <w:sz w:val="17"/>
          <w:szCs w:val="17"/>
          <w:u w:val="single" w:color="auto"/>
          <w:color w:val="0000FF"/>
        </w:rPr>
      </w:pPr>
    </w:p>
    <w:p>
      <w:pPr>
        <w:spacing w:after="0" w:line="255" w:lineRule="exact"/>
        <w:rPr>
          <w:rFonts w:ascii="Times New Roman" w:cs="Times New Roman" w:eastAsia="Times New Roman" w:hAnsi="Times New Roman"/>
          <w:sz w:val="17"/>
          <w:szCs w:val="17"/>
          <w:u w:val="single" w:color="auto"/>
          <w:color w:val="0000FF"/>
        </w:rPr>
      </w:pPr>
    </w:p>
    <w:p>
      <w:pPr>
        <w:ind w:left="80"/>
        <w:spacing w:after="0"/>
        <w:tabs>
          <w:tab w:leader="none" w:pos="880" w:val="left"/>
          <w:tab w:leader="none" w:pos="17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5/1/2024</w:t>
      </w:r>
    </w:p>
    <w:p>
      <w:pPr>
        <w:sectPr>
          <w:pgSz w:w="11900" w:h="16838" w:orient="portrait"/>
          <w:cols w:equalWidth="0" w:num="2">
            <w:col w:w="8320" w:space="220"/>
            <w:col w:w="2560"/>
          </w:cols>
          <w:pgMar w:left="320" w:top="796" w:right="479" w:bottom="1440" w:gutter="0" w:footer="0" w:header="0"/>
        </w:sectPr>
      </w:pPr>
    </w:p>
    <w:bookmarkStart w:id="29" w:name="page30"/>
    <w:bookmarkEnd w:id="29"/>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26670</wp:posOffset>
            </wp:positionV>
            <wp:extent cx="33343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7"/>
          <w:szCs w:val="17"/>
          <w:color w:val="auto"/>
        </w:rPr>
        <w:t>(Registrant)</w:t>
      </w:r>
    </w:p>
    <w:p>
      <w:pPr>
        <w:spacing w:after="0" w:line="304" w:lineRule="exact"/>
        <w:rPr>
          <w:sz w:val="20"/>
          <w:szCs w:val="20"/>
          <w:color w:val="auto"/>
        </w:rPr>
      </w:pPr>
    </w:p>
    <w:p>
      <w:pPr>
        <w:ind w:left="20"/>
        <w:spacing w:after="0"/>
        <w:tabs>
          <w:tab w:leader="none" w:pos="7160" w:val="left"/>
        </w:tabs>
        <w:rPr>
          <w:sz w:val="20"/>
          <w:szCs w:val="20"/>
          <w:color w:val="auto"/>
        </w:rPr>
      </w:pPr>
      <w:r>
        <w:rPr>
          <w:rFonts w:ascii="Times New Roman" w:cs="Times New Roman" w:eastAsia="Times New Roman" w:hAnsi="Times New Roman"/>
          <w:sz w:val="17"/>
          <w:szCs w:val="17"/>
          <w:color w:val="auto"/>
        </w:rPr>
        <w:t>Date: May 31, 2024</w:t>
      </w:r>
      <w:r>
        <w:rPr>
          <w:sz w:val="20"/>
          <w:szCs w:val="20"/>
          <w:color w:val="auto"/>
        </w:rPr>
        <w:tab/>
      </w:r>
      <w:r>
        <w:rPr>
          <w:rFonts w:ascii="Times New Roman" w:cs="Times New Roman" w:eastAsia="Times New Roman" w:hAnsi="Times New Roman"/>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26670</wp:posOffset>
            </wp:positionV>
            <wp:extent cx="33343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Brian G. Andrews</w:t>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ind w:left="69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160" w:val="left"/>
        </w:tabs>
        <w:rPr>
          <w:sz w:val="20"/>
          <w:szCs w:val="20"/>
          <w:color w:val="auto"/>
        </w:rPr>
      </w:pPr>
      <w:r>
        <w:rPr>
          <w:rFonts w:ascii="Times New Roman" w:cs="Times New Roman" w:eastAsia="Times New Roman" w:hAnsi="Times New Roman"/>
          <w:sz w:val="17"/>
          <w:szCs w:val="17"/>
          <w:color w:val="auto"/>
        </w:rPr>
        <w:t>Date: May 31, 2024</w:t>
      </w:r>
      <w:r>
        <w:rPr>
          <w:sz w:val="20"/>
          <w:szCs w:val="20"/>
          <w:color w:val="auto"/>
        </w:rPr>
        <w:tab/>
      </w:r>
      <w:r>
        <w:rPr>
          <w:rFonts w:ascii="Times New Roman" w:cs="Times New Roman" w:eastAsia="Times New Roman" w:hAnsi="Times New Roman"/>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26670</wp:posOffset>
            </wp:positionV>
            <wp:extent cx="33343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Agostino Ricupati</w:t>
      </w:r>
    </w:p>
    <w:p>
      <w:pPr>
        <w:spacing w:after="0" w:line="3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Senior Vice President and Chief Accounting Officer (Principal Accounting</w:t>
      </w:r>
    </w:p>
    <w:p>
      <w:pPr>
        <w:ind w:left="7620"/>
        <w:spacing w:after="0"/>
        <w:rPr>
          <w:sz w:val="20"/>
          <w:szCs w:val="20"/>
          <w:color w:val="auto"/>
        </w:rPr>
      </w:pP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320" w:top="796" w:right="879" w:bottom="1440" w:gutter="0" w:footer="0" w:header="0"/>
        </w:sectPr>
      </w:pPr>
    </w:p>
    <w:bookmarkStart w:id="30" w:name="page31"/>
    <w:bookmarkEnd w:id="30"/>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3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by and between The Cooper Companies, Inc. (collectively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its subsidiaries,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Gerard Warner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As of the date (the “</w:t>
      </w:r>
      <w:r>
        <w:rPr>
          <w:rFonts w:ascii="Times New Roman" w:cs="Times New Roman" w:eastAsia="Times New Roman" w:hAnsi="Times New Roman"/>
          <w:sz w:val="20"/>
          <w:szCs w:val="20"/>
          <w:b w:val="1"/>
          <w:bCs w:val="1"/>
          <w:color w:val="auto"/>
        </w:rPr>
        <w:t>Execution Date</w:t>
      </w:r>
      <w:r>
        <w:rPr>
          <w:rFonts w:ascii="Times New Roman" w:cs="Times New Roman" w:eastAsia="Times New Roman" w:hAnsi="Times New Roman"/>
          <w:sz w:val="20"/>
          <w:szCs w:val="20"/>
          <w:color w:val="auto"/>
        </w:rPr>
        <w:t>”) this Agreement has been executed by both Parties, it will be deemed effective as of March 19, 2024 (the “</w:t>
      </w:r>
      <w:r>
        <w:rPr>
          <w:rFonts w:ascii="Times New Roman" w:cs="Times New Roman" w:eastAsia="Times New Roman" w:hAnsi="Times New Roman"/>
          <w:sz w:val="20"/>
          <w:szCs w:val="20"/>
          <w:b w:val="1"/>
          <w:b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is currently employed by Company as its President of CooperVision, Inc., a wholly-owned subsidiary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Company wishes to continue to employ Executive and Executive wishes to be employed by Company on the terms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and</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intend for this Agreement to set forth all of the terms and conditions of Executive’s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and covenants contained herein, the Parties agree as follows:</w:t>
      </w:r>
    </w:p>
    <w:p>
      <w:pPr>
        <w:spacing w:after="0" w:line="216" w:lineRule="exact"/>
        <w:rPr>
          <w:sz w:val="20"/>
          <w:szCs w:val="20"/>
          <w:color w:val="auto"/>
        </w:rPr>
      </w:pPr>
    </w:p>
    <w:p>
      <w:pPr>
        <w:ind w:firstLine="8"/>
        <w:spacing w:after="0" w:line="287" w:lineRule="auto"/>
        <w:tabs>
          <w:tab w:leader="none" w:pos="427"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Position. </w:t>
      </w:r>
      <w:r>
        <w:rPr>
          <w:rFonts w:ascii="Times New Roman" w:cs="Times New Roman" w:eastAsia="Times New Roman" w:hAnsi="Times New Roman"/>
          <w:sz w:val="20"/>
          <w:szCs w:val="20"/>
          <w:color w:val="auto"/>
        </w:rPr>
        <w:t>Company will continue to employ Executive and Executive shall continue to serve Company in the capacity of President,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CooperVision, Inc.</w:t>
      </w:r>
    </w:p>
    <w:p>
      <w:pPr>
        <w:spacing w:after="0" w:line="138"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454"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w:t>
      </w:r>
      <w:r>
        <w:rPr>
          <w:rFonts w:ascii="Times New Roman" w:cs="Times New Roman" w:eastAsia="Times New Roman" w:hAnsi="Times New Roman"/>
          <w:sz w:val="20"/>
          <w:szCs w:val="20"/>
          <w:color w:val="auto"/>
        </w:rPr>
        <w:t>As President, CooperVision, Inc., Executive shall render exclusive, full-time services to Company and its subsidiaries,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such authority and perform such duties as assigned to Executive by Company’s Operating Officer (the “</w:t>
      </w:r>
      <w:r>
        <w:rPr>
          <w:rFonts w:ascii="Times New Roman" w:cs="Times New Roman" w:eastAsia="Times New Roman" w:hAnsi="Times New Roman"/>
          <w:sz w:val="20"/>
          <w:szCs w:val="20"/>
          <w:b w:val="1"/>
          <w:bCs w:val="1"/>
          <w:color w:val="auto"/>
        </w:rPr>
        <w:t>COO</w:t>
      </w:r>
      <w:r>
        <w:rPr>
          <w:rFonts w:ascii="Times New Roman" w:cs="Times New Roman" w:eastAsia="Times New Roman" w:hAnsi="Times New Roman"/>
          <w:sz w:val="20"/>
          <w:szCs w:val="20"/>
          <w:color w:val="auto"/>
        </w:rPr>
        <w:t>”). Executive shall report to the COO. Executive shall perform services under this Agreement primarily at Company’s office in Victor, New York, and undertake business travel as necessary in performing the duties of his position. Subject to the terms of this Agreement, Executive’s responsibilities, working conditions and duties may be modified at the sole discretion of the COO or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While employed by Company, Executive shall not compete with, or prepare to compete with Company, and Executive shall devote Executive’s best efforts and full business time, skill and attention to performance of Executive’s duties on behalf of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Executive may engage in civic, educational and not-for-profit activities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charitable, university affiliation and industry 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other than in a representative capacity for the Company or its affiliates, except with the prior written approval of the COO, which approval may be rescinded at any time in the COO’s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190"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355"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Policies and Procedures. </w:t>
      </w:r>
      <w:r>
        <w:rPr>
          <w:rFonts w:ascii="Times New Roman" w:cs="Times New Roman" w:eastAsia="Times New Roman" w:hAnsi="Times New Roman"/>
          <w:sz w:val="20"/>
          <w:szCs w:val="20"/>
          <w:color w:val="auto"/>
        </w:rPr>
        <w:t>Executive shall be subject to and will comply with the policies and procedures of Company, as modified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at Company’s sole discretion, except to the extent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5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any such policy or procedure specifically conflicts with the express terms of this Agreement (in which case, this Agreement shall control).</w:t>
      </w:r>
    </w:p>
    <w:p>
      <w:pPr>
        <w:spacing w:after="0" w:line="212" w:lineRule="exact"/>
        <w:rPr>
          <w:sz w:val="20"/>
          <w:szCs w:val="20"/>
          <w:color w:val="auto"/>
        </w:rPr>
      </w:pPr>
    </w:p>
    <w:p>
      <w:pPr>
        <w:jc w:val="both"/>
        <w:ind w:firstLine="8"/>
        <w:spacing w:after="0" w:line="254" w:lineRule="auto"/>
        <w:tabs>
          <w:tab w:leader="none" w:pos="389"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Base Salary. </w:t>
      </w:r>
      <w:r>
        <w:rPr>
          <w:rFonts w:ascii="Times New Roman" w:cs="Times New Roman" w:eastAsia="Times New Roman" w:hAnsi="Times New Roman"/>
          <w:sz w:val="20"/>
          <w:szCs w:val="20"/>
          <w:color w:val="auto"/>
        </w:rPr>
        <w:t>For services rendered hereunder, Executive shall receive an initial base salary at the rate of $550,000 per year,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payroll withholdings and deductions, which shall be deemed to have been effective as of January 1, 2024, and an initial true-up payment will be made, if necessary, within fifteen (15) days of the Execution Date. Otherwise, such base salary amount will be paid periodically in accordance with ordinary Company payroll practices. Executive’s base salary shall be subject to annual reviews and periodic adjustment by the Organization and Compensation Committee of the Board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which has full discretion to adjust Executive’s base salary. (For purposes of this Agreement, Executive’s base salary as so adjusted from time to time, shall be referred to as the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40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Performance Bonus. </w:t>
      </w:r>
      <w:r>
        <w:rPr>
          <w:rFonts w:ascii="Times New Roman" w:cs="Times New Roman" w:eastAsia="Times New Roman" w:hAnsi="Times New Roman"/>
          <w:sz w:val="20"/>
          <w:szCs w:val="20"/>
          <w:color w:val="auto"/>
        </w:rPr>
        <w:t>Executive will be eligible to receive an annual performance bonus (“</w:t>
      </w:r>
      <w:r>
        <w:rPr>
          <w:rFonts w:ascii="Times New Roman" w:cs="Times New Roman" w:eastAsia="Times New Roman" w:hAnsi="Times New Roman"/>
          <w:sz w:val="20"/>
          <w:szCs w:val="20"/>
          <w:b w:val="1"/>
          <w:bCs w:val="1"/>
          <w:color w:val="auto"/>
        </w:rPr>
        <w:t>Performance Bonus</w:t>
      </w:r>
      <w:r>
        <w:rPr>
          <w:rFonts w:ascii="Times New Roman" w:cs="Times New Roman" w:eastAsia="Times New Roman" w:hAnsi="Times New Roman"/>
          <w:sz w:val="20"/>
          <w:szCs w:val="20"/>
          <w:color w:val="auto"/>
        </w:rPr>
        <w:t>”), with a target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“Bonus Target”</w:t>
      </w:r>
      <w:r>
        <w:rPr>
          <w:rFonts w:ascii="Times New Roman" w:cs="Times New Roman" w:eastAsia="Times New Roman" w:hAnsi="Times New Roman"/>
          <w:sz w:val="20"/>
          <w:szCs w:val="20"/>
          <w:color w:val="auto"/>
        </w:rPr>
        <w:t>) determined pursuant to Company’s Management Incentive Program (the “</w:t>
      </w:r>
      <w:r>
        <w:rPr>
          <w:rFonts w:ascii="Times New Roman" w:cs="Times New Roman" w:eastAsia="Times New Roman" w:hAnsi="Times New Roman"/>
          <w:sz w:val="20"/>
          <w:szCs w:val="20"/>
          <w:b w:val="1"/>
          <w:bCs w:val="1"/>
          <w:color w:val="auto"/>
        </w:rPr>
        <w:t>MIP</w:t>
      </w:r>
      <w:r>
        <w:rPr>
          <w:rFonts w:ascii="Times New Roman" w:cs="Times New Roman" w:eastAsia="Times New Roman" w:hAnsi="Times New Roman"/>
          <w:sz w:val="20"/>
          <w:szCs w:val="20"/>
          <w:color w:val="auto"/>
        </w:rPr>
        <w:t>”). The Board or its Compensation Committee will use best efforts to determine the Bonus Target for each year no later than December 31of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MIP.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79"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Benefits. </w:t>
      </w:r>
      <w:r>
        <w:rPr>
          <w:rFonts w:ascii="Times New Roman" w:cs="Times New Roman" w:eastAsia="Times New Roman" w:hAnsi="Times New Roman"/>
          <w:sz w:val="20"/>
          <w:szCs w:val="20"/>
          <w:color w:val="auto"/>
        </w:rPr>
        <w:t>While employed by Company pursuant to this Agreement, Executive shall be entitled to the following benefits: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71" w:lineRule="auto"/>
        <w:tabs>
          <w:tab w:leader="none" w:pos="1087" w:val="left"/>
        </w:tabs>
        <w:numPr>
          <w:ilvl w:val="1"/>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Executive Benefits</w:t>
      </w:r>
      <w:r>
        <w:rPr>
          <w:rFonts w:ascii="Times New Roman" w:cs="Times New Roman" w:eastAsia="Times New Roman" w:hAnsi="Times New Roman"/>
          <w:sz w:val="19"/>
          <w:szCs w:val="19"/>
          <w:color w:val="auto"/>
        </w:rPr>
        <w:t>. Executive shall be entitled to all benefits to which other executive officers of Company are entitled,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70" w:lineRule="exact"/>
        <w:rPr>
          <w:rFonts w:ascii="Times New Roman" w:cs="Times New Roman" w:eastAsia="Times New Roman" w:hAnsi="Times New Roman"/>
          <w:sz w:val="19"/>
          <w:szCs w:val="19"/>
          <w:b w:val="1"/>
          <w:bCs w:val="1"/>
          <w:color w:val="auto"/>
        </w:rPr>
      </w:pPr>
    </w:p>
    <w:p>
      <w:pPr>
        <w:jc w:val="both"/>
        <w:ind w:firstLine="656"/>
        <w:spacing w:after="0" w:line="260" w:lineRule="auto"/>
        <w:tabs>
          <w:tab w:leader="none" w:pos="1325" w:val="left"/>
        </w:tabs>
        <w:numPr>
          <w:ilvl w:val="1"/>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 Reimbursement. </w:t>
      </w:r>
      <w:r>
        <w:rPr>
          <w:rFonts w:ascii="Times New Roman" w:cs="Times New Roman" w:eastAsia="Times New Roman" w:hAnsi="Times New Roman"/>
          <w:sz w:val="20"/>
          <w:szCs w:val="20"/>
          <w:color w:val="auto"/>
        </w:rPr>
        <w:t>Executive shall receive reimbursement for reasonable out-of-pocket expenses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64"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Rights and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56" w:right="339" w:bottom="1440" w:gutter="0" w:footer="0" w:header="0"/>
        </w:sectPr>
      </w:pPr>
    </w:p>
    <w:bookmarkStart w:id="32" w:name="page33"/>
    <w:bookmarkEnd w:id="32"/>
    <w:p>
      <w:pPr>
        <w:ind w:right="20" w:firstLine="656"/>
        <w:spacing w:after="0" w:line="273" w:lineRule="auto"/>
        <w:tabs>
          <w:tab w:leader="none" w:pos="1163"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Executive entered into a Disclosure and Secrecy Agreement with the Company, dated May 21,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2012, which agreement remains in full force and effect, and is incorporated herein by this reference.</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196"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Property</w:t>
      </w:r>
      <w:r>
        <w:rPr>
          <w:rFonts w:ascii="Times New Roman" w:cs="Times New Roman" w:eastAsia="Times New Roman" w:hAnsi="Times New Roman"/>
          <w:sz w:val="20"/>
          <w:szCs w:val="20"/>
          <w:color w:val="auto"/>
        </w:rPr>
        <w:t>. Executive agrees that all Company-related business procured by Executive, and all Company-related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opportunities and plans made known to Executive while employed by Company, are and shall remain the permanent and exclusive property of Company.</w:t>
      </w:r>
    </w:p>
    <w:p>
      <w:pPr>
        <w:spacing w:after="0" w:line="175"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Employment.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098"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At-Will Status. </w:t>
      </w:r>
      <w:r>
        <w:rPr>
          <w:rFonts w:ascii="Times New Roman" w:cs="Times New Roman" w:eastAsia="Times New Roman" w:hAnsi="Times New Roman"/>
          <w:sz w:val="20"/>
          <w:szCs w:val="20"/>
          <w:color w:val="auto"/>
        </w:rPr>
        <w:t>Company and Executive understand and agree that this employment relationship is at-will. Accordingly, there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095"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Resignation by Executive. </w:t>
      </w:r>
      <w:r>
        <w:rPr>
          <w:rFonts w:ascii="Times New Roman" w:cs="Times New Roman" w:eastAsia="Times New Roman" w:hAnsi="Times New Roman"/>
          <w:sz w:val="20"/>
          <w:szCs w:val="20"/>
          <w:color w:val="auto"/>
        </w:rPr>
        <w:t>Executive may resign from Company with or without Good Reason. Executive agrees to provide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8(b) to receive more than three (3) months of Base Salary severance beyond the accelerated resignation date.</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65"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 of Cause.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Company to terminate Executive shall mean: (i)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conviction 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xml:space="preserve">” for Company to terminate Executive shall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135" w:val="left"/>
        </w:tabs>
        <w:numPr>
          <w:ilvl w:val="1"/>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 of Good Reason.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the occurrence of any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COO or to the Chief Executive Officer shall constitute a material diminution of Executive’s duties, authorities, or responsibilities as set forth in clause (ii) above in this paragraph. Notwithstanding the foregoing,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xml:space="preserve">” for Executive to resign shall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exist unless: (x) Executive provides Company with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52"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20"/>
          <w:szCs w:val="20"/>
          <w:color w:val="auto"/>
        </w:rPr>
        <w:t>written notice of the existence of the condition giving rise to Good Reason within ninety (90) days after its initial occurrence; (y) Company fails to remedy such condition within thirty (30) days after its receipt of such written notice; and (z) Executive resigns within ninety (90) days after the cure period has lapsed.</w:t>
      </w:r>
    </w:p>
    <w:p>
      <w:pPr>
        <w:spacing w:after="0" w:line="177" w:lineRule="exact"/>
        <w:rPr>
          <w:sz w:val="20"/>
          <w:szCs w:val="20"/>
          <w:color w:val="auto"/>
        </w:rPr>
      </w:pPr>
    </w:p>
    <w:p>
      <w:pPr>
        <w:jc w:val="both"/>
        <w:ind w:firstLine="656"/>
        <w:spacing w:after="0" w:line="254" w:lineRule="auto"/>
        <w:tabs>
          <w:tab w:leader="none" w:pos="109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Final Pay upon Termination for Any Reason. </w:t>
      </w:r>
      <w:r>
        <w:rPr>
          <w:rFonts w:ascii="Times New Roman" w:cs="Times New Roman" w:eastAsia="Times New Roman" w:hAnsi="Times New Roman"/>
          <w:sz w:val="20"/>
          <w:szCs w:val="20"/>
          <w:color w:val="auto"/>
        </w:rPr>
        <w:t>Except as otherwise provided by this Agreement and/or required by law,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73"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 Benefits upon a Covered Termination (No Change in Control).</w:t>
      </w:r>
    </w:p>
    <w:p>
      <w:pPr>
        <w:spacing w:after="0" w:line="256" w:lineRule="exact"/>
        <w:rPr>
          <w:rFonts w:ascii="Times New Roman" w:cs="Times New Roman" w:eastAsia="Times New Roman" w:hAnsi="Times New Roman"/>
          <w:sz w:val="20"/>
          <w:szCs w:val="20"/>
          <w:b w:val="1"/>
          <w:bCs w:val="1"/>
          <w:color w:val="auto"/>
        </w:rPr>
      </w:pPr>
    </w:p>
    <w:p>
      <w:pPr>
        <w:jc w:val="both"/>
        <w:ind w:firstLine="1304"/>
        <w:spacing w:after="0" w:line="247" w:lineRule="auto"/>
        <w:tabs>
          <w:tab w:leader="none" w:pos="1851"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Severance Benefits. </w:t>
      </w:r>
      <w:r>
        <w:rPr>
          <w:rFonts w:ascii="Times New Roman" w:cs="Times New Roman" w:eastAsia="Times New Roman" w:hAnsi="Times New Roman"/>
          <w:sz w:val="20"/>
          <w:szCs w:val="20"/>
          <w:color w:val="auto"/>
        </w:rPr>
        <w:t>If Executive’s employment is terminated by Company without Cause or due to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resignation for Good Reason (each a “</w:t>
      </w:r>
      <w:r>
        <w:rPr>
          <w:rFonts w:ascii="Times New Roman" w:cs="Times New Roman" w:eastAsia="Times New Roman" w:hAnsi="Times New Roman"/>
          <w:sz w:val="20"/>
          <w:szCs w:val="20"/>
          <w:b w:val="1"/>
          <w:bCs w:val="1"/>
          <w:color w:val="auto"/>
        </w:rPr>
        <w:t>Covered Termination</w:t>
      </w:r>
      <w:r>
        <w:rPr>
          <w:rFonts w:ascii="Times New Roman" w:cs="Times New Roman" w:eastAsia="Times New Roman" w:hAnsi="Times New Roman"/>
          <w:sz w:val="20"/>
          <w:szCs w:val="20"/>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Times New Roman" w:cs="Times New Roman" w:eastAsia="Times New Roman" w:hAnsi="Times New Roman"/>
          <w:sz w:val="20"/>
          <w:szCs w:val="20"/>
          <w:b w:val="1"/>
          <w:bCs w:val="1"/>
          <w:color w:val="auto"/>
        </w:rPr>
        <w:t>Cash Severance</w:t>
      </w:r>
      <w:r>
        <w:rPr>
          <w:rFonts w:ascii="Times New Roman" w:cs="Times New Roman" w:eastAsia="Times New Roman" w:hAnsi="Times New Roman"/>
          <w:sz w:val="20"/>
          <w:szCs w:val="20"/>
          <w:color w:val="auto"/>
        </w:rPr>
        <w:t>”); (2) a lump sum cash payment equal to the full amount of Executive’s Bonus Target for the fiscal year in which the Separation Date occurs, less applicable employment tax withholdings and deductions (the “</w:t>
      </w:r>
      <w:r>
        <w:rPr>
          <w:rFonts w:ascii="Times New Roman" w:cs="Times New Roman" w:eastAsia="Times New Roman" w:hAnsi="Times New Roman"/>
          <w:sz w:val="20"/>
          <w:szCs w:val="20"/>
          <w:b w:val="1"/>
          <w:bCs w:val="1"/>
          <w:color w:val="auto"/>
        </w:rPr>
        <w:t>Full Target Bonus</w:t>
      </w:r>
      <w:r>
        <w:rPr>
          <w:rFonts w:ascii="Times New Roman" w:cs="Times New Roman" w:eastAsia="Times New Roman" w:hAnsi="Times New Roman"/>
          <w:sz w:val="20"/>
          <w:szCs w:val="20"/>
          <w:color w:val="auto"/>
        </w:rPr>
        <w:t>”); (3) Executive’s then-outstanding equity awards (the “</w:t>
      </w:r>
      <w:r>
        <w:rPr>
          <w:rFonts w:ascii="Times New Roman" w:cs="Times New Roman" w:eastAsia="Times New Roman" w:hAnsi="Times New Roman"/>
          <w:sz w:val="20"/>
          <w:szCs w:val="20"/>
          <w:b w:val="1"/>
          <w:bCs w:val="1"/>
          <w:color w:val="auto"/>
        </w:rPr>
        <w:t>Equity Awards</w:t>
      </w:r>
      <w:r>
        <w:rPr>
          <w:rFonts w:ascii="Times New Roman" w:cs="Times New Roman" w:eastAsia="Times New Roman" w:hAnsi="Times New Roman"/>
          <w:sz w:val="20"/>
          <w:szCs w:val="20"/>
          <w:color w:val="auto"/>
        </w:rPr>
        <w:t>”) that vest based on time will be accelerated with respect to the portion of such Equity Awards that would have become vested if Executive remained employed for twelve (12)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and the terms of the governing health insurance policies, Company will reimburse the monthly COBRA health insurance premiums (the “</w:t>
      </w:r>
      <w:r>
        <w:rPr>
          <w:rFonts w:ascii="Times New Roman" w:cs="Times New Roman" w:eastAsia="Times New Roman" w:hAnsi="Times New Roman"/>
          <w:sz w:val="20"/>
          <w:szCs w:val="20"/>
          <w:b w:val="1"/>
          <w:bCs w:val="1"/>
          <w:color w:val="auto"/>
        </w:rPr>
        <w:t>COBRA Payments</w:t>
      </w:r>
      <w:r>
        <w:rPr>
          <w:rFonts w:ascii="Times New Roman" w:cs="Times New Roman" w:eastAsia="Times New Roman" w:hAnsi="Times New Roman"/>
          <w:sz w:val="20"/>
          <w:szCs w:val="20"/>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Times New Roman" w:cs="Times New Roman" w:eastAsia="Times New Roman" w:hAnsi="Times New Roman"/>
          <w:sz w:val="20"/>
          <w:szCs w:val="20"/>
          <w:b w:val="1"/>
          <w:bCs w:val="1"/>
          <w:color w:val="auto"/>
        </w:rPr>
        <w:t>COBRA Payment Period</w:t>
      </w:r>
      <w:r>
        <w:rPr>
          <w:rFonts w:ascii="Times New Roman" w:cs="Times New Roman" w:eastAsia="Times New Roman" w:hAnsi="Times New Roman"/>
          <w:sz w:val="20"/>
          <w:szCs w:val="20"/>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through a new employer before the end of the specified reimbursement period. (All severance benefits provided in this entire subsection 8(f)</w:t>
      </w:r>
    </w:p>
    <w:p>
      <w:pPr>
        <w:spacing w:after="0" w:line="22"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referred to collectively as the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w:t>
      </w:r>
    </w:p>
    <w:p>
      <w:pPr>
        <w:spacing w:after="0" w:line="230" w:lineRule="exact"/>
        <w:rPr>
          <w:rFonts w:ascii="Times New Roman" w:cs="Times New Roman" w:eastAsia="Times New Roman" w:hAnsi="Times New Roman"/>
          <w:sz w:val="20"/>
          <w:szCs w:val="20"/>
          <w:color w:val="auto"/>
        </w:rPr>
      </w:pPr>
    </w:p>
    <w:p>
      <w:pPr>
        <w:jc w:val="both"/>
        <w:ind w:firstLine="1304"/>
        <w:spacing w:after="0" w:line="248" w:lineRule="auto"/>
        <w:tabs>
          <w:tab w:leader="none" w:pos="1789"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Preconditions. </w:t>
      </w:r>
      <w:r>
        <w:rPr>
          <w:rFonts w:ascii="Times New Roman" w:cs="Times New Roman" w:eastAsia="Times New Roman" w:hAnsi="Times New Roman"/>
          <w:sz w:val="20"/>
          <w:szCs w:val="20"/>
          <w:color w:val="auto"/>
        </w:rPr>
        <w:t>As a precondition to receiving any Severance Benefits, Executive must (1) remain in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continuing obligations Executive owes to Company, including those under this Agreement and Executive’s Confidential Information Agreement, and (2) within twenty-one (21) days after the Separation Date (or forty-five (45) days after the Separation Date, in the event of a group reduction-in-force), Executive must sign and return to Company, a release of claims in substantially the form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(as modified, if necessary, to comply with legal requirements in the event of a group reduction-in-force) and allow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97"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127" w:val="left"/>
        </w:tabs>
        <w:numPr>
          <w:ilvl w:val="1"/>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Due to Death or Disability. </w:t>
      </w:r>
      <w:r>
        <w:rPr>
          <w:rFonts w:ascii="Times New Roman" w:cs="Times New Roman" w:eastAsia="Times New Roman" w:hAnsi="Times New Roman"/>
          <w:sz w:val="20"/>
          <w:szCs w:val="20"/>
          <w:color w:val="auto"/>
        </w:rPr>
        <w:t>Subject to applicable state or federal law, Executive’s employment with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automatically terminate upon Executive’s death or Disability. For purposes of this Agreement,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a physical or mental condition or disability which prevents Executive from performing Executive’s job responsibilities for more than six (6) months in any twelve (12) month period, or for more than four (4) consecutive months. If Executive’s employment is terminated due to Executive’s death or 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Times New Roman" w:cs="Times New Roman" w:eastAsia="Times New Roman" w:hAnsi="Times New Roman"/>
          <w:sz w:val="20"/>
          <w:szCs w:val="20"/>
          <w:b w:val="1"/>
          <w:bCs w:val="1"/>
          <w:color w:val="auto"/>
        </w:rPr>
        <w:t>Death or Disability Severance Benefits</w:t>
      </w:r>
      <w:r>
        <w:rPr>
          <w:rFonts w:ascii="Times New Roman" w:cs="Times New Roman" w:eastAsia="Times New Roman" w:hAnsi="Times New Roman"/>
          <w:sz w:val="20"/>
          <w:szCs w:val="20"/>
          <w:color w:val="auto"/>
        </w:rPr>
        <w:t>”). The Death and Disability Severance Benefits shall be paid subject to the same preconditions and on the same terms and conditions applicable to the Severance Benefits, as set forth in Section 8(f)(ii) (Preconditions).</w:t>
      </w:r>
    </w:p>
    <w:p>
      <w:pPr>
        <w:spacing w:after="0" w:line="187"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Control Benefits.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077" w:val="left"/>
        </w:tabs>
        <w:numPr>
          <w:ilvl w:val="1"/>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Control Termination. </w:t>
      </w:r>
      <w:r>
        <w:rPr>
          <w:rFonts w:ascii="Times New Roman" w:cs="Times New Roman" w:eastAsia="Times New Roman" w:hAnsi="Times New Roman"/>
          <w:sz w:val="20"/>
          <w:szCs w:val="20"/>
          <w:color w:val="auto"/>
        </w:rPr>
        <w:t>If Executive’s employment with Company is terminated by Company without Cause (but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Times New Roman" w:cs="Times New Roman" w:eastAsia="Times New Roman" w:hAnsi="Times New Roman"/>
          <w:sz w:val="20"/>
          <w:szCs w:val="20"/>
          <w:b w:val="1"/>
          <w:bCs w:val="1"/>
          <w:color w:val="auto"/>
        </w:rPr>
        <w:t>CIC Termination</w:t>
      </w:r>
      <w:r>
        <w:rPr>
          <w:rFonts w:ascii="Times New Roman" w:cs="Times New Roman" w:eastAsia="Times New Roman" w:hAnsi="Times New Roman"/>
          <w:sz w:val="20"/>
          <w:szCs w:val="20"/>
          <w:color w:val="auto"/>
        </w:rPr>
        <w:t>”), Executive shall be eligible to receive the following enhanced severance package (in lieu of the Severance Benefits described above): (i) payment of thirty-six (36) months of Executive’s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56" w:right="33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9"/>
          <w:szCs w:val="19"/>
          <w:color w:val="auto"/>
        </w:rPr>
        <w:t>Salary as in effect immediately prior to the Separation Date (or, the level in effect prior to a reduction of Base Salary that constitutes Good Reason), less applicable withholdings and deductions; (ii) a lump sum cash payment equal to the Full Target Bonus; (iii) accelerated vesting of Executive’s Equity Awards so 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Times New Roman" w:cs="Times New Roman" w:eastAsia="Times New Roman" w:hAnsi="Times New Roman"/>
          <w:sz w:val="19"/>
          <w:szCs w:val="19"/>
          <w:b w:val="1"/>
          <w:bCs w:val="1"/>
          <w:color w:val="auto"/>
        </w:rPr>
        <w:t>CIC Severance Benefits.</w:t>
      </w:r>
      <w:r>
        <w:rPr>
          <w:rFonts w:ascii="Times New Roman" w:cs="Times New Roman" w:eastAsia="Times New Roman" w:hAnsi="Times New Roman"/>
          <w:sz w:val="19"/>
          <w:szCs w:val="19"/>
          <w:color w:val="auto"/>
        </w:rPr>
        <w:t>”) The CIC Severance Benefits shall be paid subject to the same preconditions and on the same terms and conditions applicable to the Severance Benefits, as set forth in Section 8(f)(ii) (Preconditions).</w:t>
      </w:r>
    </w:p>
    <w:p>
      <w:pPr>
        <w:spacing w:after="0" w:line="168" w:lineRule="exact"/>
        <w:rPr>
          <w:sz w:val="20"/>
          <w:szCs w:val="20"/>
          <w:color w:val="auto"/>
        </w:rPr>
      </w:pPr>
    </w:p>
    <w:p>
      <w:pPr>
        <w:jc w:val="both"/>
        <w:ind w:firstLine="656"/>
        <w:spacing w:after="0" w:line="264" w:lineRule="auto"/>
        <w:tabs>
          <w:tab w:leader="none" w:pos="1121" w:val="left"/>
        </w:tabs>
        <w:numPr>
          <w:ilvl w:val="1"/>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 of Change in Control. </w:t>
      </w: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means the occurrence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events: (i) the acquisition by any individual, entity or group (a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within the meaning of Section 13(d)(3) or 14(d)(2) of the Securities and Exchange Act of 1934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Times New Roman" w:cs="Times New Roman" w:eastAsia="Times New Roman" w:hAnsi="Times New Roman"/>
          <w:sz w:val="19"/>
          <w:szCs w:val="19"/>
          <w:b w:val="1"/>
          <w:bCs w:val="1"/>
          <w:color w:val="auto"/>
        </w:rPr>
        <w:t>Voting Stock</w:t>
      </w:r>
      <w:r>
        <w:rPr>
          <w:rFonts w:ascii="Times New Roman" w:cs="Times New Roman" w:eastAsia="Times New Roman" w:hAnsi="Times New Roman"/>
          <w:sz w:val="19"/>
          <w:szCs w:val="19"/>
          <w:color w:val="auto"/>
        </w:rPr>
        <w:t>”); or (ii) consummation of a reorganization, merger or consolidation, a sale or other disposition of all or substantially all of the assets of Company, or other transaction ( each, a “</w:t>
      </w:r>
      <w:r>
        <w:rPr>
          <w:rFonts w:ascii="Times New Roman" w:cs="Times New Roman" w:eastAsia="Times New Roman" w:hAnsi="Times New Roman"/>
          <w:sz w:val="19"/>
          <w:szCs w:val="19"/>
          <w:b w:val="1"/>
          <w:bCs w:val="1"/>
          <w:color w:val="auto"/>
        </w:rPr>
        <w:t>Business Combination</w:t>
      </w:r>
      <w:r>
        <w:rPr>
          <w:rFonts w:ascii="Times New Roman" w:cs="Times New Roman" w:eastAsia="Times New Roman" w:hAnsi="Times New Roman"/>
          <w:sz w:val="19"/>
          <w:szCs w:val="19"/>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83" w:lineRule="exact"/>
        <w:rPr>
          <w:rFonts w:ascii="Times New Roman" w:cs="Times New Roman" w:eastAsia="Times New Roman" w:hAnsi="Times New Roman"/>
          <w:sz w:val="19"/>
          <w:szCs w:val="19"/>
          <w:b w:val="1"/>
          <w:bCs w:val="1"/>
          <w:color w:val="auto"/>
        </w:rPr>
      </w:pPr>
    </w:p>
    <w:p>
      <w:pPr>
        <w:jc w:val="both"/>
        <w:ind w:firstLine="656"/>
        <w:spacing w:after="0" w:line="260" w:lineRule="auto"/>
        <w:tabs>
          <w:tab w:leader="none" w:pos="1096" w:val="left"/>
        </w:tabs>
        <w:numPr>
          <w:ilvl w:val="1"/>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Prior CIC Benefits. </w:t>
      </w:r>
      <w:r>
        <w:rPr>
          <w:rFonts w:ascii="Times New Roman" w:cs="Times New Roman" w:eastAsia="Times New Roman" w:hAnsi="Times New Roman"/>
          <w:sz w:val="20"/>
          <w:szCs w:val="20"/>
          <w:color w:val="auto"/>
        </w:rPr>
        <w:t>The Parties hereby acknowledge and agree that: (i) this Agreement supersedes in its entirety the May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2015 Change in Control Agreement between Executive and Company (the “</w:t>
      </w:r>
      <w:r>
        <w:rPr>
          <w:rFonts w:ascii="Times New Roman" w:cs="Times New Roman" w:eastAsia="Times New Roman" w:hAnsi="Times New Roman"/>
          <w:sz w:val="20"/>
          <w:szCs w:val="20"/>
          <w:b w:val="1"/>
          <w:bCs w:val="1"/>
          <w:color w:val="auto"/>
        </w:rPr>
        <w:t>Prior CIC Agreement</w:t>
      </w:r>
      <w:r>
        <w:rPr>
          <w:rFonts w:ascii="Times New Roman" w:cs="Times New Roman" w:eastAsia="Times New Roman" w:hAnsi="Times New Roman"/>
          <w:sz w:val="20"/>
          <w:szCs w:val="20"/>
          <w:color w:val="auto"/>
        </w:rPr>
        <w:t>”), such that the Parties’ rights and obligations under that Prior CIC Agreement are null and void as of the Effective Date; and (ii) the CIC Benefits are the sole benefits to which Executive shall be entitled in the event of a CIC Termination.</w:t>
      </w:r>
    </w:p>
    <w:p>
      <w:pPr>
        <w:spacing w:after="0" w:line="164" w:lineRule="exact"/>
        <w:rPr>
          <w:rFonts w:ascii="Times New Roman" w:cs="Times New Roman" w:eastAsia="Times New Roman" w:hAnsi="Times New Roman"/>
          <w:sz w:val="20"/>
          <w:szCs w:val="20"/>
          <w:b w:val="1"/>
          <w:bCs w:val="1"/>
          <w:color w:val="auto"/>
        </w:rPr>
      </w:pPr>
    </w:p>
    <w:p>
      <w:pPr>
        <w:jc w:val="both"/>
        <w:ind w:firstLine="8"/>
        <w:spacing w:after="0" w:line="260" w:lineRule="auto"/>
        <w:tabs>
          <w:tab w:leader="none" w:pos="522"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Code Section 409A Compliance. </w:t>
      </w:r>
      <w:r>
        <w:rPr>
          <w:rFonts w:ascii="Times New Roman" w:cs="Times New Roman" w:eastAsia="Times New Roman" w:hAnsi="Times New Roman"/>
          <w:sz w:val="20"/>
          <w:szCs w:val="20"/>
          <w:color w:val="auto"/>
        </w:rPr>
        <w:t>Notwithstanding anything set forth in this Agreement to the contrary, any payments and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pursuant to this Agreement which constitute “deferred compensation” within the meaning of the Treasury Regulations issued pursuant to Section 409A of the Internal Revenue Code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shall not commence until Executive has incurred a “separation from service” (as such term is defined in the Treasury Regulation Section 1.409A-1(h) (“</w:t>
      </w:r>
      <w:r>
        <w:rPr>
          <w:rFonts w:ascii="Times New Roman" w:cs="Times New Roman" w:eastAsia="Times New Roman" w:hAnsi="Times New Roman"/>
          <w:sz w:val="20"/>
          <w:szCs w:val="20"/>
          <w:b w:val="1"/>
          <w:bCs w:val="1"/>
          <w:color w:val="auto"/>
        </w:rPr>
        <w:t>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56" w:right="339" w:bottom="1440" w:gutter="0" w:footer="0" w:header="0"/>
        </w:sectPr>
      </w:pPr>
    </w:p>
    <w:bookmarkStart w:id="36" w:name="page37"/>
    <w:bookmarkEnd w:id="36"/>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unless Company reasonably determines that such amounts may be provided to Executive without causing Executive to incur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20% tax under Section 409A.</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Times New Roman" w:cs="Times New Roman" w:eastAsia="Times New Roman" w:hAnsi="Times New Roman"/>
          <w:sz w:val="20"/>
          <w:szCs w:val="20"/>
          <w:b w:val="1"/>
          <w:bCs w:val="1"/>
          <w:color w:val="auto"/>
        </w:rPr>
        <w:t>Specified Employee Initial Payment Date</w:t>
      </w:r>
      <w:r>
        <w:rPr>
          <w:rFonts w:ascii="Times New Roman" w:cs="Times New Roman" w:eastAsia="Times New Roman" w:hAnsi="Times New Roman"/>
          <w:sz w:val="20"/>
          <w:szCs w:val="20"/>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82" w:lineRule="exact"/>
        <w:rPr>
          <w:sz w:val="20"/>
          <w:szCs w:val="20"/>
          <w:color w:val="auto"/>
        </w:rPr>
      </w:pPr>
    </w:p>
    <w:p>
      <w:pPr>
        <w:jc w:val="both"/>
        <w:ind w:firstLine="8"/>
        <w:spacing w:after="0" w:line="251" w:lineRule="auto"/>
        <w:tabs>
          <w:tab w:leader="none" w:pos="529"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Better After Tax Provision. </w:t>
      </w:r>
      <w:r>
        <w:rPr>
          <w:rFonts w:ascii="Times New Roman" w:cs="Times New Roman" w:eastAsia="Times New Roman" w:hAnsi="Times New Roman"/>
          <w:sz w:val="20"/>
          <w:szCs w:val="20"/>
          <w:color w:val="auto"/>
        </w:rPr>
        <w:t>If any payment or benefit that Executive will or may receive from Company or otherwise (a “</w:t>
      </w:r>
      <w:r>
        <w:rPr>
          <w:rFonts w:ascii="Times New Roman" w:cs="Times New Roman" w:eastAsia="Times New Roman" w:hAnsi="Times New Roman"/>
          <w:sz w:val="20"/>
          <w:szCs w:val="20"/>
          <w:b w:val="1"/>
          <w:bCs w:val="1"/>
          <w:color w:val="auto"/>
        </w:rPr>
        <w:t>280G Payment</w:t>
      </w:r>
      <w:r>
        <w:rPr>
          <w:rFonts w:ascii="Times New Roman" w:cs="Times New Roman" w:eastAsia="Times New Roman" w:hAnsi="Times New Roman"/>
          <w:sz w:val="20"/>
          <w:szCs w:val="20"/>
          <w:color w:val="auto"/>
        </w:rPr>
        <w:t>”) would (i) constitute a “parachute payment” within the meaning of Section 280G of the Code, and (ii) but for this sentence,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excise tax imposed by Section 4999 of the Code (the “</w:t>
      </w:r>
      <w:r>
        <w:rPr>
          <w:rFonts w:ascii="Times New Roman" w:cs="Times New Roman" w:eastAsia="Times New Roman" w:hAnsi="Times New Roman"/>
          <w:sz w:val="20"/>
          <w:szCs w:val="20"/>
          <w:b w:val="1"/>
          <w:bCs w:val="1"/>
          <w:color w:val="auto"/>
        </w:rPr>
        <w:t>Excise Tax</w:t>
      </w:r>
      <w:r>
        <w:rPr>
          <w:rFonts w:ascii="Times New Roman" w:cs="Times New Roman" w:eastAsia="Times New Roman" w:hAnsi="Times New Roman"/>
          <w:sz w:val="20"/>
          <w:szCs w:val="20"/>
          <w:color w:val="auto"/>
        </w:rPr>
        <w:t>”), then any such 280G Payment will be equal to the Reduced Amount. The “</w:t>
      </w:r>
      <w:r>
        <w:rPr>
          <w:rFonts w:ascii="Times New Roman" w:cs="Times New Roman" w:eastAsia="Times New Roman" w:hAnsi="Times New Roman"/>
          <w:sz w:val="20"/>
          <w:szCs w:val="20"/>
          <w:b w:val="1"/>
          <w:bCs w:val="1"/>
          <w:color w:val="auto"/>
        </w:rPr>
        <w:t>Reduced Amount</w:t>
      </w:r>
      <w:r>
        <w:rPr>
          <w:rFonts w:ascii="Times New Roman" w:cs="Times New Roman" w:eastAsia="Times New Roman" w:hAnsi="Times New Roman"/>
          <w:sz w:val="20"/>
          <w:szCs w:val="20"/>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20"/>
          <w:szCs w:val="20"/>
          <w:b w:val="1"/>
          <w:bCs w:val="1"/>
          <w:color w:val="auto"/>
        </w:rPr>
        <w:t>Reduction Method</w:t>
      </w:r>
      <w:r>
        <w:rPr>
          <w:rFonts w:ascii="Times New Roman" w:cs="Times New Roman" w:eastAsia="Times New Roman" w:hAnsi="Times New Roman"/>
          <w:sz w:val="20"/>
          <w:szCs w:val="20"/>
          <w:color w:val="auto"/>
        </w:rPr>
        <w:t>”) that results in the greatest economic benefit for Executive. If more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52" w:right="339" w:bottom="1440" w:gutter="0" w:footer="0" w:header="0"/>
        </w:sectPr>
      </w:pPr>
    </w:p>
    <w:bookmarkStart w:id="37" w:name="page38"/>
    <w:bookmarkEnd w:id="37"/>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method of reduction will result in the same economic benefit, the items so reduced will be reduced pro rata (the “</w:t>
      </w:r>
      <w:r>
        <w:rPr>
          <w:rFonts w:ascii="Times New Roman" w:cs="Times New Roman" w:eastAsia="Times New Roman" w:hAnsi="Times New Roman"/>
          <w:sz w:val="20"/>
          <w:szCs w:val="20"/>
          <w:b w:val="1"/>
          <w:bCs w:val="1"/>
          <w:color w:val="auto"/>
        </w:rPr>
        <w:t>Pro Rata Reduction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Method</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being terminated without Cause), will be reduced (or eliminated) before 280G Payments that are not contingent on future events; and (C) as a third priority, 280G Payments that are “deferred compensation” within the meaning of Section 409A of the Code will be reduced (or eliminated) before 280G Payments that are not “deferred compensation” within the meaning of Section 409A of the Code.</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Section 280G of the Code is not applicable by law to Executive, Company will determine whether any similar law in Executive’s jurisdiction applies and should be taken into account.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7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113"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Taxes. </w:t>
      </w:r>
      <w:r>
        <w:rPr>
          <w:rFonts w:ascii="Times New Roman" w:cs="Times New Roman" w:eastAsia="Times New Roman" w:hAnsi="Times New Roman"/>
          <w:sz w:val="20"/>
          <w:szCs w:val="20"/>
          <w:color w:val="auto"/>
        </w:rPr>
        <w:t>Executive shall be responsible for the payment of any taxes due on any and all compensation, stock option, or benefit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52" w:right="339" w:bottom="1440" w:gutter="0" w:footer="0" w:header="0"/>
        </w:sectPr>
      </w:pPr>
    </w:p>
    <w:bookmarkStart w:id="38" w:name="page39"/>
    <w:bookmarkEnd w:id="38"/>
    <w:p>
      <w:pPr>
        <w:spacing w:after="0" w:line="269" w:lineRule="auto"/>
        <w:rPr>
          <w:sz w:val="20"/>
          <w:szCs w:val="20"/>
          <w:color w:val="auto"/>
        </w:rPr>
      </w:pPr>
      <w:r>
        <w:rPr>
          <w:rFonts w:ascii="Times New Roman" w:cs="Times New Roman" w:eastAsia="Times New Roman" w:hAnsi="Times New Roman"/>
          <w:sz w:val="20"/>
          <w:szCs w:val="20"/>
          <w:color w:val="auto"/>
        </w:rPr>
        <w:t>incentive stock options held by Executive may immediately cause such options to cease to qualify as incentive stock options and by executing this Agreement, Executive agrees to such treatment.</w:t>
      </w:r>
    </w:p>
    <w:p>
      <w:pPr>
        <w:spacing w:after="0" w:line="169" w:lineRule="exact"/>
        <w:rPr>
          <w:sz w:val="20"/>
          <w:szCs w:val="20"/>
          <w:color w:val="auto"/>
        </w:rPr>
      </w:pPr>
    </w:p>
    <w:p>
      <w:pPr>
        <w:jc w:val="both"/>
        <w:ind w:firstLine="656"/>
        <w:spacing w:after="0" w:line="254" w:lineRule="auto"/>
        <w:tabs>
          <w:tab w:leader="none" w:pos="116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Modification/Waiver. </w:t>
      </w:r>
      <w:r>
        <w:rPr>
          <w:rFonts w:ascii="Times New Roman" w:cs="Times New Roman" w:eastAsia="Times New Roman" w:hAnsi="Times New Roman"/>
          <w:sz w:val="20"/>
          <w:szCs w:val="20"/>
          <w:color w:val="auto"/>
        </w:rPr>
        <w:t>This Agreement may not be amended, modified, superseded, canceled, renewed or extended,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83"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This Agreement may be assigned by Company to an affiliated entity of the Company with or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consent. This Agreement shall be assigned by the Company to any successor of the Company. This Agreement shall not be assignable by Executive.</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96"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to be given hereunder shall be in writing and shall be deemed to have been duly given on: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personally or hand delivered; one (1) day after being sent by internationally-recognized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163"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Dispute Resolution. </w:t>
      </w:r>
      <w:r>
        <w:rPr>
          <w:rFonts w:ascii="Times New Roman" w:cs="Times New Roman" w:eastAsia="Times New Roman" w:hAnsi="Times New Roman"/>
          <w:sz w:val="20"/>
          <w:szCs w:val="20"/>
          <w:color w:val="auto"/>
        </w:rPr>
        <w:t>To aid in the rapid and economical resolution of any disputes that may arise between Executive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Times New Roman" w:cs="Times New Roman" w:eastAsia="Times New Roman" w:hAnsi="Times New Roman"/>
          <w:sz w:val="20"/>
          <w:szCs w:val="20"/>
          <w:b w:val="1"/>
          <w:bCs w:val="1"/>
          <w:color w:val="auto"/>
        </w:rPr>
        <w:t>The 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acknowledge that by agreeing to this arbitration procedure, they waive the right to resolve any such dispute, claim or demand through a trial by jury or judge or by administrative proceeding. </w:t>
      </w:r>
      <w:r>
        <w:rPr>
          <w:rFonts w:ascii="Times New Roman" w:cs="Times New Roman" w:eastAsia="Times New Roman" w:hAnsi="Times New Roman"/>
          <w:sz w:val="20"/>
          <w:szCs w:val="20"/>
          <w:color w:val="auto"/>
        </w:rPr>
        <w:t>The arbitrator shall: (a) have authority to compel adequate discovery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91"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044"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In addition to any rights to indemnification to which Executive may be entitled under Company’s Charter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By-Laws, Company shall indemnify, defend and provide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56"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20"/>
          <w:szCs w:val="20"/>
          <w:color w:val="auto"/>
        </w:rPr>
        <w:t>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88" w:lineRule="exact"/>
        <w:rPr>
          <w:sz w:val="20"/>
          <w:szCs w:val="20"/>
          <w:color w:val="auto"/>
        </w:rPr>
      </w:pPr>
    </w:p>
    <w:p>
      <w:pPr>
        <w:jc w:val="both"/>
        <w:ind w:firstLine="656"/>
        <w:spacing w:after="0" w:line="265" w:lineRule="auto"/>
        <w:tabs>
          <w:tab w:leader="none" w:pos="126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Entire Agreement. </w:t>
      </w:r>
      <w:r>
        <w:rPr>
          <w:rFonts w:ascii="Times New Roman" w:cs="Times New Roman" w:eastAsia="Times New Roman" w:hAnsi="Times New Roman"/>
          <w:sz w:val="19"/>
          <w:szCs w:val="19"/>
          <w:color w:val="auto"/>
        </w:rPr>
        <w:t>This Agreement, together with the Exhibits, sets forth the complete and exclusive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 consistent with the intent of the parties insofar as possible under applicable law. For purposes of construing this Agreement, any ambiguities shall not be construed against any party as the drafter. This Agreement may be executed in counterparts, which shall be deemed to be part of one original, and facsimile signatures shall be equivalent to original signatures. The validity, interpretation, construction and performance of this Agreement shall be governed by the laws of the State of New York, without regard to conflict of laws principles.</w:t>
      </w:r>
    </w:p>
    <w:p>
      <w:pPr>
        <w:spacing w:after="0" w:line="16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each duly executed this Agreement as of the date written below to indicate their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acceptance of all of the above-stated terms and conditions.</w:t>
      </w:r>
    </w:p>
    <w:p>
      <w:pPr>
        <w:spacing w:after="0" w:line="1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The Cooper Companies, Inc.</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1245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Albert G. White III</w:t>
      </w:r>
    </w:p>
    <w:p>
      <w:pPr>
        <w:spacing w:after="0" w:line="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 ___30 March 2024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2149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1494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Gerard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10223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Gerard Warner</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 ___29 March 2024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2149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14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5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signed on or within twenty-one (21) days after the Separation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employment with the Cooper Companies,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ended in all capacities on ________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 hereby</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I choose to enter into this Release and allow it to become effective by its terms, Company will provide me with certain severance benefits pursuant to the terms of the Executive Employment Agreement between me and Company dated _______________,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understand 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Times New Roman" w:cs="Times New Roman" w:eastAsia="Times New Roman" w:hAnsi="Times New Roman"/>
          <w:sz w:val="20"/>
          <w:szCs w:val="20"/>
          <w:b w:val="1"/>
          <w:bCs w:val="1"/>
          <w:color w:val="auto"/>
        </w:rPr>
        <w:t>Released Claims</w:t>
      </w:r>
      <w:r>
        <w:rPr>
          <w:rFonts w:ascii="Times New Roman" w:cs="Times New Roman" w:eastAsia="Times New Roman" w:hAnsi="Times New Roman"/>
          <w:sz w:val="20"/>
          <w:szCs w:val="20"/>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and California state law.</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Notwithstanding the foregoing, the following are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included in the Released Claims (the “</w:t>
      </w:r>
      <w:r>
        <w:rPr>
          <w:rFonts w:ascii="Times New Roman" w:cs="Times New Roman" w:eastAsia="Times New Roman" w:hAnsi="Times New Roman"/>
          <w:sz w:val="19"/>
          <w:szCs w:val="19"/>
          <w:b w:val="1"/>
          <w:bCs w:val="1"/>
          <w:color w:val="auto"/>
        </w:rPr>
        <w:t>Excluded Claims</w:t>
      </w:r>
      <w:r>
        <w:rPr>
          <w:rFonts w:ascii="Times New Roman" w:cs="Times New Roman" w:eastAsia="Times New Roman" w:hAnsi="Times New Roman"/>
          <w:sz w:val="19"/>
          <w:szCs w:val="19"/>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w:t>
      </w:r>
    </w:p>
    <w:p>
      <w:pPr>
        <w:jc w:val="both"/>
        <w:ind w:firstLine="8"/>
        <w:spacing w:after="0" w:line="251" w:lineRule="auto"/>
        <w:tabs>
          <w:tab w:leader="none" w:pos="2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152" w:right="339" w:bottom="1440" w:gutter="0" w:footer="0" w:header="0"/>
        </w:sectPr>
      </w:pPr>
    </w:p>
    <w:bookmarkStart w:id="41" w:name="page42"/>
    <w:bookmarkEnd w:id="41"/>
    <w:p>
      <w:pPr>
        <w:jc w:val="both"/>
        <w:spacing w:after="0" w:line="269" w:lineRule="auto"/>
        <w:rPr>
          <w:sz w:val="20"/>
          <w:szCs w:val="20"/>
          <w:color w:val="auto"/>
        </w:rPr>
      </w:pPr>
      <w:r>
        <w:rPr>
          <w:rFonts w:ascii="Times New Roman" w:cs="Times New Roman" w:eastAsia="Times New Roman" w:hAnsi="Times New Roman"/>
          <w:sz w:val="20"/>
          <w:szCs w:val="20"/>
          <w:color w:val="auto"/>
        </w:rPr>
        <w:t>that, other than the Excluded Claims, I am not aware of any claims that I have or might have against any of the parties released above that are not included in the Released Claims.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pacing w:after="0" w:line="2" w:lineRule="exact"/>
        <w:rPr>
          <w:sz w:val="20"/>
          <w:szCs w:val="20"/>
          <w:color w:val="auto"/>
        </w:rPr>
      </w:pPr>
    </w:p>
    <w:p>
      <w:pPr>
        <w:jc w:val="both"/>
        <w:ind w:firstLine="8"/>
        <w:spacing w:after="0" w:line="249" w:lineRule="auto"/>
        <w:tabs>
          <w:tab w:leader="none" w:pos="28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Reviewed, Understood and Agreed:</w:t>
      </w:r>
    </w:p>
    <w:p>
      <w:pPr>
        <w:spacing w:after="0" w:line="200" w:lineRule="exact"/>
        <w:rPr>
          <w:sz w:val="20"/>
          <w:szCs w:val="20"/>
          <w:color w:val="auto"/>
        </w:rPr>
      </w:pPr>
    </w:p>
    <w:p>
      <w:pPr>
        <w:spacing w:after="0" w:line="27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779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Gerard Warner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156" w:right="339" w:bottom="1440" w:gutter="0" w:footer="0" w:header="0"/>
        </w:sectPr>
      </w:pPr>
    </w:p>
    <w:bookmarkStart w:id="42" w:name="page43"/>
    <w:bookmarkEnd w:id="42"/>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32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by and between The Cooper Companies,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Albert G. White III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As of the date (the “</w:t>
      </w:r>
      <w:r>
        <w:rPr>
          <w:rFonts w:ascii="Times New Roman" w:cs="Times New Roman" w:eastAsia="Times New Roman" w:hAnsi="Times New Roman"/>
          <w:sz w:val="20"/>
          <w:szCs w:val="20"/>
          <w:b w:val="1"/>
          <w:bCs w:val="1"/>
          <w:color w:val="auto"/>
        </w:rPr>
        <w:t>Execution Date</w:t>
      </w:r>
      <w:r>
        <w:rPr>
          <w:rFonts w:ascii="Times New Roman" w:cs="Times New Roman" w:eastAsia="Times New Roman" w:hAnsi="Times New Roman"/>
          <w:sz w:val="20"/>
          <w:szCs w:val="20"/>
          <w:color w:val="auto"/>
        </w:rPr>
        <w:t>”) this Agreement has been executed by both Parties, it will be deemed effective as of March 19, 2024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is currently employed by Company as its President and Chief Executive Officer;</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Company wishes to continue to employ Executive and Executive wishes to be employed by Company on the terms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and</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intend for this Agreement to set forth all of the terms and conditions of Executive’s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and covenants contained herein, the Parties agree as follows:</w:t>
      </w:r>
    </w:p>
    <w:p>
      <w:pPr>
        <w:spacing w:after="0" w:line="229" w:lineRule="exact"/>
        <w:rPr>
          <w:sz w:val="20"/>
          <w:szCs w:val="20"/>
          <w:color w:val="auto"/>
        </w:rPr>
      </w:pPr>
    </w:p>
    <w:p>
      <w:pPr>
        <w:ind w:firstLine="8"/>
        <w:spacing w:after="0" w:line="287" w:lineRule="auto"/>
        <w:tabs>
          <w:tab w:leader="none" w:pos="373"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Position. </w:t>
      </w:r>
      <w:r>
        <w:rPr>
          <w:rFonts w:ascii="Times New Roman" w:cs="Times New Roman" w:eastAsia="Times New Roman" w:hAnsi="Times New Roman"/>
          <w:sz w:val="20"/>
          <w:szCs w:val="20"/>
          <w:color w:val="auto"/>
        </w:rPr>
        <w:t>Company will continue to employ Executive and Executive shall continue to serve Company in the capacity of President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of Company.</w:t>
      </w:r>
    </w:p>
    <w:p>
      <w:pPr>
        <w:spacing w:after="0" w:line="138"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387"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w:t>
      </w:r>
      <w:r>
        <w:rPr>
          <w:rFonts w:ascii="Times New Roman" w:cs="Times New Roman" w:eastAsia="Times New Roman" w:hAnsi="Times New Roman"/>
          <w:sz w:val="20"/>
          <w:szCs w:val="20"/>
          <w:color w:val="auto"/>
        </w:rPr>
        <w:t>As President and CEO, Executive shall render exclusive, full-time services to Company and its subsidiaries, and exercise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authority and perform such duties as provided in Company’s by-laws and articles of incorporation. Executive shall report to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Executive shall perform services under this Agreement primarily at Company’s office in San Ramon, California, and undertake business travel as necessary in performing the duties of his position. Subject to the terms of this Agreement, Executive’s responsibilities, working conditions and duties may be modified at the sole discretion of the Board. While employed by Company, Executive shall not compete with, or prepare to compete with Company, and Executive shall devote Executive’s best efforts and full business time, skill and attention to performance of Executive’s duties on behalf of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Executive may engage in civic and not-for-profit activities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charitable and industry association activities) as long 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except with the prior written approval of the Board, which approval may be rescinded at any time in the Board’s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200" w:lineRule="exact"/>
        <w:rPr>
          <w:rFonts w:ascii="Times New Roman" w:cs="Times New Roman" w:eastAsia="Times New Roman" w:hAnsi="Times New Roman"/>
          <w:sz w:val="20"/>
          <w:szCs w:val="20"/>
          <w:b w:val="1"/>
          <w:bCs w:val="1"/>
          <w:color w:val="auto"/>
        </w:rPr>
      </w:pPr>
    </w:p>
    <w:p>
      <w:pPr>
        <w:jc w:val="both"/>
        <w:ind w:right="20" w:firstLine="8"/>
        <w:spacing w:after="0" w:line="263" w:lineRule="auto"/>
        <w:tabs>
          <w:tab w:leader="none" w:pos="355"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Policies and Procedures. </w:t>
      </w:r>
      <w:r>
        <w:rPr>
          <w:rFonts w:ascii="Times New Roman" w:cs="Times New Roman" w:eastAsia="Times New Roman" w:hAnsi="Times New Roman"/>
          <w:sz w:val="20"/>
          <w:szCs w:val="20"/>
          <w:color w:val="auto"/>
        </w:rPr>
        <w:t>Executive shall be subject to and will comply with the policies and procedures of Company, as modified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at Company’s sole discretion, except to the extent any such policy or procedure specifically conflicts with the express terms of this Agreement (in which case,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52" w:right="339" w:bottom="1440" w:gutter="0" w:footer="0" w:header="0"/>
        </w:sectPr>
      </w:pPr>
    </w:p>
    <w:bookmarkStart w:id="43" w:name="page44"/>
    <w:bookmarkEnd w:id="43"/>
    <w:p>
      <w:pPr>
        <w:jc w:val="both"/>
        <w:ind w:firstLine="8"/>
        <w:spacing w:after="0" w:line="252" w:lineRule="auto"/>
        <w:tabs>
          <w:tab w:leader="none" w:pos="357"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Base Salary. </w:t>
      </w:r>
      <w:r>
        <w:rPr>
          <w:rFonts w:ascii="Times New Roman" w:cs="Times New Roman" w:eastAsia="Times New Roman" w:hAnsi="Times New Roman"/>
          <w:sz w:val="20"/>
          <w:szCs w:val="20"/>
          <w:color w:val="auto"/>
        </w:rPr>
        <w:t>For services rendered hereunder, Executive shall receive an initial base salary at the rate of $1,120,000 per year,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payroll withholdings and deductions, which shall be deemed to have been effective as of January 1, 2024, and an initial true-up payment will be made, if necessary, within fifteen (15) days of the Execution Date. Otherwise, such base salary amount will be paid periodically in accordance with ordinary Company payroll practices. Executive’s base salary shall be subject to annual reviews and periodic adjustment by the Organization and Compensation Committee of the Board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which has full discretion to adjust Executive’s base salary. (For purposes of this Agreement, Executive’s base salary as so adjusted from time to time, shall be referred to as the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4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Performance Bonus. </w:t>
      </w:r>
      <w:r>
        <w:rPr>
          <w:rFonts w:ascii="Times New Roman" w:cs="Times New Roman" w:eastAsia="Times New Roman" w:hAnsi="Times New Roman"/>
          <w:sz w:val="20"/>
          <w:szCs w:val="20"/>
          <w:color w:val="auto"/>
        </w:rPr>
        <w:t>Executive will be eligible to receive an annual performance bonus (“</w:t>
      </w:r>
      <w:r>
        <w:rPr>
          <w:rFonts w:ascii="Times New Roman" w:cs="Times New Roman" w:eastAsia="Times New Roman" w:hAnsi="Times New Roman"/>
          <w:sz w:val="20"/>
          <w:szCs w:val="20"/>
          <w:b w:val="1"/>
          <w:bCs w:val="1"/>
          <w:color w:val="auto"/>
        </w:rPr>
        <w:t>Performance Bonus</w:t>
      </w:r>
      <w:r>
        <w:rPr>
          <w:rFonts w:ascii="Times New Roman" w:cs="Times New Roman" w:eastAsia="Times New Roman" w:hAnsi="Times New Roman"/>
          <w:sz w:val="20"/>
          <w:szCs w:val="20"/>
          <w:color w:val="auto"/>
        </w:rPr>
        <w:t>”), with a target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“Bonus Target”</w:t>
      </w:r>
      <w:r>
        <w:rPr>
          <w:rFonts w:ascii="Times New Roman" w:cs="Times New Roman" w:eastAsia="Times New Roman" w:hAnsi="Times New Roman"/>
          <w:sz w:val="20"/>
          <w:szCs w:val="20"/>
          <w:color w:val="auto"/>
        </w:rPr>
        <w:t>) determined pursuant to Company’s Incentive Performance Plan (the “</w:t>
      </w:r>
      <w:r>
        <w:rPr>
          <w:rFonts w:ascii="Times New Roman" w:cs="Times New Roman" w:eastAsia="Times New Roman" w:hAnsi="Times New Roman"/>
          <w:sz w:val="20"/>
          <w:szCs w:val="20"/>
          <w:b w:val="1"/>
          <w:bCs w:val="1"/>
          <w:color w:val="auto"/>
        </w:rPr>
        <w:t>IPP</w:t>
      </w:r>
      <w:r>
        <w:rPr>
          <w:rFonts w:ascii="Times New Roman" w:cs="Times New Roman" w:eastAsia="Times New Roman" w:hAnsi="Times New Roman"/>
          <w:sz w:val="20"/>
          <w:szCs w:val="20"/>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93"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Benefits. </w:t>
      </w:r>
      <w:r>
        <w:rPr>
          <w:rFonts w:ascii="Times New Roman" w:cs="Times New Roman" w:eastAsia="Times New Roman" w:hAnsi="Times New Roman"/>
          <w:sz w:val="20"/>
          <w:szCs w:val="20"/>
          <w:color w:val="auto"/>
        </w:rPr>
        <w:t>While employed by Company pursuant to this Agreement, Executive shall be entitled to the following benefits: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75" w:lineRule="auto"/>
        <w:tabs>
          <w:tab w:leader="none" w:pos="1087" w:val="left"/>
        </w:tabs>
        <w:numPr>
          <w:ilvl w:val="1"/>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Executive Benefits</w:t>
      </w:r>
      <w:r>
        <w:rPr>
          <w:rFonts w:ascii="Times New Roman" w:cs="Times New Roman" w:eastAsia="Times New Roman" w:hAnsi="Times New Roman"/>
          <w:sz w:val="19"/>
          <w:szCs w:val="19"/>
          <w:color w:val="auto"/>
        </w:rPr>
        <w:t>. Executive shall be entitled to all benefits to which other executive officers of Company are entitled,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2" w:lineRule="exact"/>
        <w:rPr>
          <w:rFonts w:ascii="Times New Roman" w:cs="Times New Roman" w:eastAsia="Times New Roman" w:hAnsi="Times New Roman"/>
          <w:sz w:val="19"/>
          <w:szCs w:val="19"/>
          <w:b w:val="1"/>
          <w:bCs w:val="1"/>
          <w:color w:val="auto"/>
        </w:rPr>
      </w:pPr>
    </w:p>
    <w:p>
      <w:pPr>
        <w:jc w:val="both"/>
        <w:ind w:firstLine="656"/>
        <w:spacing w:after="0" w:line="260" w:lineRule="auto"/>
        <w:tabs>
          <w:tab w:leader="none" w:pos="1325" w:val="left"/>
        </w:tabs>
        <w:numPr>
          <w:ilvl w:val="1"/>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 Reimbursement. </w:t>
      </w:r>
      <w:r>
        <w:rPr>
          <w:rFonts w:ascii="Times New Roman" w:cs="Times New Roman" w:eastAsia="Times New Roman" w:hAnsi="Times New Roman"/>
          <w:sz w:val="20"/>
          <w:szCs w:val="20"/>
          <w:color w:val="auto"/>
        </w:rPr>
        <w:t>Executive shall receive reimbursement for reasonable out-of-pocket expenses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77"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Rights and Duties.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303" w:val="left"/>
        </w:tabs>
        <w:numPr>
          <w:ilvl w:val="1"/>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Executive entered into an Employee Confidential Information and Invention Assignment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the Company effective April 17, 2019, which agreement remains in full force and effect, and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52" w:right="339" w:bottom="1440" w:gutter="0" w:footer="0" w:header="0"/>
        </w:sectPr>
      </w:pPr>
    </w:p>
    <w:bookmarkStart w:id="44" w:name="page45"/>
    <w:bookmarkEnd w:id="44"/>
    <w:p>
      <w:pPr>
        <w:jc w:val="both"/>
        <w:ind w:firstLine="656"/>
        <w:spacing w:after="0" w:line="263" w:lineRule="auto"/>
        <w:tabs>
          <w:tab w:leader="none" w:pos="1196" w:val="left"/>
        </w:tabs>
        <w:numPr>
          <w:ilvl w:val="1"/>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Property</w:t>
      </w:r>
      <w:r>
        <w:rPr>
          <w:rFonts w:ascii="Times New Roman" w:cs="Times New Roman" w:eastAsia="Times New Roman" w:hAnsi="Times New Roman"/>
          <w:sz w:val="20"/>
          <w:szCs w:val="20"/>
          <w:color w:val="auto"/>
        </w:rPr>
        <w:t>. Executive agrees that all Company-related business procured by Executive, and all Company-related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opportunities and plans made known to Executive while employed by Company, are and shall remain the permanent and exclusive property of Company.</w:t>
      </w:r>
    </w:p>
    <w:p>
      <w:pPr>
        <w:spacing w:after="0" w:line="175"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Employment.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098" w:val="left"/>
        </w:tabs>
        <w:numPr>
          <w:ilvl w:val="1"/>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At-Will Status. </w:t>
      </w:r>
      <w:r>
        <w:rPr>
          <w:rFonts w:ascii="Times New Roman" w:cs="Times New Roman" w:eastAsia="Times New Roman" w:hAnsi="Times New Roman"/>
          <w:sz w:val="20"/>
          <w:szCs w:val="20"/>
          <w:color w:val="auto"/>
        </w:rPr>
        <w:t>Company and Executive understand and agree that this employment relationship is at-will. Accordingly, there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095" w:val="left"/>
        </w:tabs>
        <w:numPr>
          <w:ilvl w:val="1"/>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Resignation by Executive. </w:t>
      </w:r>
      <w:r>
        <w:rPr>
          <w:rFonts w:ascii="Times New Roman" w:cs="Times New Roman" w:eastAsia="Times New Roman" w:hAnsi="Times New Roman"/>
          <w:sz w:val="20"/>
          <w:szCs w:val="20"/>
          <w:color w:val="auto"/>
        </w:rPr>
        <w:t>Executive may resign from Company with or without Good Reason. Executive agrees to provide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8(b) to receive more than three (3) months of Base Salary severance beyond the accelerated resignation date.</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65" w:val="left"/>
        </w:tabs>
        <w:numPr>
          <w:ilvl w:val="1"/>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 of Cause.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Company to terminate Executive shall mean: (i)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conviction 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xml:space="preserve">” for Company to terminate Executive shall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135" w:val="left"/>
        </w:tabs>
        <w:numPr>
          <w:ilvl w:val="1"/>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 of Good Reason. </w:t>
      </w: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color w:val="auto"/>
        </w:rPr>
        <w:t>Good Reason</w:t>
      </w:r>
      <w:r>
        <w:rPr>
          <w:rFonts w:ascii="Times New Roman" w:cs="Times New Roman" w:eastAsia="Times New Roman" w:hAnsi="Times New Roman"/>
          <w:sz w:val="19"/>
          <w:szCs w:val="19"/>
          <w:color w:val="auto"/>
        </w:rPr>
        <w:t>” means the occurrence of any of the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Board shall constitute a material diminution of Executive’s duties, authorities, or responsibilities as set forth in clause (ii) above in this paragraph. Notwithstanding the foregoing, “</w:t>
      </w:r>
      <w:r>
        <w:rPr>
          <w:rFonts w:ascii="Times New Roman" w:cs="Times New Roman" w:eastAsia="Times New Roman" w:hAnsi="Times New Roman"/>
          <w:sz w:val="19"/>
          <w:szCs w:val="19"/>
          <w:b w:val="1"/>
          <w:bCs w:val="1"/>
          <w:color w:val="auto"/>
        </w:rPr>
        <w:t>Good Reason</w:t>
      </w:r>
      <w:r>
        <w:rPr>
          <w:rFonts w:ascii="Times New Roman" w:cs="Times New Roman" w:eastAsia="Times New Roman" w:hAnsi="Times New Roman"/>
          <w:sz w:val="19"/>
          <w:szCs w:val="19"/>
          <w:color w:val="auto"/>
        </w:rPr>
        <w:t xml:space="preserve">” for Executive to resign shall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exist unless: (x) Executive provides Company with specific written notice of the existence of the condition giving rise to Good Reason within ninety (90) days after its initial occurrence;</w:t>
      </w:r>
    </w:p>
    <w:p>
      <w:pPr>
        <w:spacing w:after="0" w:line="4" w:lineRule="exact"/>
        <w:rPr>
          <w:rFonts w:ascii="Times New Roman" w:cs="Times New Roman" w:eastAsia="Times New Roman" w:hAnsi="Times New Roman"/>
          <w:sz w:val="19"/>
          <w:szCs w:val="19"/>
          <w:b w:val="1"/>
          <w:bCs w:val="1"/>
          <w:color w:val="auto"/>
        </w:rPr>
      </w:pPr>
    </w:p>
    <w:p>
      <w:pPr>
        <w:ind w:right="20"/>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52" w:right="339" w:bottom="1440" w:gutter="0" w:footer="0" w:header="0"/>
        </w:sectPr>
      </w:pPr>
    </w:p>
    <w:bookmarkStart w:id="45" w:name="page46"/>
    <w:bookmarkEnd w:id="45"/>
    <w:p>
      <w:pPr>
        <w:jc w:val="both"/>
        <w:ind w:firstLine="656"/>
        <w:spacing w:after="0" w:line="254" w:lineRule="auto"/>
        <w:tabs>
          <w:tab w:leader="none" w:pos="109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Final Pay upon Termination for Any Reason. </w:t>
      </w:r>
      <w:r>
        <w:rPr>
          <w:rFonts w:ascii="Times New Roman" w:cs="Times New Roman" w:eastAsia="Times New Roman" w:hAnsi="Times New Roman"/>
          <w:sz w:val="20"/>
          <w:szCs w:val="20"/>
          <w:color w:val="auto"/>
        </w:rPr>
        <w:t>Except as otherwise provided by this Agreement and/or required by law,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73"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 Benefits upon a Covered Termination (No Change in Control).</w:t>
      </w:r>
    </w:p>
    <w:p>
      <w:pPr>
        <w:spacing w:after="0" w:line="256" w:lineRule="exact"/>
        <w:rPr>
          <w:rFonts w:ascii="Times New Roman" w:cs="Times New Roman" w:eastAsia="Times New Roman" w:hAnsi="Times New Roman"/>
          <w:sz w:val="20"/>
          <w:szCs w:val="20"/>
          <w:b w:val="1"/>
          <w:bCs w:val="1"/>
          <w:color w:val="auto"/>
        </w:rPr>
      </w:pPr>
    </w:p>
    <w:p>
      <w:pPr>
        <w:jc w:val="both"/>
        <w:ind w:firstLine="1304"/>
        <w:spacing w:after="0" w:line="248" w:lineRule="auto"/>
        <w:tabs>
          <w:tab w:leader="none" w:pos="1851"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Severance Benefits. </w:t>
      </w:r>
      <w:r>
        <w:rPr>
          <w:rFonts w:ascii="Times New Roman" w:cs="Times New Roman" w:eastAsia="Times New Roman" w:hAnsi="Times New Roman"/>
          <w:sz w:val="20"/>
          <w:szCs w:val="20"/>
          <w:color w:val="auto"/>
        </w:rPr>
        <w:t>If Executive’s employment is terminated by Company without Cause or due to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resignation for Good Reason (each a “</w:t>
      </w:r>
      <w:r>
        <w:rPr>
          <w:rFonts w:ascii="Times New Roman" w:cs="Times New Roman" w:eastAsia="Times New Roman" w:hAnsi="Times New Roman"/>
          <w:sz w:val="20"/>
          <w:szCs w:val="20"/>
          <w:b w:val="1"/>
          <w:bCs w:val="1"/>
          <w:color w:val="auto"/>
        </w:rPr>
        <w:t>Covered Termination</w:t>
      </w:r>
      <w:r>
        <w:rPr>
          <w:rFonts w:ascii="Times New Roman" w:cs="Times New Roman" w:eastAsia="Times New Roman" w:hAnsi="Times New Roman"/>
          <w:sz w:val="20"/>
          <w:szCs w:val="20"/>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Times New Roman" w:cs="Times New Roman" w:eastAsia="Times New Roman" w:hAnsi="Times New Roman"/>
          <w:sz w:val="20"/>
          <w:szCs w:val="20"/>
          <w:b w:val="1"/>
          <w:bCs w:val="1"/>
          <w:color w:val="auto"/>
        </w:rPr>
        <w:t>Cash Severance</w:t>
      </w:r>
      <w:r>
        <w:rPr>
          <w:rFonts w:ascii="Times New Roman" w:cs="Times New Roman" w:eastAsia="Times New Roman" w:hAnsi="Times New Roman"/>
          <w:sz w:val="20"/>
          <w:szCs w:val="20"/>
          <w:color w:val="auto"/>
        </w:rPr>
        <w:t>”); (2) a lump sum cash payment equal to the full amount of Executive’s Bonus Target for the fiscal year in which the Separation Date occurs, less applicable employment tax withholdings and deductions (the “</w:t>
      </w:r>
      <w:r>
        <w:rPr>
          <w:rFonts w:ascii="Times New Roman" w:cs="Times New Roman" w:eastAsia="Times New Roman" w:hAnsi="Times New Roman"/>
          <w:sz w:val="20"/>
          <w:szCs w:val="20"/>
          <w:b w:val="1"/>
          <w:bCs w:val="1"/>
          <w:color w:val="auto"/>
        </w:rPr>
        <w:t>Full Target Bonus</w:t>
      </w:r>
      <w:r>
        <w:rPr>
          <w:rFonts w:ascii="Times New Roman" w:cs="Times New Roman" w:eastAsia="Times New Roman" w:hAnsi="Times New Roman"/>
          <w:sz w:val="20"/>
          <w:szCs w:val="20"/>
          <w:color w:val="auto"/>
        </w:rPr>
        <w:t>”); (3) Executive’s then-outstanding equity awards (the “</w:t>
      </w:r>
      <w:r>
        <w:rPr>
          <w:rFonts w:ascii="Times New Roman" w:cs="Times New Roman" w:eastAsia="Times New Roman" w:hAnsi="Times New Roman"/>
          <w:sz w:val="20"/>
          <w:szCs w:val="20"/>
          <w:b w:val="1"/>
          <w:bCs w:val="1"/>
          <w:color w:val="auto"/>
        </w:rPr>
        <w:t>Equity Awards</w:t>
      </w:r>
      <w:r>
        <w:rPr>
          <w:rFonts w:ascii="Times New Roman" w:cs="Times New Roman" w:eastAsia="Times New Roman" w:hAnsi="Times New Roman"/>
          <w:sz w:val="20"/>
          <w:szCs w:val="20"/>
          <w:color w:val="auto"/>
        </w:rPr>
        <w:t>”) that vest based on time will be accelerated with respect to the portion of such Equity Awards that would have become vested if Executive remained employed for twenty-four (24)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and the terms of the governing health insurance policies, Company will reimburse the monthly COBRA health insurance premiums (the “</w:t>
      </w:r>
      <w:r>
        <w:rPr>
          <w:rFonts w:ascii="Times New Roman" w:cs="Times New Roman" w:eastAsia="Times New Roman" w:hAnsi="Times New Roman"/>
          <w:sz w:val="20"/>
          <w:szCs w:val="20"/>
          <w:b w:val="1"/>
          <w:bCs w:val="1"/>
          <w:color w:val="auto"/>
        </w:rPr>
        <w:t>COBRA Payments</w:t>
      </w:r>
      <w:r>
        <w:rPr>
          <w:rFonts w:ascii="Times New Roman" w:cs="Times New Roman" w:eastAsia="Times New Roman" w:hAnsi="Times New Roman"/>
          <w:sz w:val="20"/>
          <w:szCs w:val="20"/>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Times New Roman" w:cs="Times New Roman" w:eastAsia="Times New Roman" w:hAnsi="Times New Roman"/>
          <w:sz w:val="20"/>
          <w:szCs w:val="20"/>
          <w:b w:val="1"/>
          <w:bCs w:val="1"/>
          <w:color w:val="auto"/>
        </w:rPr>
        <w:t>COBRA Payment Period</w:t>
      </w:r>
      <w:r>
        <w:rPr>
          <w:rFonts w:ascii="Times New Roman" w:cs="Times New Roman" w:eastAsia="Times New Roman" w:hAnsi="Times New Roman"/>
          <w:sz w:val="20"/>
          <w:szCs w:val="20"/>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Times New Roman" w:cs="Times New Roman" w:eastAsia="Times New Roman" w:hAnsi="Times New Roman"/>
          <w:sz w:val="20"/>
          <w:szCs w:val="20"/>
          <w:b w:val="1"/>
          <w:bCs w:val="1"/>
          <w:color w:val="auto"/>
        </w:rPr>
        <w:t>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Benefits.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52" w:right="339" w:bottom="1440" w:gutter="0" w:footer="0" w:header="0"/>
        </w:sectPr>
      </w:pPr>
    </w:p>
    <w:bookmarkStart w:id="46" w:name="page47"/>
    <w:bookmarkEnd w:id="46"/>
    <w:p>
      <w:pPr>
        <w:jc w:val="both"/>
        <w:ind w:firstLine="1304"/>
        <w:spacing w:after="0" w:line="248" w:lineRule="auto"/>
        <w:tabs>
          <w:tab w:leader="none" w:pos="1789" w:val="left"/>
        </w:tabs>
        <w:numPr>
          <w:ilvl w:val="2"/>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Preconditions. </w:t>
      </w:r>
      <w:r>
        <w:rPr>
          <w:rFonts w:ascii="Times New Roman" w:cs="Times New Roman" w:eastAsia="Times New Roman" w:hAnsi="Times New Roman"/>
          <w:sz w:val="20"/>
          <w:szCs w:val="20"/>
          <w:color w:val="auto"/>
        </w:rPr>
        <w:t>As a precondition to receiving any Severance Benefits, Executive must (1) remain in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continuing obligations Executive owes to Company, including those under this Agreement and Executive’s Confidential Information Agreement, and (2) within twenty-one (21) days after the Separation Date (or forty-five (45) days after the Separation Date, in the event of a group reduction-in-force), Executive must sign and return to Company, a release of claims in substantially the form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(as modified, if necessary, to comply with legal requirements in the event of a group reduction-in-force) and allow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71" w:lineRule="auto"/>
        <w:tabs>
          <w:tab w:leader="none" w:pos="1127" w:val="left"/>
        </w:tabs>
        <w:numPr>
          <w:ilvl w:val="1"/>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Due to Death or Disability. </w:t>
      </w:r>
      <w:r>
        <w:rPr>
          <w:rFonts w:ascii="Times New Roman" w:cs="Times New Roman" w:eastAsia="Times New Roman" w:hAnsi="Times New Roman"/>
          <w:sz w:val="19"/>
          <w:szCs w:val="19"/>
          <w:color w:val="auto"/>
        </w:rPr>
        <w:t>Subject to applicable state or federal law, Executive’s employment with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automatically terminate upon Executive’s death or Disability. For purposes of this Agreement, “</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means a physical or mental condition or disability which prevents Executive from performing Executive’s job responsibilities for more than six (6) months in any twelve</w:t>
      </w:r>
    </w:p>
    <w:p>
      <w:pPr>
        <w:spacing w:after="0" w:line="1" w:lineRule="exact"/>
        <w:rPr>
          <w:rFonts w:ascii="Times New Roman" w:cs="Times New Roman" w:eastAsia="Times New Roman" w:hAnsi="Times New Roman"/>
          <w:sz w:val="19"/>
          <w:szCs w:val="19"/>
          <w:b w:val="1"/>
          <w:bCs w:val="1"/>
          <w:color w:val="auto"/>
        </w:rPr>
      </w:pPr>
    </w:p>
    <w:p>
      <w:pPr>
        <w:ind w:left="420" w:hanging="412"/>
        <w:spacing w:after="0"/>
        <w:tabs>
          <w:tab w:leader="none" w:pos="4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period, or for more than four (4) consecutive months. If Executive’s employment is terminated due to Executive’s death or</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Times New Roman" w:cs="Times New Roman" w:eastAsia="Times New Roman" w:hAnsi="Times New Roman"/>
          <w:sz w:val="20"/>
          <w:szCs w:val="20"/>
          <w:b w:val="1"/>
          <w:bCs w:val="1"/>
          <w:color w:val="auto"/>
        </w:rPr>
        <w:t>Death or Disability Severance Benefits</w:t>
      </w:r>
      <w:r>
        <w:rPr>
          <w:rFonts w:ascii="Times New Roman" w:cs="Times New Roman" w:eastAsia="Times New Roman" w:hAnsi="Times New Roman"/>
          <w:sz w:val="20"/>
          <w:szCs w:val="20"/>
          <w:color w:val="auto"/>
        </w:rPr>
        <w:t>”). The Death and Disability Severance Benefits shall be paid subject to the same preconditions and on the same terms and conditions applicable to the Severance Benefits, as set forth in Section 8(f)(ii) (Preconditions).</w:t>
      </w:r>
    </w:p>
    <w:p>
      <w:pPr>
        <w:spacing w:after="0" w:line="191"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Control Benefits.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77" w:val="left"/>
        </w:tabs>
        <w:numPr>
          <w:ilvl w:val="1"/>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Control Termination. </w:t>
      </w:r>
      <w:r>
        <w:rPr>
          <w:rFonts w:ascii="Times New Roman" w:cs="Times New Roman" w:eastAsia="Times New Roman" w:hAnsi="Times New Roman"/>
          <w:sz w:val="20"/>
          <w:szCs w:val="20"/>
          <w:color w:val="auto"/>
        </w:rPr>
        <w:t>If Executive’s employment with Company is terminated by Company without Cause (but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Times New Roman" w:cs="Times New Roman" w:eastAsia="Times New Roman" w:hAnsi="Times New Roman"/>
          <w:sz w:val="20"/>
          <w:szCs w:val="20"/>
          <w:b w:val="1"/>
          <w:bCs w:val="1"/>
          <w:color w:val="auto"/>
        </w:rPr>
        <w:t>CIC Termination</w:t>
      </w:r>
      <w:r>
        <w:rPr>
          <w:rFonts w:ascii="Times New Roman" w:cs="Times New Roman" w:eastAsia="Times New Roman" w:hAnsi="Times New Roman"/>
          <w:sz w:val="20"/>
          <w:szCs w:val="20"/>
          <w:color w:val="auto"/>
        </w:rPr>
        <w:t>”), Executive shall be eligible to receive the following enhanced severance package (in lieu of the Severance Benefits described above): (i) payment of thirty-six (36) months of Executive’s Base Salary as in effect immediately prior to the Separation Date (or, the level in effect prior to a reduction of Base Salary that constitutes Good Reason), less applicable withholdings and deductions; (ii) a lump sum cash payment equal to the Full Target Bonus; (iii) accelerated vesting of Executive’s Equity Awards so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79"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Times New Roman" w:cs="Times New Roman" w:eastAsia="Times New Roman" w:hAnsi="Times New Roman"/>
          <w:sz w:val="20"/>
          <w:szCs w:val="20"/>
          <w:b w:val="1"/>
          <w:bCs w:val="1"/>
          <w:color w:val="auto"/>
        </w:rPr>
        <w:t>CIC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 The CIC Severance Benefits shall be paid subject to the same preconditions and on the same terms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the Severance Benefits, as set forth in Section 8(f)(ii) (Preconditions).</w:t>
      </w:r>
    </w:p>
    <w:p>
      <w:pPr>
        <w:spacing w:after="0" w:line="197" w:lineRule="exact"/>
        <w:rPr>
          <w:sz w:val="20"/>
          <w:szCs w:val="20"/>
          <w:color w:val="auto"/>
        </w:rPr>
      </w:pPr>
    </w:p>
    <w:p>
      <w:pPr>
        <w:jc w:val="both"/>
        <w:ind w:firstLine="656"/>
        <w:spacing w:after="0" w:line="264" w:lineRule="auto"/>
        <w:tabs>
          <w:tab w:leader="none" w:pos="1121" w:val="left"/>
        </w:tabs>
        <w:numPr>
          <w:ilvl w:val="1"/>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 of Change in Control. </w:t>
      </w: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means the occurrence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events: (i) the acquisition by any individual, entity or group (a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within the meaning of Section 13(d)(3) or 14(d)(2) of the Securities and Exchange Act of 1934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Times New Roman" w:cs="Times New Roman" w:eastAsia="Times New Roman" w:hAnsi="Times New Roman"/>
          <w:sz w:val="19"/>
          <w:szCs w:val="19"/>
          <w:b w:val="1"/>
          <w:bCs w:val="1"/>
          <w:color w:val="auto"/>
        </w:rPr>
        <w:t>Voting Stock</w:t>
      </w:r>
      <w:r>
        <w:rPr>
          <w:rFonts w:ascii="Times New Roman" w:cs="Times New Roman" w:eastAsia="Times New Roman" w:hAnsi="Times New Roman"/>
          <w:sz w:val="19"/>
          <w:szCs w:val="19"/>
          <w:color w:val="auto"/>
        </w:rPr>
        <w:t>”); or (ii) consummation of a reorganization, merger or consolidation, a sale or other disposition of all or substantially all of the assets of Company, or other transaction ( each, a “</w:t>
      </w:r>
      <w:r>
        <w:rPr>
          <w:rFonts w:ascii="Times New Roman" w:cs="Times New Roman" w:eastAsia="Times New Roman" w:hAnsi="Times New Roman"/>
          <w:sz w:val="19"/>
          <w:szCs w:val="19"/>
          <w:b w:val="1"/>
          <w:bCs w:val="1"/>
          <w:color w:val="auto"/>
        </w:rPr>
        <w:t>Business Combination</w:t>
      </w:r>
      <w:r>
        <w:rPr>
          <w:rFonts w:ascii="Times New Roman" w:cs="Times New Roman" w:eastAsia="Times New Roman" w:hAnsi="Times New Roman"/>
          <w:sz w:val="19"/>
          <w:szCs w:val="19"/>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83" w:lineRule="exact"/>
        <w:rPr>
          <w:rFonts w:ascii="Times New Roman" w:cs="Times New Roman" w:eastAsia="Times New Roman" w:hAnsi="Times New Roman"/>
          <w:sz w:val="19"/>
          <w:szCs w:val="19"/>
          <w:b w:val="1"/>
          <w:bCs w:val="1"/>
          <w:color w:val="auto"/>
        </w:rPr>
      </w:pPr>
    </w:p>
    <w:p>
      <w:pPr>
        <w:jc w:val="both"/>
        <w:ind w:firstLine="656"/>
        <w:spacing w:after="0" w:line="255" w:lineRule="auto"/>
        <w:tabs>
          <w:tab w:leader="none" w:pos="1181" w:val="left"/>
        </w:tabs>
        <w:numPr>
          <w:ilvl w:val="1"/>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Prior CIC Agreement. </w:t>
      </w:r>
      <w:r>
        <w:rPr>
          <w:rFonts w:ascii="Times New Roman" w:cs="Times New Roman" w:eastAsia="Times New Roman" w:hAnsi="Times New Roman"/>
          <w:sz w:val="20"/>
          <w:szCs w:val="20"/>
          <w:color w:val="auto"/>
        </w:rPr>
        <w:t>The Parties hereby acknowledge and agree that: (i) this Agreement supersedes in its entirety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January 3, 2007 Change in Control Agreement between Executive and Company (the “</w:t>
      </w:r>
      <w:r>
        <w:rPr>
          <w:rFonts w:ascii="Times New Roman" w:cs="Times New Roman" w:eastAsia="Times New Roman" w:hAnsi="Times New Roman"/>
          <w:sz w:val="20"/>
          <w:szCs w:val="20"/>
          <w:b w:val="1"/>
          <w:bCs w:val="1"/>
          <w:color w:val="auto"/>
        </w:rPr>
        <w:t>Prior CIC Agreement</w:t>
      </w:r>
      <w:r>
        <w:rPr>
          <w:rFonts w:ascii="Times New Roman" w:cs="Times New Roman" w:eastAsia="Times New Roman" w:hAnsi="Times New Roman"/>
          <w:sz w:val="20"/>
          <w:szCs w:val="20"/>
          <w:color w:val="auto"/>
        </w:rPr>
        <w:t>”), such that the Parties’ rights and obligations under that Prior CIC Agreement are null and void as of the Effective Date; and (ii) the CIC Benefits are the sole benefits to which Executive shall be entitled in the event of a CIC Termination.</w:t>
      </w:r>
    </w:p>
    <w:p>
      <w:pPr>
        <w:spacing w:after="0" w:line="183" w:lineRule="exact"/>
        <w:rPr>
          <w:rFonts w:ascii="Times New Roman" w:cs="Times New Roman" w:eastAsia="Times New Roman" w:hAnsi="Times New Roman"/>
          <w:sz w:val="20"/>
          <w:szCs w:val="20"/>
          <w:b w:val="1"/>
          <w:bCs w:val="1"/>
          <w:color w:val="auto"/>
        </w:rPr>
      </w:pPr>
    </w:p>
    <w:p>
      <w:pPr>
        <w:jc w:val="both"/>
        <w:ind w:firstLine="8"/>
        <w:spacing w:after="0" w:line="271" w:lineRule="auto"/>
        <w:tabs>
          <w:tab w:leader="none" w:pos="522"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Code Section 409A Compliance. </w:t>
      </w:r>
      <w:r>
        <w:rPr>
          <w:rFonts w:ascii="Times New Roman" w:cs="Times New Roman" w:eastAsia="Times New Roman" w:hAnsi="Times New Roman"/>
          <w:sz w:val="19"/>
          <w:szCs w:val="19"/>
          <w:color w:val="auto"/>
        </w:rPr>
        <w:t>Notwithstanding anything set forth in this Agreement to the contrary, any payments and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pursuant to this Agreement which constitute “deferred compensation” within the meaning of the Treasury Regulations issued pursuant to Section 409A of the Internal Revenue Code (the “</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shall not commence until Executive has incurred a “separation from service” (as such term is defined in the Treasury Regulation Section 1.409A-1(h) (“</w:t>
      </w:r>
      <w:r>
        <w:rPr>
          <w:rFonts w:ascii="Times New Roman" w:cs="Times New Roman" w:eastAsia="Times New Roman" w:hAnsi="Times New Roman"/>
          <w:sz w:val="19"/>
          <w:szCs w:val="19"/>
          <w:b w:val="1"/>
          <w:bCs w:val="1"/>
          <w:color w:val="auto"/>
        </w:rPr>
        <w:t>Separation From Service</w:t>
      </w:r>
      <w:r>
        <w:rPr>
          <w:rFonts w:ascii="Times New Roman" w:cs="Times New Roman" w:eastAsia="Times New Roman" w:hAnsi="Times New Roman"/>
          <w:sz w:val="19"/>
          <w:szCs w:val="19"/>
          <w:color w:val="auto"/>
        </w:rPr>
        <w:t>”), unless Company reasonably determines that such amounts may be provided to Executive without causing Executive to incur the additional 20% tax under Section 409A.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56" w:right="339" w:bottom="1440" w:gutter="0" w:footer="0" w:header="0"/>
        </w:sectPr>
      </w:pPr>
    </w:p>
    <w:bookmarkStart w:id="48" w:name="page49"/>
    <w:bookmarkEnd w:id="48"/>
    <w:p>
      <w:pPr>
        <w:jc w:val="both"/>
        <w:spacing w:after="0" w:line="248" w:lineRule="auto"/>
        <w:rPr>
          <w:sz w:val="20"/>
          <w:szCs w:val="20"/>
          <w:color w:val="auto"/>
        </w:rPr>
      </w:pPr>
      <w:r>
        <w:rPr>
          <w:rFonts w:ascii="Times New Roman" w:cs="Times New Roman" w:eastAsia="Times New Roman" w:hAnsi="Times New Roman"/>
          <w:sz w:val="20"/>
          <w:szCs w:val="20"/>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Times New Roman" w:cs="Times New Roman" w:eastAsia="Times New Roman" w:hAnsi="Times New Roman"/>
          <w:sz w:val="20"/>
          <w:szCs w:val="20"/>
          <w:b w:val="1"/>
          <w:bCs w:val="1"/>
          <w:color w:val="auto"/>
        </w:rPr>
        <w:t>Specified Employee Initial Payment Date</w:t>
      </w:r>
      <w:r>
        <w:rPr>
          <w:rFonts w:ascii="Times New Roman" w:cs="Times New Roman" w:eastAsia="Times New Roman" w:hAnsi="Times New Roman"/>
          <w:sz w:val="20"/>
          <w:szCs w:val="20"/>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68" w:lineRule="exact"/>
        <w:rPr>
          <w:sz w:val="20"/>
          <w:szCs w:val="20"/>
          <w:color w:val="auto"/>
        </w:rPr>
      </w:pPr>
    </w:p>
    <w:p>
      <w:pPr>
        <w:jc w:val="both"/>
        <w:ind w:firstLine="8"/>
        <w:spacing w:after="0" w:line="251" w:lineRule="auto"/>
        <w:tabs>
          <w:tab w:leader="none" w:pos="529"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Better After Tax Provision. </w:t>
      </w:r>
      <w:r>
        <w:rPr>
          <w:rFonts w:ascii="Times New Roman" w:cs="Times New Roman" w:eastAsia="Times New Roman" w:hAnsi="Times New Roman"/>
          <w:sz w:val="20"/>
          <w:szCs w:val="20"/>
          <w:color w:val="auto"/>
        </w:rPr>
        <w:t>If any payment or benefit that Executive will or may receive from Company or otherwise (a “</w:t>
      </w:r>
      <w:r>
        <w:rPr>
          <w:rFonts w:ascii="Times New Roman" w:cs="Times New Roman" w:eastAsia="Times New Roman" w:hAnsi="Times New Roman"/>
          <w:sz w:val="20"/>
          <w:szCs w:val="20"/>
          <w:b w:val="1"/>
          <w:bCs w:val="1"/>
          <w:color w:val="auto"/>
        </w:rPr>
        <w:t>280G Payment</w:t>
      </w:r>
      <w:r>
        <w:rPr>
          <w:rFonts w:ascii="Times New Roman" w:cs="Times New Roman" w:eastAsia="Times New Roman" w:hAnsi="Times New Roman"/>
          <w:sz w:val="20"/>
          <w:szCs w:val="20"/>
          <w:color w:val="auto"/>
        </w:rPr>
        <w:t>”) would (i) constitute a “parachute payment” within the meaning of Section 280G of the Code, and (ii) but for this sentence,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excise tax imposed by Section 4999 of the Code (the “</w:t>
      </w:r>
      <w:r>
        <w:rPr>
          <w:rFonts w:ascii="Times New Roman" w:cs="Times New Roman" w:eastAsia="Times New Roman" w:hAnsi="Times New Roman"/>
          <w:sz w:val="20"/>
          <w:szCs w:val="20"/>
          <w:b w:val="1"/>
          <w:bCs w:val="1"/>
          <w:color w:val="auto"/>
        </w:rPr>
        <w:t>Excise Tax</w:t>
      </w:r>
      <w:r>
        <w:rPr>
          <w:rFonts w:ascii="Times New Roman" w:cs="Times New Roman" w:eastAsia="Times New Roman" w:hAnsi="Times New Roman"/>
          <w:sz w:val="20"/>
          <w:szCs w:val="20"/>
          <w:color w:val="auto"/>
        </w:rPr>
        <w:t>”), then any such 280G Payment will be equal to the Reduced Amount. The “</w:t>
      </w:r>
      <w:r>
        <w:rPr>
          <w:rFonts w:ascii="Times New Roman" w:cs="Times New Roman" w:eastAsia="Times New Roman" w:hAnsi="Times New Roman"/>
          <w:sz w:val="20"/>
          <w:szCs w:val="20"/>
          <w:b w:val="1"/>
          <w:bCs w:val="1"/>
          <w:color w:val="auto"/>
        </w:rPr>
        <w:t>Reduced Amount</w:t>
      </w:r>
      <w:r>
        <w:rPr>
          <w:rFonts w:ascii="Times New Roman" w:cs="Times New Roman" w:eastAsia="Times New Roman" w:hAnsi="Times New Roman"/>
          <w:sz w:val="20"/>
          <w:szCs w:val="20"/>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20"/>
          <w:szCs w:val="20"/>
          <w:b w:val="1"/>
          <w:bCs w:val="1"/>
          <w:color w:val="auto"/>
        </w:rPr>
        <w:t>Reduction Method</w:t>
      </w:r>
      <w:r>
        <w:rPr>
          <w:rFonts w:ascii="Times New Roman" w:cs="Times New Roman" w:eastAsia="Times New Roman" w:hAnsi="Times New Roman"/>
          <w:sz w:val="20"/>
          <w:szCs w:val="20"/>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0"/>
          <w:szCs w:val="20"/>
          <w:b w:val="1"/>
          <w:bCs w:val="1"/>
          <w:color w:val="auto"/>
        </w:rPr>
        <w:t>Pro Rata Reduction Method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56"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being terminated without Cause), will be reduced (or eliminated) before 280G Payments that are not contingent on future events; and (C) as a third priority, 280G Payments that are “deferred compensation” within the meaning of Section 409A of the Code will be reduced (or eliminated) before 280G Payments that are not “deferred compensation” within the meaning of Section 409A of the Code.</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Section 280G of the Code is not applicable by law to Executive, Company will determine whether any similar law in Executive’s jurisdiction applies and should be taken into account.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88"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113"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Taxes. </w:t>
      </w:r>
      <w:r>
        <w:rPr>
          <w:rFonts w:ascii="Times New Roman" w:cs="Times New Roman" w:eastAsia="Times New Roman" w:hAnsi="Times New Roman"/>
          <w:sz w:val="20"/>
          <w:szCs w:val="20"/>
          <w:color w:val="auto"/>
        </w:rPr>
        <w:t>Executive shall be responsible for the payment of any taxes due on any and all compensation, stock option, or benefit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56" w:right="339" w:bottom="1440" w:gutter="0" w:footer="0" w:header="0"/>
        </w:sectPr>
      </w:pPr>
    </w:p>
    <w:bookmarkStart w:id="50" w:name="page51"/>
    <w:bookmarkEnd w:id="50"/>
    <w:p>
      <w:pPr>
        <w:jc w:val="both"/>
        <w:ind w:firstLine="656"/>
        <w:spacing w:after="0" w:line="254" w:lineRule="auto"/>
        <w:tabs>
          <w:tab w:leader="none" w:pos="1169"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Modification/Waiver. </w:t>
      </w:r>
      <w:r>
        <w:rPr>
          <w:rFonts w:ascii="Times New Roman" w:cs="Times New Roman" w:eastAsia="Times New Roman" w:hAnsi="Times New Roman"/>
          <w:sz w:val="20"/>
          <w:szCs w:val="20"/>
          <w:color w:val="auto"/>
        </w:rPr>
        <w:t>This Agreement may not be amended, modified, superseded, canceled, renewed or extended,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83"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This Agreement may be assigned by Company to an affiliated entity of the Company with or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consent. This Agreement shall be assigned by the Company to any successor of the Company. This Agreement shall not be assignable by Executive.</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9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to be given hereunder shall be in writing and shall be deemed to have been duly given on: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personally or hand delivered; one (1) day after being sent by internationally-recognized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163"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Dispute Resolution. </w:t>
      </w:r>
      <w:r>
        <w:rPr>
          <w:rFonts w:ascii="Times New Roman" w:cs="Times New Roman" w:eastAsia="Times New Roman" w:hAnsi="Times New Roman"/>
          <w:sz w:val="20"/>
          <w:szCs w:val="20"/>
          <w:color w:val="auto"/>
        </w:rPr>
        <w:t>To aid in the rapid and economical resolution of any disputes that may arise between Executive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Times New Roman" w:cs="Times New Roman" w:eastAsia="Times New Roman" w:hAnsi="Times New Roman"/>
          <w:sz w:val="20"/>
          <w:szCs w:val="20"/>
          <w:b w:val="1"/>
          <w:bCs w:val="1"/>
          <w:color w:val="auto"/>
        </w:rPr>
        <w:t>The 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acknowledge that by agreeing to this arbitration procedure, they waive the right to resolve any such dispute, claim or demand through a trial by jury or judge or by administrative proceeding. </w:t>
      </w:r>
      <w:r>
        <w:rPr>
          <w:rFonts w:ascii="Times New Roman" w:cs="Times New Roman" w:eastAsia="Times New Roman" w:hAnsi="Times New Roman"/>
          <w:sz w:val="20"/>
          <w:szCs w:val="20"/>
          <w:color w:val="auto"/>
        </w:rPr>
        <w:t>The arbitrator shall: (a) have authority to compel adequate discovery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91"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044"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In addition to any rights to indemnification to which Executive may be entitled under Company’s Charter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52" w:right="339" w:bottom="1440" w:gutter="0" w:footer="0" w:header="0"/>
        </w:sectPr>
      </w:pPr>
    </w:p>
    <w:bookmarkStart w:id="51" w:name="page52"/>
    <w:bookmarkEnd w:id="51"/>
    <w:p>
      <w:pPr>
        <w:spacing w:after="0" w:line="269" w:lineRule="auto"/>
        <w:rPr>
          <w:sz w:val="20"/>
          <w:szCs w:val="20"/>
          <w:color w:val="auto"/>
        </w:rPr>
      </w:pPr>
      <w:r>
        <w:rPr>
          <w:rFonts w:ascii="Times New Roman" w:cs="Times New Roman" w:eastAsia="Times New Roman" w:hAnsi="Times New Roman"/>
          <w:sz w:val="20"/>
          <w:szCs w:val="20"/>
          <w:color w:val="auto"/>
        </w:rPr>
        <w:t>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69" w:lineRule="exact"/>
        <w:rPr>
          <w:sz w:val="20"/>
          <w:szCs w:val="20"/>
          <w:color w:val="auto"/>
        </w:rPr>
      </w:pPr>
    </w:p>
    <w:p>
      <w:pPr>
        <w:jc w:val="both"/>
        <w:ind w:firstLine="656"/>
        <w:spacing w:after="0" w:line="265" w:lineRule="auto"/>
        <w:tabs>
          <w:tab w:leader="none" w:pos="126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Entire Agreement. </w:t>
      </w:r>
      <w:r>
        <w:rPr>
          <w:rFonts w:ascii="Times New Roman" w:cs="Times New Roman" w:eastAsia="Times New Roman" w:hAnsi="Times New Roman"/>
          <w:sz w:val="19"/>
          <w:szCs w:val="19"/>
          <w:color w:val="auto"/>
        </w:rPr>
        <w:t>This Agreement, together with the Exhibits, sets forth the complete and exclusive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 consistent with the intent of the parties insofar as possible under applicable law. For purposes of construing this Agreement, any ambiguities shall not be construed against any party as the drafter. This Agreement may 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8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each duly executed this Agreement as of the date written below to indicate their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acceptance of all of the above-stated terms and conditions.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The Cooper Companies, Inc.</w:t>
      </w:r>
    </w:p>
    <w:p>
      <w:pPr>
        <w:spacing w:after="0" w:line="200" w:lineRule="exact"/>
        <w:rPr>
          <w:sz w:val="20"/>
          <w:szCs w:val="20"/>
          <w:color w:val="auto"/>
        </w:rPr>
      </w:pPr>
    </w:p>
    <w:p>
      <w:pPr>
        <w:spacing w:after="0" w:line="263"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1242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Daniel G. McBride</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&amp; Chief Operating Officer</w:t>
      </w: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___27 March 2024 __________________</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12141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Albert G. White III</w:t>
      </w:r>
    </w:p>
    <w:p>
      <w:pPr>
        <w:spacing w:after="0" w:line="200" w:lineRule="exact"/>
        <w:rPr>
          <w:sz w:val="20"/>
          <w:szCs w:val="20"/>
          <w:color w:val="auto"/>
        </w:rPr>
      </w:pPr>
    </w:p>
    <w:p>
      <w:pPr>
        <w:spacing w:after="0" w:line="2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 ___27 March 2024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21494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5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signed on or within twenty-one (21) days after the Separation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employment with the Cooper Companies,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ended in all capacities on _____________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hereby 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I choose to enter into this Release and allow it to become effective by its terms, Company will provide me with certain severance benefits pursuant to the terms of the Executive Employment Agreement between me and Company dated ______________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understand 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Times New Roman" w:cs="Times New Roman" w:eastAsia="Times New Roman" w:hAnsi="Times New Roman"/>
          <w:sz w:val="20"/>
          <w:szCs w:val="20"/>
          <w:b w:val="1"/>
          <w:bCs w:val="1"/>
          <w:color w:val="auto"/>
        </w:rPr>
        <w:t>Released Claims</w:t>
      </w:r>
      <w:r>
        <w:rPr>
          <w:rFonts w:ascii="Times New Roman" w:cs="Times New Roman" w:eastAsia="Times New Roman" w:hAnsi="Times New Roman"/>
          <w:sz w:val="20"/>
          <w:szCs w:val="20"/>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and California state law.</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Notwithstanding the foregoing, the following are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included in the Released Claims (the “</w:t>
      </w:r>
      <w:r>
        <w:rPr>
          <w:rFonts w:ascii="Times New Roman" w:cs="Times New Roman" w:eastAsia="Times New Roman" w:hAnsi="Times New Roman"/>
          <w:sz w:val="19"/>
          <w:szCs w:val="19"/>
          <w:b w:val="1"/>
          <w:bCs w:val="1"/>
          <w:color w:val="auto"/>
        </w:rPr>
        <w:t>Excluded Claims</w:t>
      </w:r>
      <w:r>
        <w:rPr>
          <w:rFonts w:ascii="Times New Roman" w:cs="Times New Roman" w:eastAsia="Times New Roman" w:hAnsi="Times New Roman"/>
          <w:sz w:val="19"/>
          <w:szCs w:val="19"/>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w:t>
      </w:r>
    </w:p>
    <w:p>
      <w:pPr>
        <w:jc w:val="both"/>
        <w:ind w:firstLine="8"/>
        <w:spacing w:after="0" w:line="251" w:lineRule="auto"/>
        <w:tabs>
          <w:tab w:leader="none" w:pos="2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152" w:right="339" w:bottom="1440" w:gutter="0" w:footer="0" w:header="0"/>
        </w:sectPr>
      </w:pPr>
    </w:p>
    <w:bookmarkStart w:id="53" w:name="page54"/>
    <w:bookmarkEnd w:id="53"/>
    <w:p>
      <w:pPr>
        <w:jc w:val="both"/>
        <w:spacing w:after="0" w:line="269" w:lineRule="auto"/>
        <w:rPr>
          <w:sz w:val="20"/>
          <w:szCs w:val="20"/>
          <w:color w:val="auto"/>
        </w:rPr>
      </w:pPr>
      <w:r>
        <w:rPr>
          <w:rFonts w:ascii="Times New Roman" w:cs="Times New Roman" w:eastAsia="Times New Roman" w:hAnsi="Times New Roman"/>
          <w:sz w:val="20"/>
          <w:szCs w:val="20"/>
          <w:color w:val="auto"/>
        </w:rPr>
        <w:t>that, other than the Excluded Claims, I am not aware of any claims that I have or might have against any of the parties released above that are not included in the Released Claims.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pacing w:after="0" w:line="2" w:lineRule="exact"/>
        <w:rPr>
          <w:sz w:val="20"/>
          <w:szCs w:val="20"/>
          <w:color w:val="auto"/>
        </w:rPr>
      </w:pPr>
    </w:p>
    <w:p>
      <w:pPr>
        <w:jc w:val="both"/>
        <w:ind w:firstLine="8"/>
        <w:spacing w:after="0" w:line="249" w:lineRule="auto"/>
        <w:tabs>
          <w:tab w:leader="none" w:pos="28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Reviewed, Understood and Agreed:</w:t>
      </w:r>
    </w:p>
    <w:p>
      <w:pPr>
        <w:spacing w:after="0" w:line="200" w:lineRule="exact"/>
        <w:rPr>
          <w:sz w:val="20"/>
          <w:szCs w:val="20"/>
          <w:color w:val="auto"/>
        </w:rPr>
      </w:pPr>
    </w:p>
    <w:p>
      <w:pPr>
        <w:spacing w:after="0" w:line="27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779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77990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Albert G. White, III</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156" w:right="339" w:bottom="1440" w:gutter="0" w:footer="0" w:header="0"/>
        </w:sectPr>
      </w:pPr>
    </w:p>
    <w:bookmarkStart w:id="54" w:name="page55"/>
    <w:bookmarkEnd w:id="54"/>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32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by and between The Cooper Companies,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Daniel G. McBride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As of the date (the “</w:t>
      </w:r>
      <w:r>
        <w:rPr>
          <w:rFonts w:ascii="Times New Roman" w:cs="Times New Roman" w:eastAsia="Times New Roman" w:hAnsi="Times New Roman"/>
          <w:sz w:val="20"/>
          <w:szCs w:val="20"/>
          <w:b w:val="1"/>
          <w:bCs w:val="1"/>
          <w:color w:val="auto"/>
        </w:rPr>
        <w:t>Execution Date</w:t>
      </w:r>
      <w:r>
        <w:rPr>
          <w:rFonts w:ascii="Times New Roman" w:cs="Times New Roman" w:eastAsia="Times New Roman" w:hAnsi="Times New Roman"/>
          <w:sz w:val="20"/>
          <w:szCs w:val="20"/>
          <w:color w:val="auto"/>
        </w:rPr>
        <w:t>”) this Agreement has been executed by both Parties, it will be deemed effective as of March 19, 2024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is currently employed by Company as its Executive Vice President and Chief Operating Officer;</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Company wishes to continue to employ Executive and Executive wishes to be employed by Company on the terms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and</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intend for this Agreement to set forth all of the terms and conditions of Executive’s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to supersede and replace all prior agreements, arrangements, representations or understandings between the Parties regarding Executive’s employment with Company, except for those prior agreements specifically identified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and covenants contained herein, the Parties agree as follows:</w:t>
      </w:r>
    </w:p>
    <w:p>
      <w:pPr>
        <w:spacing w:after="0" w:line="229" w:lineRule="exact"/>
        <w:rPr>
          <w:sz w:val="20"/>
          <w:szCs w:val="20"/>
          <w:color w:val="auto"/>
        </w:rPr>
      </w:pPr>
    </w:p>
    <w:p>
      <w:pPr>
        <w:ind w:firstLine="8"/>
        <w:spacing w:after="0" w:line="287" w:lineRule="auto"/>
        <w:tabs>
          <w:tab w:leader="none" w:pos="34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Position. </w:t>
      </w:r>
      <w:r>
        <w:rPr>
          <w:rFonts w:ascii="Times New Roman" w:cs="Times New Roman" w:eastAsia="Times New Roman" w:hAnsi="Times New Roman"/>
          <w:sz w:val="20"/>
          <w:szCs w:val="20"/>
          <w:color w:val="auto"/>
        </w:rPr>
        <w:t>Company will continue to employ Executive and Executive shall continue to serve Company in the capacity of Executive 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President and Chief Operating Officer (“</w:t>
      </w:r>
      <w:r>
        <w:rPr>
          <w:rFonts w:ascii="Times New Roman" w:cs="Times New Roman" w:eastAsia="Times New Roman" w:hAnsi="Times New Roman"/>
          <w:sz w:val="20"/>
          <w:szCs w:val="20"/>
          <w:b w:val="1"/>
          <w:bCs w:val="1"/>
          <w:color w:val="auto"/>
        </w:rPr>
        <w:t>COO</w:t>
      </w:r>
      <w:r>
        <w:rPr>
          <w:rFonts w:ascii="Times New Roman" w:cs="Times New Roman" w:eastAsia="Times New Roman" w:hAnsi="Times New Roman"/>
          <w:sz w:val="20"/>
          <w:szCs w:val="20"/>
          <w:color w:val="auto"/>
        </w:rPr>
        <w:t>”) of Company.</w:t>
      </w:r>
    </w:p>
    <w:p>
      <w:pPr>
        <w:spacing w:after="0" w:line="138" w:lineRule="exact"/>
        <w:rPr>
          <w:rFonts w:ascii="Times New Roman" w:cs="Times New Roman" w:eastAsia="Times New Roman" w:hAnsi="Times New Roman"/>
          <w:sz w:val="20"/>
          <w:szCs w:val="20"/>
          <w:b w:val="1"/>
          <w:bCs w:val="1"/>
          <w:color w:val="auto"/>
        </w:rPr>
      </w:pPr>
    </w:p>
    <w:p>
      <w:pPr>
        <w:jc w:val="both"/>
        <w:ind w:firstLine="8"/>
        <w:spacing w:after="0" w:line="249" w:lineRule="auto"/>
        <w:tabs>
          <w:tab w:leader="none" w:pos="3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w:t>
      </w:r>
      <w:r>
        <w:rPr>
          <w:rFonts w:ascii="Times New Roman" w:cs="Times New Roman" w:eastAsia="Times New Roman" w:hAnsi="Times New Roman"/>
          <w:sz w:val="20"/>
          <w:szCs w:val="20"/>
          <w:color w:val="auto"/>
        </w:rPr>
        <w:t>As Executive Vice President and COO, Executive shall render exclusive, full-time services to Company and its subsidiaries,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such authority and perform such duties as assigned to Executive by Company’s Chief Executive Officer (the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Executive shall report to the CEO. Executive shall perform services under this Agreement primarily at Company’s office in San Ramon, California, and undertake business travel as necessary in performing the duties of his position. Subject to the terms of this Agreement, Executive’s responsibilities, working conditions and duties may be modified at the sole discretion of the CEO or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xml:space="preserve">”). While employed by Company, Executive shall not compete with, or prepare to compete with Company, and Executive shall devote Executive’s best efforts and full business time, skill and attention to performance of Executive’s duties on behalf of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Executive may engage in civic and not-for-profit activities (</w:t>
      </w:r>
      <w:r>
        <w:rPr>
          <w:rFonts w:ascii="Times New Roman" w:cs="Times New Roman" w:eastAsia="Times New Roman" w:hAnsi="Times New Roman"/>
          <w:sz w:val="20"/>
          <w:szCs w:val="20"/>
          <w:i w:val="1"/>
          <w:iCs w:val="1"/>
          <w:color w:val="auto"/>
        </w:rPr>
        <w:t xml:space="preserve">e.g. </w:t>
      </w:r>
      <w:r>
        <w:rPr>
          <w:rFonts w:ascii="Times New Roman" w:cs="Times New Roman" w:eastAsia="Times New Roman" w:hAnsi="Times New Roman"/>
          <w:sz w:val="20"/>
          <w:szCs w:val="20"/>
          <w:color w:val="auto"/>
        </w:rPr>
        <w:t>charitable and industry association activities) as long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such activities do not materially interfere with Executive’s obligations hereunder or conflict with the interests of Company. During Executive’s employment with Company, Executive agrees not to engage in any business or for-profit activities outside Company, including serving on any advisory boards or boards of directors of for-profit entities, except with the prior written approval of the Board, which approval may be rescinded at any time in the Board’s sole discretion; provided however, that in the event of such rescission Executive shall be permitted reasonable time for orderly withdrawal from any board with respect to which such consent has been rescinded. By signing this Agreement, Executive represents that, to the best of Executive’s knowledge, Executive is not subject to any other contract or duty that would interfere in any way with Executive’s employment with Company or performance of employment duties hereunder.</w:t>
      </w:r>
    </w:p>
    <w:p>
      <w:pPr>
        <w:spacing w:after="0" w:line="200" w:lineRule="exact"/>
        <w:rPr>
          <w:rFonts w:ascii="Times New Roman" w:cs="Times New Roman" w:eastAsia="Times New Roman" w:hAnsi="Times New Roman"/>
          <w:sz w:val="20"/>
          <w:szCs w:val="20"/>
          <w:b w:val="1"/>
          <w:bCs w:val="1"/>
          <w:color w:val="auto"/>
        </w:rPr>
      </w:pPr>
    </w:p>
    <w:p>
      <w:pPr>
        <w:jc w:val="both"/>
        <w:ind w:right="20" w:firstLine="8"/>
        <w:spacing w:after="0" w:line="263" w:lineRule="auto"/>
        <w:tabs>
          <w:tab w:leader="none" w:pos="355"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Policies and Procedures. </w:t>
      </w:r>
      <w:r>
        <w:rPr>
          <w:rFonts w:ascii="Times New Roman" w:cs="Times New Roman" w:eastAsia="Times New Roman" w:hAnsi="Times New Roman"/>
          <w:sz w:val="20"/>
          <w:szCs w:val="20"/>
          <w:color w:val="auto"/>
        </w:rPr>
        <w:t>Executive shall be subject to and will comply with the policies and procedures of Company, as modified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at Company’s sole discretion, except to the extent any such policy or procedure specifically conflicts with the express terms of this Agreement (in which case,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52" w:right="339" w:bottom="1440" w:gutter="0" w:footer="0" w:header="0"/>
        </w:sectPr>
      </w:pPr>
    </w:p>
    <w:bookmarkStart w:id="55" w:name="page56"/>
    <w:bookmarkEnd w:id="55"/>
    <w:p>
      <w:pPr>
        <w:jc w:val="both"/>
        <w:ind w:firstLine="8"/>
        <w:spacing w:after="0" w:line="252" w:lineRule="auto"/>
        <w:tabs>
          <w:tab w:leader="none" w:pos="389"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Base Salary. </w:t>
      </w:r>
      <w:r>
        <w:rPr>
          <w:rFonts w:ascii="Times New Roman" w:cs="Times New Roman" w:eastAsia="Times New Roman" w:hAnsi="Times New Roman"/>
          <w:sz w:val="20"/>
          <w:szCs w:val="20"/>
          <w:color w:val="auto"/>
        </w:rPr>
        <w:t>For services rendered hereunder, Executive shall receive an initial base salary at the rate of $750,000 per year,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payroll withholdings and deductions, which shall be deemed to have been effective as of January 1, 2024, and an initial true-up payment will be made, if necessary, within fifteen (15) days of the Execution Date. Otherwise, such base salary amount will be paid periodically in accordance with ordinary Company payroll practices. Executive’s base salary shall be subject to annual reviews and periodic adjustment by the Organization and Compensation Committee of the Board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which has full discretion to adjust Executive’s base salary. (For purposes of this Agreement, Executive’s base salary as so adjusted from time to time, shall be referred to as the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4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Performance Bonus. </w:t>
      </w:r>
      <w:r>
        <w:rPr>
          <w:rFonts w:ascii="Times New Roman" w:cs="Times New Roman" w:eastAsia="Times New Roman" w:hAnsi="Times New Roman"/>
          <w:sz w:val="20"/>
          <w:szCs w:val="20"/>
          <w:color w:val="auto"/>
        </w:rPr>
        <w:t>Executive will be eligible to receive an annual performance bonus (“</w:t>
      </w:r>
      <w:r>
        <w:rPr>
          <w:rFonts w:ascii="Times New Roman" w:cs="Times New Roman" w:eastAsia="Times New Roman" w:hAnsi="Times New Roman"/>
          <w:sz w:val="20"/>
          <w:szCs w:val="20"/>
          <w:b w:val="1"/>
          <w:bCs w:val="1"/>
          <w:color w:val="auto"/>
        </w:rPr>
        <w:t>Performance Bonus</w:t>
      </w:r>
      <w:r>
        <w:rPr>
          <w:rFonts w:ascii="Times New Roman" w:cs="Times New Roman" w:eastAsia="Times New Roman" w:hAnsi="Times New Roman"/>
          <w:sz w:val="20"/>
          <w:szCs w:val="20"/>
          <w:color w:val="auto"/>
        </w:rPr>
        <w:t>”), with a target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“Bonus Target”</w:t>
      </w:r>
      <w:r>
        <w:rPr>
          <w:rFonts w:ascii="Times New Roman" w:cs="Times New Roman" w:eastAsia="Times New Roman" w:hAnsi="Times New Roman"/>
          <w:sz w:val="20"/>
          <w:szCs w:val="20"/>
          <w:color w:val="auto"/>
        </w:rPr>
        <w:t>) determined pursuant to Company’s Incentive Performance Plan (the “</w:t>
      </w:r>
      <w:r>
        <w:rPr>
          <w:rFonts w:ascii="Times New Roman" w:cs="Times New Roman" w:eastAsia="Times New Roman" w:hAnsi="Times New Roman"/>
          <w:sz w:val="20"/>
          <w:szCs w:val="20"/>
          <w:b w:val="1"/>
          <w:bCs w:val="1"/>
          <w:color w:val="auto"/>
        </w:rPr>
        <w:t>IPP</w:t>
      </w:r>
      <w:r>
        <w:rPr>
          <w:rFonts w:ascii="Times New Roman" w:cs="Times New Roman" w:eastAsia="Times New Roman" w:hAnsi="Times New Roman"/>
          <w:sz w:val="20"/>
          <w:szCs w:val="20"/>
          <w:color w:val="auto"/>
        </w:rPr>
        <w:t>”). The Board or its Compensation Committee will use best efforts to determine the Bonus Target for each year no later than March 31 of such year. The annual amount of such Performance Bonus shall be determined in the sole discretion of the Board or by its Compensation Committee (under authority delegated by the Board), based upon a review of both Executive's individual performance and Company’s performance, pursuant to Company’s IPP. The Board or the Compensation Committee, in their sole discretion, shall determine: the extent to which both Company and Executive have achieved any corporate or individual performance goals or targets, or other terms and conditions applicable to the Performance Bonus; the amount of the Performance Bonus (if any); and whether and to what extent a Performance Bonus may be paid with respect to any year during which Executive's employment terminates, subject to the terms and conditions of this Agreement. Performance Bonuses are not earned until they are approved in writing by the Board or Compensation Committee and paid to senior executive officers of Company. Any Performance Bonuses earned shall be paid subject to applicable employment taxes, withholding and deductions. Except as otherwise expressly provided in this Agreement, Executive must remain continuously employed with Company through the date that Performance Bonuses are generally paid to senior executive officers of Company in order to be eligible to receive such Performance Bonus.</w:t>
      </w:r>
    </w:p>
    <w:p>
      <w:pPr>
        <w:spacing w:after="0" w:line="193"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Benefits. </w:t>
      </w:r>
      <w:r>
        <w:rPr>
          <w:rFonts w:ascii="Times New Roman" w:cs="Times New Roman" w:eastAsia="Times New Roman" w:hAnsi="Times New Roman"/>
          <w:sz w:val="20"/>
          <w:szCs w:val="20"/>
          <w:color w:val="auto"/>
        </w:rPr>
        <w:t>While employed by Company pursuant to this Agreement, Executive shall be entitled to the following benefits: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75" w:lineRule="auto"/>
        <w:tabs>
          <w:tab w:leader="none" w:pos="1087" w:val="left"/>
        </w:tabs>
        <w:numPr>
          <w:ilvl w:val="1"/>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Executive Benefits</w:t>
      </w:r>
      <w:r>
        <w:rPr>
          <w:rFonts w:ascii="Times New Roman" w:cs="Times New Roman" w:eastAsia="Times New Roman" w:hAnsi="Times New Roman"/>
          <w:sz w:val="19"/>
          <w:szCs w:val="19"/>
          <w:color w:val="auto"/>
        </w:rPr>
        <w:t>. Executive shall be entitled to all benefits to which other executive officers of Company are entitled,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same terms and conditions in effect from time to time, including, without limitation, participation in pension and profit sharing plans, Company’s 401(k) plan, group insurance policies and plans (including medical, health, vision, and disability insurance policies and plans, and the like), and executive perquisites, which may be maintained by Company for the benefit of its executives. Company reserves the right to alter, discontinue and/or amend its benefit plans and programs, as well as any executive perquisites, from time to time in its sole discretion.</w:t>
      </w:r>
    </w:p>
    <w:p>
      <w:pPr>
        <w:spacing w:after="0" w:line="152" w:lineRule="exact"/>
        <w:rPr>
          <w:rFonts w:ascii="Times New Roman" w:cs="Times New Roman" w:eastAsia="Times New Roman" w:hAnsi="Times New Roman"/>
          <w:sz w:val="19"/>
          <w:szCs w:val="19"/>
          <w:b w:val="1"/>
          <w:bCs w:val="1"/>
          <w:color w:val="auto"/>
        </w:rPr>
      </w:pPr>
    </w:p>
    <w:p>
      <w:pPr>
        <w:jc w:val="both"/>
        <w:ind w:firstLine="656"/>
        <w:spacing w:after="0" w:line="260" w:lineRule="auto"/>
        <w:tabs>
          <w:tab w:leader="none" w:pos="1325"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 Reimbursement. </w:t>
      </w:r>
      <w:r>
        <w:rPr>
          <w:rFonts w:ascii="Times New Roman" w:cs="Times New Roman" w:eastAsia="Times New Roman" w:hAnsi="Times New Roman"/>
          <w:sz w:val="20"/>
          <w:szCs w:val="20"/>
          <w:color w:val="auto"/>
        </w:rPr>
        <w:t>Executive shall receive reimbursement for reasonable out-of-pocket expenses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performance of Executive’s duties hereunder, including, but not limited to, any business travel on behalf of Company or its subsidiaries, in accordance with Company’s expense reimbursement policies and procedures in effect from time to time, including a requirement for specific itemization and documentation of such expenses.</w:t>
      </w:r>
    </w:p>
    <w:p>
      <w:pPr>
        <w:spacing w:after="0" w:line="177"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Rights and Duties.</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303" w:val="left"/>
        </w:tabs>
        <w:numPr>
          <w:ilvl w:val="1"/>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Executive entered into an Employee Confidential Information and Invention Assignment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the Company effective April 17, 2019, which agreement remains in full force and effect, and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52" w:right="339" w:bottom="1440" w:gutter="0" w:footer="0" w:header="0"/>
        </w:sectPr>
      </w:pPr>
    </w:p>
    <w:bookmarkStart w:id="56" w:name="page57"/>
    <w:bookmarkEnd w:id="56"/>
    <w:p>
      <w:pPr>
        <w:jc w:val="both"/>
        <w:ind w:firstLine="656"/>
        <w:spacing w:after="0" w:line="263" w:lineRule="auto"/>
        <w:tabs>
          <w:tab w:leader="none" w:pos="1196" w:val="left"/>
        </w:tabs>
        <w:numPr>
          <w:ilvl w:val="1"/>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Exclusive Property</w:t>
      </w:r>
      <w:r>
        <w:rPr>
          <w:rFonts w:ascii="Times New Roman" w:cs="Times New Roman" w:eastAsia="Times New Roman" w:hAnsi="Times New Roman"/>
          <w:sz w:val="20"/>
          <w:szCs w:val="20"/>
          <w:color w:val="auto"/>
        </w:rPr>
        <w:t>. Executive agrees that all Company-related business procured by Executive, and all Company-related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opportunities and plans made known to Executive while employed by Company, are and shall remain the permanent and exclusive property of Company.</w:t>
      </w:r>
    </w:p>
    <w:p>
      <w:pPr>
        <w:spacing w:after="0" w:line="175"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Employment.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098" w:val="left"/>
        </w:tabs>
        <w:numPr>
          <w:ilvl w:val="1"/>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At-Will Status. </w:t>
      </w:r>
      <w:r>
        <w:rPr>
          <w:rFonts w:ascii="Times New Roman" w:cs="Times New Roman" w:eastAsia="Times New Roman" w:hAnsi="Times New Roman"/>
          <w:sz w:val="20"/>
          <w:szCs w:val="20"/>
          <w:color w:val="auto"/>
        </w:rPr>
        <w:t>Company and Executive understand and agree that this employment relationship is at-will. Accordingly, there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 promises or representations concerning the duration of Executive’s employment relationship, which may be terminated by either Executive or Company at any time, with or without Cause or Good Reason (as defined herein), and with or without advance notice. Executive’s at-will status cannot be altered except in an express written agreement signed by Executive and Company with specific written approval of Company’s Board.</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095" w:val="left"/>
        </w:tabs>
        <w:numPr>
          <w:ilvl w:val="1"/>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Resignation by Executive. </w:t>
      </w:r>
      <w:r>
        <w:rPr>
          <w:rFonts w:ascii="Times New Roman" w:cs="Times New Roman" w:eastAsia="Times New Roman" w:hAnsi="Times New Roman"/>
          <w:sz w:val="20"/>
          <w:szCs w:val="20"/>
          <w:color w:val="auto"/>
        </w:rPr>
        <w:t>Executive may resign from Company with or without Good Reason. Executive agrees to provide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least three (3) weeks advance written notice of a resignation without Good Reason, to allow for an orderly transition. Company may accelerate the date Executive’s resignation is to become effective, in its sole discretion. In the event Company accelerates the resignation effective date, Executive will be paid Base Salary severance through the originally tendered resignation date, provided that in no such event will Executive be entitled under this paragraph 8(b) to receive more than three (3) months of Base Salary severance beyond the accelerated resignation date.</w:t>
      </w:r>
    </w:p>
    <w:p>
      <w:pPr>
        <w:spacing w:after="0" w:line="186"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65" w:val="left"/>
        </w:tabs>
        <w:numPr>
          <w:ilvl w:val="1"/>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 of Cause. </w:t>
      </w: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Company to terminate Executive shall mean: (i)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conviction 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any felony; (ii) Executive’s willful misconduct in performing Executive’s duties, where such misconduct has had or is reasonably likely to have a material adverse effect upon Company; or (iii) any material breach of this Agreement, the Confidential Information Agreement, any other fully executed agreement with Company, or Company’s policies. Notwithstanding the foregoing, if any act or omission giving rise to Cause is reasonably capable of cure,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xml:space="preserve">” for Company to terminate Executive shall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exist unless: (x) Company provides Executive with specific written notice of the existence of the condition giving rise to Cause within thirty (30) days after the condition giving rise to Cause was first reasonably discoverable by Company; and (y) Executive fails to cure such condition within thirty (30) days after Executive’s receipt of such written notice.</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135" w:val="left"/>
        </w:tabs>
        <w:numPr>
          <w:ilvl w:val="1"/>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 of Good Reason. </w:t>
      </w: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color w:val="auto"/>
        </w:rPr>
        <w:t>Good Reason</w:t>
      </w:r>
      <w:r>
        <w:rPr>
          <w:rFonts w:ascii="Times New Roman" w:cs="Times New Roman" w:eastAsia="Times New Roman" w:hAnsi="Times New Roman"/>
          <w:sz w:val="19"/>
          <w:szCs w:val="19"/>
          <w:color w:val="auto"/>
        </w:rPr>
        <w:t>” means the occurrence of any of the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Executive’s prior written consent: (i) one or more reductions in Executive’s combined Base Salary and Bonus Target that result in a total reduction of more than ten percent (10%) in Executive’s target package (which consists of the combined cash value of the Base Salary and Bonus Target, irrespective of the actual amount of any Performance Bonus awarded) over the twelve (12) month period immediately preceding such reductions, unless such reductions are made pursuant to one or more across-the-board reductions of all senior executives’ base salaries and/or bonus targets; (ii) a material diminution of Executive’s duties, authority or responsibilities taken as a whole; or (iii) an involuntary relocation of Executive’s principal place of employment to a location that increases Executive’s one-way commute from Executive’s principal residence by more than fifty (50) miles. For avoidance of doubt, any change resulting in Executive no longer reporting to the CEO shall constitute a material diminution of Executive’s duties, authorities, or responsibilities as set forth in clause (ii) above in this paragraph. Notwithstanding the foregoing, “</w:t>
      </w:r>
      <w:r>
        <w:rPr>
          <w:rFonts w:ascii="Times New Roman" w:cs="Times New Roman" w:eastAsia="Times New Roman" w:hAnsi="Times New Roman"/>
          <w:sz w:val="19"/>
          <w:szCs w:val="19"/>
          <w:b w:val="1"/>
          <w:bCs w:val="1"/>
          <w:color w:val="auto"/>
        </w:rPr>
        <w:t>Good Reason</w:t>
      </w:r>
      <w:r>
        <w:rPr>
          <w:rFonts w:ascii="Times New Roman" w:cs="Times New Roman" w:eastAsia="Times New Roman" w:hAnsi="Times New Roman"/>
          <w:sz w:val="19"/>
          <w:szCs w:val="19"/>
          <w:color w:val="auto"/>
        </w:rPr>
        <w:t xml:space="preserve">” for Executive to resign shall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exist unless: (x) Executive provides Company with specific written notice of the existence of the condition giving rise to Good Reason within ninety (90) days after its initial occurrence;</w:t>
      </w:r>
    </w:p>
    <w:p>
      <w:pPr>
        <w:spacing w:after="0" w:line="4" w:lineRule="exact"/>
        <w:rPr>
          <w:rFonts w:ascii="Times New Roman" w:cs="Times New Roman" w:eastAsia="Times New Roman" w:hAnsi="Times New Roman"/>
          <w:sz w:val="19"/>
          <w:szCs w:val="19"/>
          <w:b w:val="1"/>
          <w:bCs w:val="1"/>
          <w:color w:val="auto"/>
        </w:rPr>
      </w:pPr>
    </w:p>
    <w:p>
      <w:pPr>
        <w:ind w:right="20"/>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(y) Company fails to remedy such condition within thirty (30) days after its receipt of such written notice; and (z) Executive resigns within ninety (90) days after the cure period has lapsed.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52" w:right="339" w:bottom="1440" w:gutter="0" w:footer="0" w:header="0"/>
        </w:sectPr>
      </w:pPr>
    </w:p>
    <w:bookmarkStart w:id="57" w:name="page58"/>
    <w:bookmarkEnd w:id="57"/>
    <w:p>
      <w:pPr>
        <w:jc w:val="both"/>
        <w:ind w:firstLine="656"/>
        <w:spacing w:after="0" w:line="254" w:lineRule="auto"/>
        <w:tabs>
          <w:tab w:leader="none" w:pos="109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Final Pay upon Termination for Any Reason. </w:t>
      </w:r>
      <w:r>
        <w:rPr>
          <w:rFonts w:ascii="Times New Roman" w:cs="Times New Roman" w:eastAsia="Times New Roman" w:hAnsi="Times New Roman"/>
          <w:sz w:val="20"/>
          <w:szCs w:val="20"/>
          <w:color w:val="auto"/>
        </w:rPr>
        <w:t>Except as otherwise provided by this Agreement and/or required by law,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Executive’s employment for any reason, Company’s obligation to make payments hereunder shall cease, except that Company shall pay all amounts due and payable for Executive’s services through Executive’s last day of employment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including all accrued unpaid Base Salary and Performance Bonus compensation earned through Separation Date, any benefits accrued prior to the Separation Date, all accrued but unused vacation as of the Separation Date, and any reimbursable business expenses incurred but unreimbursed as of the Separation Date.</w:t>
      </w:r>
    </w:p>
    <w:p>
      <w:pPr>
        <w:spacing w:after="0" w:line="173"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 Benefits upon a Covered Termination (No Change in Control).</w:t>
      </w:r>
    </w:p>
    <w:p>
      <w:pPr>
        <w:spacing w:after="0" w:line="256" w:lineRule="exact"/>
        <w:rPr>
          <w:rFonts w:ascii="Times New Roman" w:cs="Times New Roman" w:eastAsia="Times New Roman" w:hAnsi="Times New Roman"/>
          <w:sz w:val="20"/>
          <w:szCs w:val="20"/>
          <w:b w:val="1"/>
          <w:bCs w:val="1"/>
          <w:color w:val="auto"/>
        </w:rPr>
      </w:pPr>
    </w:p>
    <w:p>
      <w:pPr>
        <w:jc w:val="both"/>
        <w:ind w:firstLine="1304"/>
        <w:spacing w:after="0" w:line="248" w:lineRule="auto"/>
        <w:tabs>
          <w:tab w:leader="none" w:pos="1851"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Severance Benefits. </w:t>
      </w:r>
      <w:r>
        <w:rPr>
          <w:rFonts w:ascii="Times New Roman" w:cs="Times New Roman" w:eastAsia="Times New Roman" w:hAnsi="Times New Roman"/>
          <w:sz w:val="20"/>
          <w:szCs w:val="20"/>
          <w:color w:val="auto"/>
        </w:rPr>
        <w:t>If Executive’s employment is terminated by Company without Cause or due to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resignation for Good Reason (each a “</w:t>
      </w:r>
      <w:r>
        <w:rPr>
          <w:rFonts w:ascii="Times New Roman" w:cs="Times New Roman" w:eastAsia="Times New Roman" w:hAnsi="Times New Roman"/>
          <w:sz w:val="20"/>
          <w:szCs w:val="20"/>
          <w:b w:val="1"/>
          <w:bCs w:val="1"/>
          <w:color w:val="auto"/>
        </w:rPr>
        <w:t>Covered Termination</w:t>
      </w:r>
      <w:r>
        <w:rPr>
          <w:rFonts w:ascii="Times New Roman" w:cs="Times New Roman" w:eastAsia="Times New Roman" w:hAnsi="Times New Roman"/>
          <w:sz w:val="20"/>
          <w:szCs w:val="20"/>
          <w:color w:val="auto"/>
        </w:rPr>
        <w:t>”), Executive shall be eligible to receive the following severance benefits: (1) payment of a severance amount equal to twenty-four (24) months of Executive’s Base Salary in effect immediately prior to the Separation Date (or, the level in effect prior to a reduction of Base Salary that constitutes Good Reason), less applicable payroll tax withholdings and deductions (the “</w:t>
      </w:r>
      <w:r>
        <w:rPr>
          <w:rFonts w:ascii="Times New Roman" w:cs="Times New Roman" w:eastAsia="Times New Roman" w:hAnsi="Times New Roman"/>
          <w:sz w:val="20"/>
          <w:szCs w:val="20"/>
          <w:b w:val="1"/>
          <w:bCs w:val="1"/>
          <w:color w:val="auto"/>
        </w:rPr>
        <w:t>Cash Severance</w:t>
      </w:r>
      <w:r>
        <w:rPr>
          <w:rFonts w:ascii="Times New Roman" w:cs="Times New Roman" w:eastAsia="Times New Roman" w:hAnsi="Times New Roman"/>
          <w:sz w:val="20"/>
          <w:szCs w:val="20"/>
          <w:color w:val="auto"/>
        </w:rPr>
        <w:t>”); (2) a lump sum cash payment equal to the full amount of Executive’s Bonus Target for the fiscal year in which the Separation Date occurs, less applicable employment tax withholdings and deductions (the “</w:t>
      </w:r>
      <w:r>
        <w:rPr>
          <w:rFonts w:ascii="Times New Roman" w:cs="Times New Roman" w:eastAsia="Times New Roman" w:hAnsi="Times New Roman"/>
          <w:sz w:val="20"/>
          <w:szCs w:val="20"/>
          <w:b w:val="1"/>
          <w:bCs w:val="1"/>
          <w:color w:val="auto"/>
        </w:rPr>
        <w:t>Full Target Bonus</w:t>
      </w:r>
      <w:r>
        <w:rPr>
          <w:rFonts w:ascii="Times New Roman" w:cs="Times New Roman" w:eastAsia="Times New Roman" w:hAnsi="Times New Roman"/>
          <w:sz w:val="20"/>
          <w:szCs w:val="20"/>
          <w:color w:val="auto"/>
        </w:rPr>
        <w:t>”); (3) Executive’s then-outstanding equity awards (the “</w:t>
      </w:r>
      <w:r>
        <w:rPr>
          <w:rFonts w:ascii="Times New Roman" w:cs="Times New Roman" w:eastAsia="Times New Roman" w:hAnsi="Times New Roman"/>
          <w:sz w:val="20"/>
          <w:szCs w:val="20"/>
          <w:b w:val="1"/>
          <w:bCs w:val="1"/>
          <w:color w:val="auto"/>
        </w:rPr>
        <w:t>Equity Awards</w:t>
      </w:r>
      <w:r>
        <w:rPr>
          <w:rFonts w:ascii="Times New Roman" w:cs="Times New Roman" w:eastAsia="Times New Roman" w:hAnsi="Times New Roman"/>
          <w:sz w:val="20"/>
          <w:szCs w:val="20"/>
          <w:color w:val="auto"/>
        </w:rPr>
        <w:t>”) that vest based on time will be accelerated with respect to the portion of such Equity Awards that would have become vested if Executive remained employed for twenty-four (24) months after the Separation Date, unless otherwise provided in any time-based Equity Award granted after the Effective Date; provided that, any time-based Equity Awards that are subject to “cliff” vesting, will be converted to monthly vesting, if necessary, in order to effect such vesting acceleration; and (4) the exercise period applicable to the Equity Awards will be extended until the later of (A) the first (1st) anniversary of the Separation Date; or (B)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the avoidance of doubt, the vesting of Executive’s performance-based Equity Awards that were granted under the Company’s Long-Term Performance Share Award Agreement will continue to be governed under the terms of such document. In addition, provided Executive timely elects to continue Executive’s group health insurance coverage after the Separation Date pursuant to the federal COBRA law or applicable state insurance laws such as Cal-COBRA (collectively,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and the terms of the governing health insurance policies, Company will reimburse the monthly COBRA health insurance premiums (the “</w:t>
      </w:r>
      <w:r>
        <w:rPr>
          <w:rFonts w:ascii="Times New Roman" w:cs="Times New Roman" w:eastAsia="Times New Roman" w:hAnsi="Times New Roman"/>
          <w:sz w:val="20"/>
          <w:szCs w:val="20"/>
          <w:b w:val="1"/>
          <w:bCs w:val="1"/>
          <w:color w:val="auto"/>
        </w:rPr>
        <w:t>COBRA Payments</w:t>
      </w:r>
      <w:r>
        <w:rPr>
          <w:rFonts w:ascii="Times New Roman" w:cs="Times New Roman" w:eastAsia="Times New Roman" w:hAnsi="Times New Roman"/>
          <w:sz w:val="20"/>
          <w:szCs w:val="20"/>
          <w:color w:val="auto"/>
        </w:rPr>
        <w:t>”) Executive pays to continue Executive’s health insurance coverage (including dependent coverage) for twenty-four (24) months after the Separation Date, or until such earlier date as Executive either becomes eligible for group health insurance coverage through a new employer or ceases to be eligible for COBRA coverage (the “</w:t>
      </w:r>
      <w:r>
        <w:rPr>
          <w:rFonts w:ascii="Times New Roman" w:cs="Times New Roman" w:eastAsia="Times New Roman" w:hAnsi="Times New Roman"/>
          <w:sz w:val="20"/>
          <w:szCs w:val="20"/>
          <w:b w:val="1"/>
          <w:bCs w:val="1"/>
          <w:color w:val="auto"/>
        </w:rPr>
        <w:t>COBRA Payment Period</w:t>
      </w:r>
      <w:r>
        <w:rPr>
          <w:rFonts w:ascii="Times New Roman" w:cs="Times New Roman" w:eastAsia="Times New Roman" w:hAnsi="Times New Roman"/>
          <w:sz w:val="20"/>
          <w:szCs w:val="20"/>
          <w:color w:val="auto"/>
        </w:rPr>
        <w:t>”). Executive must submit to the Company appropriate documentation of the foregoing health insurance payments, within sixty (60) days of making such payments, in order to be reimbursed. Notwithstanding the foregoing, if Company determines, in its sole discretion, that it cannot pay the COBRA Payments without a substantial risk of violating applicable law (including, without limitation, Section 2716 of the Public Health Service Act), at the end of each remaining month of the COBRA Payment Period, Company shall pay Executive directly a taxable monthly amount which, after taxes, equals the COBRA Payment amount Company would have otherwise paid to Executive (assuming a 35% tax rate). Executive agrees to promptly notify Company in writing if Executive becomes eligible for group health insurance coverage through a new employer before the end of the specified reimbursement period. (All severance benefits provided in this entire subsection 8(f)(i) are referred to collectively as the “</w:t>
      </w:r>
      <w:r>
        <w:rPr>
          <w:rFonts w:ascii="Times New Roman" w:cs="Times New Roman" w:eastAsia="Times New Roman" w:hAnsi="Times New Roman"/>
          <w:sz w:val="20"/>
          <w:szCs w:val="20"/>
          <w:b w:val="1"/>
          <w:bCs w:val="1"/>
          <w:color w:val="auto"/>
        </w:rPr>
        <w:t>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Benefits.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52" w:right="339" w:bottom="1440" w:gutter="0" w:footer="0" w:header="0"/>
        </w:sectPr>
      </w:pPr>
    </w:p>
    <w:bookmarkStart w:id="58" w:name="page59"/>
    <w:bookmarkEnd w:id="58"/>
    <w:p>
      <w:pPr>
        <w:jc w:val="both"/>
        <w:ind w:firstLine="1304"/>
        <w:spacing w:after="0" w:line="248" w:lineRule="auto"/>
        <w:tabs>
          <w:tab w:leader="none" w:pos="1789" w:val="left"/>
        </w:tabs>
        <w:numPr>
          <w:ilvl w:val="2"/>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Preconditions. </w:t>
      </w:r>
      <w:r>
        <w:rPr>
          <w:rFonts w:ascii="Times New Roman" w:cs="Times New Roman" w:eastAsia="Times New Roman" w:hAnsi="Times New Roman"/>
          <w:sz w:val="20"/>
          <w:szCs w:val="20"/>
          <w:color w:val="auto"/>
        </w:rPr>
        <w:t>As a precondition to receiving any Severance Benefits, Executive must (1) remain in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continuing obligations Executive owes to Company, including those under this Agreement and Executive’s Confidential Information Agreement, and (2) within twenty-one (21) days after the Separation Date (or forty-five (45) days after the Separation Date, in the event of a group reduction-in-force), Executive must sign and return to Company, a release of claims in substantially the form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(as modified, if necessary, to comply with legal requirements in the event of a group reduction-in-force) and allow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Release to become fully-effective and non-revocable by its terms. The Cash Severance will be paid in the form of continuing installments on Company’s ordinary payroll schedule, beginning on the first payroll date following the effective date of such Release. The Full Target Bonus will be paid on the next date on which bonuses are regularly scheduled to be paid, which in no event will be later than March 15 of the year following the year in which the Separation Date occurs. In the event the Release is not fully effective as of the next date on which bonuses are regularly scheduled to be paid, the Full Target Bonus will be paid within ten (10) business days following the effective date of such Release.</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71" w:lineRule="auto"/>
        <w:tabs>
          <w:tab w:leader="none" w:pos="1127" w:val="left"/>
        </w:tabs>
        <w:numPr>
          <w:ilvl w:val="1"/>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Due to Death or Disability. </w:t>
      </w:r>
      <w:r>
        <w:rPr>
          <w:rFonts w:ascii="Times New Roman" w:cs="Times New Roman" w:eastAsia="Times New Roman" w:hAnsi="Times New Roman"/>
          <w:sz w:val="19"/>
          <w:szCs w:val="19"/>
          <w:color w:val="auto"/>
        </w:rPr>
        <w:t>Subject to applicable state or federal law, Executive’s employment with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automatically terminate upon Executive’s death or Disability. For purposes of this Agreement, “</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means a physical or mental condition or disability which prevents Executive from performing Executive’s job responsibilities for more than six (6) months in any twelve</w:t>
      </w:r>
    </w:p>
    <w:p>
      <w:pPr>
        <w:spacing w:after="0" w:line="1" w:lineRule="exact"/>
        <w:rPr>
          <w:rFonts w:ascii="Times New Roman" w:cs="Times New Roman" w:eastAsia="Times New Roman" w:hAnsi="Times New Roman"/>
          <w:sz w:val="19"/>
          <w:szCs w:val="19"/>
          <w:b w:val="1"/>
          <w:bCs w:val="1"/>
          <w:color w:val="auto"/>
        </w:rPr>
      </w:pPr>
    </w:p>
    <w:p>
      <w:pPr>
        <w:ind w:left="420" w:hanging="412"/>
        <w:spacing w:after="0"/>
        <w:tabs>
          <w:tab w:leader="none" w:pos="4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period, or for more than four (4) consecutive months. If Executive’s employment is terminated due to Executive’s death or</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Disability, in addition to any benefits under Company’s standard life and disability insurance policies, Executive (or Executive’s designated beneficiaries or estate) shall be eligible to receive the following severance benefits: (i) a lump sum payment equal to the amount of Executive’s Bonus Target for the fiscal year in which the Separation Date occurs, prorated based on the Separation Date and less applicable employment tax withholdings and deductions; (ii) accelerated vesting of Executive’s performance-based Equity Awards, prorated as set forth in the applicable Equity Award agreements (i.e., for any long-term performance share awards, a pro rata portion of those performance shares which have not completed their performance cycle, based on the portion of the performance cycle completed as of the Separation Date and based on the actual performance at the end of such performance cycle); (iii) monthly prorated accelerated vesting of Executive’s time-based Equity Awards; and (iv) the exercise period applicable to the Equity Awards will be extended until the later of (1) 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(For sake of reference, all severance benefits provided in this entire subsection 8(g) are referred to collectively as the “</w:t>
      </w:r>
      <w:r>
        <w:rPr>
          <w:rFonts w:ascii="Times New Roman" w:cs="Times New Roman" w:eastAsia="Times New Roman" w:hAnsi="Times New Roman"/>
          <w:sz w:val="20"/>
          <w:szCs w:val="20"/>
          <w:b w:val="1"/>
          <w:bCs w:val="1"/>
          <w:color w:val="auto"/>
        </w:rPr>
        <w:t>Death or Disability Severance Benefits</w:t>
      </w:r>
      <w:r>
        <w:rPr>
          <w:rFonts w:ascii="Times New Roman" w:cs="Times New Roman" w:eastAsia="Times New Roman" w:hAnsi="Times New Roman"/>
          <w:sz w:val="20"/>
          <w:szCs w:val="20"/>
          <w:color w:val="auto"/>
        </w:rPr>
        <w:t>”). The Death and Disability Severance Benefits shall be paid subject to the same preconditions and on the same terms and conditions applicable to the Severance Benefits, as set forth in Section 8(f)(ii) (Preconditions).</w:t>
      </w:r>
    </w:p>
    <w:p>
      <w:pPr>
        <w:spacing w:after="0" w:line="191"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Control Benefits.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077" w:val="left"/>
        </w:tabs>
        <w:numPr>
          <w:ilvl w:val="1"/>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Control Termination. </w:t>
      </w:r>
      <w:r>
        <w:rPr>
          <w:rFonts w:ascii="Times New Roman" w:cs="Times New Roman" w:eastAsia="Times New Roman" w:hAnsi="Times New Roman"/>
          <w:sz w:val="20"/>
          <w:szCs w:val="20"/>
          <w:color w:val="auto"/>
        </w:rPr>
        <w:t>If Executive’s employment with Company is terminated by Company without Cause (but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due to Executive’s death or Disability) or Executive resigns for Good Reason, and such termination or resignation occurs within the period beginning three (3) months before and ending twelve (12) months after a Change in Control (defined below) (each a “</w:t>
      </w:r>
      <w:r>
        <w:rPr>
          <w:rFonts w:ascii="Times New Roman" w:cs="Times New Roman" w:eastAsia="Times New Roman" w:hAnsi="Times New Roman"/>
          <w:sz w:val="20"/>
          <w:szCs w:val="20"/>
          <w:b w:val="1"/>
          <w:bCs w:val="1"/>
          <w:color w:val="auto"/>
        </w:rPr>
        <w:t>CIC Termination</w:t>
      </w:r>
      <w:r>
        <w:rPr>
          <w:rFonts w:ascii="Times New Roman" w:cs="Times New Roman" w:eastAsia="Times New Roman" w:hAnsi="Times New Roman"/>
          <w:sz w:val="20"/>
          <w:szCs w:val="20"/>
          <w:color w:val="auto"/>
        </w:rPr>
        <w:t>”), Executive shall be eligible to receive the following enhanced severance package (in lieu of the Severance Benefits described above): (i) payment of thirty-six (36) months of Executive’s Base Salary as in effect immediately prior to the Separation Date (or, the level in effect prior to a reduction of Base Salary that constitutes Good Reason), less applicable withholdings and deductions; (ii) a lump sum cash payment equal to the Full Target Bonus; (iii) accelerated vesting of Executive’s Equity Awards so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9" w:right="339"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20"/>
          <w:szCs w:val="20"/>
          <w:color w:val="auto"/>
        </w:rPr>
        <w:t>that Executive becomes one hundred percent (100%) vested in all such Equity Awards, with the Equity Awards that vest based on performance being accelerated to the “target” level of achievement; and (iv) the exercise period applicable to the Equity Awards will be extended until the later of (1)the first (1st) anniversary of the Separation Date; or (2) the date provided in the applicable Equity Award agreement, but in no case longer than the expiration of the stated term of the Equity Award. Except for the foregoing accelerated vesting and extended exercise benefits, all existing terms and conditions applicable to the Equity Awards shall remain in full force and effect. In addition, provided Executive timely elects to continue Executive’s group health insurance coverage after the Separation Date pursuant to COBRA, and the terms of the governing health insurance policies, Company will reimburse all monthly COBRA health insurance premiums Executive pays to continue Executive’s health insurance coverage (including dependent coverage) for thirty-six (36) months after the Separation Date or until such earlier date as Executive either becomes eligible for group health insurance coverage through a new employer or Executive ceases to be eligible for COBRA coverage. (All severance benefits provided in this subsection 9(a) shall be referred to collectively as the “</w:t>
      </w:r>
      <w:r>
        <w:rPr>
          <w:rFonts w:ascii="Times New Roman" w:cs="Times New Roman" w:eastAsia="Times New Roman" w:hAnsi="Times New Roman"/>
          <w:sz w:val="20"/>
          <w:szCs w:val="20"/>
          <w:b w:val="1"/>
          <w:bCs w:val="1"/>
          <w:color w:val="auto"/>
        </w:rPr>
        <w:t>CIC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 The CIC Severance Benefits shall be paid subject to the same preconditions and on the same terms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the Severance Benefits, as set forth in Section 8(f)(ii) (Preconditions).</w:t>
      </w:r>
    </w:p>
    <w:p>
      <w:pPr>
        <w:spacing w:after="0" w:line="197" w:lineRule="exact"/>
        <w:rPr>
          <w:sz w:val="20"/>
          <w:szCs w:val="20"/>
          <w:color w:val="auto"/>
        </w:rPr>
      </w:pPr>
    </w:p>
    <w:p>
      <w:pPr>
        <w:jc w:val="both"/>
        <w:ind w:firstLine="656"/>
        <w:spacing w:after="0" w:line="264" w:lineRule="auto"/>
        <w:tabs>
          <w:tab w:leader="none" w:pos="1121" w:val="left"/>
        </w:tabs>
        <w:numPr>
          <w:ilvl w:val="1"/>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 of Change in Control. </w:t>
      </w: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means the occurrence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events: (i) the acquisition by any individual, entity or group (a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within the meaning of Section 13(d)(3) or 14(d)(2) of the Securities and Exchange Act of 1934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of beneficial ownership (within the meaning of Rule 13d-3 promulgated under the Exchange Act) of 50% or more of the combined voting power of the then outstanding securities of Company entitled to vote generally in the election of directors (“</w:t>
      </w:r>
      <w:r>
        <w:rPr>
          <w:rFonts w:ascii="Times New Roman" w:cs="Times New Roman" w:eastAsia="Times New Roman" w:hAnsi="Times New Roman"/>
          <w:sz w:val="19"/>
          <w:szCs w:val="19"/>
          <w:b w:val="1"/>
          <w:bCs w:val="1"/>
          <w:color w:val="auto"/>
        </w:rPr>
        <w:t>Voting Stock</w:t>
      </w:r>
      <w:r>
        <w:rPr>
          <w:rFonts w:ascii="Times New Roman" w:cs="Times New Roman" w:eastAsia="Times New Roman" w:hAnsi="Times New Roman"/>
          <w:sz w:val="19"/>
          <w:szCs w:val="19"/>
          <w:color w:val="auto"/>
        </w:rPr>
        <w:t>”); or (ii) consummation of a reorganization, merger or consolidation, a sale or other disposition of all or substantially all of the assets of Company, or other transaction ( each, a “</w:t>
      </w:r>
      <w:r>
        <w:rPr>
          <w:rFonts w:ascii="Times New Roman" w:cs="Times New Roman" w:eastAsia="Times New Roman" w:hAnsi="Times New Roman"/>
          <w:sz w:val="19"/>
          <w:szCs w:val="19"/>
          <w:b w:val="1"/>
          <w:bCs w:val="1"/>
          <w:color w:val="auto"/>
        </w:rPr>
        <w:t>Business Combination</w:t>
      </w:r>
      <w:r>
        <w:rPr>
          <w:rFonts w:ascii="Times New Roman" w:cs="Times New Roman" w:eastAsia="Times New Roman" w:hAnsi="Times New Roman"/>
          <w:sz w:val="19"/>
          <w:szCs w:val="19"/>
          <w:color w:val="auto"/>
        </w:rPr>
        <w:t>”), unless, in each case, immediately following such Business Combination, (A) all or substantially all of the individuals and entities who were the beneficial owners of Voting Stock of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Company or all or substantially all of Company's assets either directly or through one or more subsidiaries) in substantially the same proportions relative to each other as their ownership, immediately prior to such Business Combination, of the Voting Stock of Company; and (B) no Person beneficially owns, directly or indirectly, 50% or more of the combined voting power of the then outstanding shares of Voting Stock of the entity resulting from such Business Combination.</w:t>
      </w:r>
    </w:p>
    <w:p>
      <w:pPr>
        <w:spacing w:after="0" w:line="183" w:lineRule="exact"/>
        <w:rPr>
          <w:rFonts w:ascii="Times New Roman" w:cs="Times New Roman" w:eastAsia="Times New Roman" w:hAnsi="Times New Roman"/>
          <w:sz w:val="19"/>
          <w:szCs w:val="19"/>
          <w:b w:val="1"/>
          <w:bCs w:val="1"/>
          <w:color w:val="auto"/>
        </w:rPr>
      </w:pPr>
    </w:p>
    <w:p>
      <w:pPr>
        <w:jc w:val="both"/>
        <w:ind w:firstLine="656"/>
        <w:spacing w:after="0" w:line="255" w:lineRule="auto"/>
        <w:tabs>
          <w:tab w:leader="none" w:pos="1065"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Prior CIC Agreement. </w:t>
      </w:r>
      <w:r>
        <w:rPr>
          <w:rFonts w:ascii="Times New Roman" w:cs="Times New Roman" w:eastAsia="Times New Roman" w:hAnsi="Times New Roman"/>
          <w:sz w:val="20"/>
          <w:szCs w:val="20"/>
          <w:color w:val="auto"/>
        </w:rPr>
        <w:t>The Parties hereby acknowledge and agree that: (i) this Agreement supersedes in its entirety the June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2007 Change in Control Agreement between Executive and Company (the “</w:t>
      </w:r>
      <w:r>
        <w:rPr>
          <w:rFonts w:ascii="Times New Roman" w:cs="Times New Roman" w:eastAsia="Times New Roman" w:hAnsi="Times New Roman"/>
          <w:sz w:val="20"/>
          <w:szCs w:val="20"/>
          <w:b w:val="1"/>
          <w:bCs w:val="1"/>
          <w:color w:val="auto"/>
        </w:rPr>
        <w:t>Prior CIC Agreement</w:t>
      </w:r>
      <w:r>
        <w:rPr>
          <w:rFonts w:ascii="Times New Roman" w:cs="Times New Roman" w:eastAsia="Times New Roman" w:hAnsi="Times New Roman"/>
          <w:sz w:val="20"/>
          <w:szCs w:val="20"/>
          <w:color w:val="auto"/>
        </w:rPr>
        <w:t>”), such that the Parties’ rights and obligations under that Prior CIC Agreement are null and void as of the Effective Date; and (ii) the CIC Benefits are the sole benefits to which Executive shall be entitled in the event of a CIC Termination.</w:t>
      </w:r>
    </w:p>
    <w:p>
      <w:pPr>
        <w:spacing w:after="0" w:line="183" w:lineRule="exact"/>
        <w:rPr>
          <w:rFonts w:ascii="Times New Roman" w:cs="Times New Roman" w:eastAsia="Times New Roman" w:hAnsi="Times New Roman"/>
          <w:sz w:val="20"/>
          <w:szCs w:val="20"/>
          <w:b w:val="1"/>
          <w:bCs w:val="1"/>
          <w:color w:val="auto"/>
        </w:rPr>
      </w:pPr>
    </w:p>
    <w:p>
      <w:pPr>
        <w:jc w:val="both"/>
        <w:ind w:firstLine="8"/>
        <w:spacing w:after="0" w:line="271" w:lineRule="auto"/>
        <w:tabs>
          <w:tab w:leader="none" w:pos="522"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Code Section 409A Compliance. </w:t>
      </w:r>
      <w:r>
        <w:rPr>
          <w:rFonts w:ascii="Times New Roman" w:cs="Times New Roman" w:eastAsia="Times New Roman" w:hAnsi="Times New Roman"/>
          <w:sz w:val="19"/>
          <w:szCs w:val="19"/>
          <w:color w:val="auto"/>
        </w:rPr>
        <w:t>Notwithstanding anything set forth in this Agreement to the contrary, any payments and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pursuant to this Agreement which constitute “deferred compensation” within the meaning of the Treasury Regulations issued pursuant to Section 409A of the Internal Revenue Code (the “</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shall not commence until Executive has incurred a “separation from service” (as such term is defined in the Treasury Regulation Section 1.409A-1(h) (“</w:t>
      </w:r>
      <w:r>
        <w:rPr>
          <w:rFonts w:ascii="Times New Roman" w:cs="Times New Roman" w:eastAsia="Times New Roman" w:hAnsi="Times New Roman"/>
          <w:sz w:val="19"/>
          <w:szCs w:val="19"/>
          <w:b w:val="1"/>
          <w:bCs w:val="1"/>
          <w:color w:val="auto"/>
        </w:rPr>
        <w:t>Separation From Service</w:t>
      </w:r>
      <w:r>
        <w:rPr>
          <w:rFonts w:ascii="Times New Roman" w:cs="Times New Roman" w:eastAsia="Times New Roman" w:hAnsi="Times New Roman"/>
          <w:sz w:val="19"/>
          <w:szCs w:val="19"/>
          <w:color w:val="auto"/>
        </w:rPr>
        <w:t>”), unless Company reasonably determines that such amounts may be provided to Executive without causing Executive to incur the additional 20% tax under Section 409A.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56" w:right="339" w:bottom="1440" w:gutter="0" w:footer="0" w:header="0"/>
        </w:sectPr>
      </w:pPr>
    </w:p>
    <w:bookmarkStart w:id="60" w:name="page61"/>
    <w:bookmarkEnd w:id="60"/>
    <w:p>
      <w:pPr>
        <w:jc w:val="both"/>
        <w:spacing w:after="0" w:line="248" w:lineRule="auto"/>
        <w:rPr>
          <w:sz w:val="20"/>
          <w:szCs w:val="20"/>
          <w:color w:val="auto"/>
        </w:rPr>
      </w:pPr>
      <w:r>
        <w:rPr>
          <w:rFonts w:ascii="Times New Roman" w:cs="Times New Roman" w:eastAsia="Times New Roman" w:hAnsi="Times New Roman"/>
          <w:sz w:val="20"/>
          <w:szCs w:val="20"/>
          <w:color w:val="auto"/>
        </w:rPr>
        <w:t>For the avoidance of doubt, it is intended that the payments and benefits set forth in this Agreement satisfy, to the greatest extent possible, the exemptions from the application of Section 409A provided under Treasury Regulation Sections 1.409A-1(b)(4), 1.409A-1(b)(5) and 1.409A-1(b)(9) and this Agreement will be construed to the greatest extent possible as consistent with those provisions. To the extent not so exempt, this Agreement (and any definitions hereunder) will be construed in a manner that complies with Section 409A and incorporates by reference all required definitions and payment terms. For purposes of Section 409A (including, without limitation, for purposes of Treasury Regulation Section 1.409A 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Company (or, if applicable, the successor entity thereto) determines that any payments upon Executive’s Separation From Service set forth herein and/or under any other agreement with Company constitute “deferred compensation” under Section 409A and Executive is, on Executive’s Separation From Service, a “specified employee” of Company or any successor entity thereto, as such term is defined in Section 409A(a)(2)(B)(i) of the Code, then, solely, to the extent necessary to avoid the incurrence of the adverse personal tax consequences under Section 409A, the timing of the payments upon Executive’s Separation From Service shall be delayed until the earlier to occur of: (a) the date that is six months and one day after Executive’s Separation From Service or (b) the date of Executive’s death (such applicable date, the “</w:t>
      </w:r>
      <w:r>
        <w:rPr>
          <w:rFonts w:ascii="Times New Roman" w:cs="Times New Roman" w:eastAsia="Times New Roman" w:hAnsi="Times New Roman"/>
          <w:sz w:val="20"/>
          <w:szCs w:val="20"/>
          <w:b w:val="1"/>
          <w:bCs w:val="1"/>
          <w:color w:val="auto"/>
        </w:rPr>
        <w:t>Specified Employee Initial Payment Date</w:t>
      </w:r>
      <w:r>
        <w:rPr>
          <w:rFonts w:ascii="Times New Roman" w:cs="Times New Roman" w:eastAsia="Times New Roman" w:hAnsi="Times New Roman"/>
          <w:sz w:val="20"/>
          <w:szCs w:val="20"/>
          <w:color w:val="auto"/>
        </w:rPr>
        <w:t>”). On the Specified Employee Initial Payment Date, Company (or the successor entity thereto, as applicable) shall (A) pay to Executive a lump sum amount equal to the sum of the payments upon Executive’s Separation From Service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None of the severance benefits under this Agreement will commence or otherwise be delivered prior to the effective date of the Release. Except to the minimum extent that payments must be delayed because Executive is a “specified employee” (as described above) or until the effectiveness of the Release, all amounts will be paid as soon as practicable in accordance with Company’s normal payroll practices and no interest will be due on any amounts so deferred.</w:t>
      </w:r>
    </w:p>
    <w:p>
      <w:pPr>
        <w:spacing w:after="0" w:line="168" w:lineRule="exact"/>
        <w:rPr>
          <w:sz w:val="20"/>
          <w:szCs w:val="20"/>
          <w:color w:val="auto"/>
        </w:rPr>
      </w:pPr>
    </w:p>
    <w:p>
      <w:pPr>
        <w:jc w:val="both"/>
        <w:ind w:firstLine="8"/>
        <w:spacing w:after="0" w:line="251" w:lineRule="auto"/>
        <w:tabs>
          <w:tab w:leader="none" w:pos="529"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Better After Tax Provision. </w:t>
      </w:r>
      <w:r>
        <w:rPr>
          <w:rFonts w:ascii="Times New Roman" w:cs="Times New Roman" w:eastAsia="Times New Roman" w:hAnsi="Times New Roman"/>
          <w:sz w:val="20"/>
          <w:szCs w:val="20"/>
          <w:color w:val="auto"/>
        </w:rPr>
        <w:t>If any payment or benefit that Executive will or may receive from Company or otherwise (a “</w:t>
      </w:r>
      <w:r>
        <w:rPr>
          <w:rFonts w:ascii="Times New Roman" w:cs="Times New Roman" w:eastAsia="Times New Roman" w:hAnsi="Times New Roman"/>
          <w:sz w:val="20"/>
          <w:szCs w:val="20"/>
          <w:b w:val="1"/>
          <w:bCs w:val="1"/>
          <w:color w:val="auto"/>
        </w:rPr>
        <w:t>280G Payment</w:t>
      </w:r>
      <w:r>
        <w:rPr>
          <w:rFonts w:ascii="Times New Roman" w:cs="Times New Roman" w:eastAsia="Times New Roman" w:hAnsi="Times New Roman"/>
          <w:sz w:val="20"/>
          <w:szCs w:val="20"/>
          <w:color w:val="auto"/>
        </w:rPr>
        <w:t>”) would (i) constitute a “parachute payment” within the meaning of Section 280G of the Code, and (ii) but for this sentence,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excise tax imposed by Section 4999 of the Code (the “</w:t>
      </w:r>
      <w:r>
        <w:rPr>
          <w:rFonts w:ascii="Times New Roman" w:cs="Times New Roman" w:eastAsia="Times New Roman" w:hAnsi="Times New Roman"/>
          <w:sz w:val="20"/>
          <w:szCs w:val="20"/>
          <w:b w:val="1"/>
          <w:bCs w:val="1"/>
          <w:color w:val="auto"/>
        </w:rPr>
        <w:t>Excise Tax</w:t>
      </w:r>
      <w:r>
        <w:rPr>
          <w:rFonts w:ascii="Times New Roman" w:cs="Times New Roman" w:eastAsia="Times New Roman" w:hAnsi="Times New Roman"/>
          <w:sz w:val="20"/>
          <w:szCs w:val="20"/>
          <w:color w:val="auto"/>
        </w:rPr>
        <w:t>”), then any such 280G Payment will be equal to the Reduced Amount. The “</w:t>
      </w:r>
      <w:r>
        <w:rPr>
          <w:rFonts w:ascii="Times New Roman" w:cs="Times New Roman" w:eastAsia="Times New Roman" w:hAnsi="Times New Roman"/>
          <w:sz w:val="20"/>
          <w:szCs w:val="20"/>
          <w:b w:val="1"/>
          <w:bCs w:val="1"/>
          <w:color w:val="auto"/>
        </w:rPr>
        <w:t>Reduced Amount</w:t>
      </w:r>
      <w:r>
        <w:rPr>
          <w:rFonts w:ascii="Times New Roman" w:cs="Times New Roman" w:eastAsia="Times New Roman" w:hAnsi="Times New Roman"/>
          <w:sz w:val="20"/>
          <w:szCs w:val="20"/>
          <w:color w:val="auto"/>
        </w:rPr>
        <w:t>” will be either (x) the largest portion of the 280G Payment that would result in no portion of the 280G Payment (after reduction) being subject to the Excise Tax, or (y) the largest portion, up to and including the total, of the 280G Payment, whichever amount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280G Payment may be subject to the Excise Tax. If a reduction in a 280G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20"/>
          <w:szCs w:val="20"/>
          <w:b w:val="1"/>
          <w:bCs w:val="1"/>
          <w:color w:val="auto"/>
        </w:rPr>
        <w:t>Reduction Method</w:t>
      </w:r>
      <w:r>
        <w:rPr>
          <w:rFonts w:ascii="Times New Roman" w:cs="Times New Roman" w:eastAsia="Times New Roman" w:hAnsi="Times New Roman"/>
          <w:sz w:val="20"/>
          <w:szCs w:val="20"/>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0"/>
          <w:szCs w:val="20"/>
          <w:b w:val="1"/>
          <w:bCs w:val="1"/>
          <w:color w:val="auto"/>
        </w:rPr>
        <w:t>Pro Rata Reduction Method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56"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the foregoing, if the Reduction Method or the Pro Rata Reduction Method would result in any portion of the 280G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Executive as determined on an after-tax basis; (B) as a second priority, 280G Payments that are contingent on future events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being terminated without Cause), will be reduced (or eliminated) before 280G Payments that are not contingent on future events; and (C) as a third priority, 280G Payments that are “deferred compensation” within the meaning of Section 409A of the Code will be reduced (or eliminated) before 280G Payments that are not “deferred compensation” within the meaning of Section 409A of the Code.</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Section 280G of the Code is not applicable by law to Executive, Company will determine whether any similar law in Executive’s jurisdiction applies and should be taken into account.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independent professional firm engaged by Company for general tax audit purposes as of the day prior to the effective date of the Change in Control will make all determinations required to be made under this Section. If the firm so engaged by Company is serving as accountant or auditor for the individual, entity or group effecting the Change in Control, Company will appoint a nationally recognized independent professional firm to make the determinations required hereunder. Company will bear all expenses with respect to the determinations by such firm required to be made hereunder. Company will use commercially reasonable efforts to cause the firm engaged to make the determinations hereunder to provide its calculations, together with detailed supporting documentation, to Company and Executive within thirty (30) calendar days after the date on which Executive’s right to a 280G Payment becomes reasonably likely to occur (if requested at that time by Company or Executive) or such other time as requested by Company or Executive.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Executive receives a 280G Payment for which the Reduced Amount was determined pursuant to clause (x) of the first paragraph of this Section and the Internal Revenue Service determines thereafter that some portion of the 280G Payment is subject to the Excise Tax, Executive will promptly return to Company a sufficient amount of the 280G Payment (after reduction pursuant to clause (x) of the first paragraph of this Section) so that no portion of the remaining 280G Payment is subject to the Excise Tax. For the avoidance of doubt, if the Reduced Amount was determined pursuant to clause (y) of the first paragraph of this Section, Executive will have no obligation to return any portion of the 280G Payment pursuant to the preceding sentence.</w:t>
      </w:r>
    </w:p>
    <w:p>
      <w:pPr>
        <w:spacing w:after="0" w:line="188"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113" w:val="left"/>
        </w:tabs>
        <w:numPr>
          <w:ilvl w:val="1"/>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Taxes. </w:t>
      </w:r>
      <w:r>
        <w:rPr>
          <w:rFonts w:ascii="Times New Roman" w:cs="Times New Roman" w:eastAsia="Times New Roman" w:hAnsi="Times New Roman"/>
          <w:sz w:val="20"/>
          <w:szCs w:val="20"/>
          <w:color w:val="auto"/>
        </w:rPr>
        <w:t>Executive shall be responsible for the payment of any taxes due on any and all compensation, stock option, or benefit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Company pursuant to this Agreement which are not withheld by Company. Executive agrees to indemnify and hold harmless Company from any and all claims or penalties asserted against Company arising from Executive’s failure to pay taxes due on any compensation, stock option, or benefit provided by Company pursuant to this Agreement. Executive expressly acknowledges that Company has not made any representation about the tax consequences of any consideration, including any extended exercise period, provided by Company to Executive pursuant to this Agreement; and that Company has advised Executive to seek independent tax advice with respect to any tax matters related to this Agreement. Executive understands and acknowledges that, pursuant to the tax rules governing incentive stock options, any extension of the exercise period applicable to incentive stock options held by Executive may immediately cause such options to cease to qualify as incentive stock options and by executing this Agreement, Executive agrees to such treatment.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56" w:right="339" w:bottom="1440" w:gutter="0" w:footer="0" w:header="0"/>
        </w:sectPr>
      </w:pPr>
    </w:p>
    <w:bookmarkStart w:id="62" w:name="page63"/>
    <w:bookmarkEnd w:id="62"/>
    <w:p>
      <w:pPr>
        <w:jc w:val="both"/>
        <w:ind w:firstLine="656"/>
        <w:spacing w:after="0" w:line="254" w:lineRule="auto"/>
        <w:tabs>
          <w:tab w:leader="none" w:pos="1169"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Modification/Waiver. </w:t>
      </w:r>
      <w:r>
        <w:rPr>
          <w:rFonts w:ascii="Times New Roman" w:cs="Times New Roman" w:eastAsia="Times New Roman" w:hAnsi="Times New Roman"/>
          <w:sz w:val="20"/>
          <w:szCs w:val="20"/>
          <w:color w:val="auto"/>
        </w:rPr>
        <w:t>This Agreement may not be amended, modified, superseded, canceled, renewed or extended,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or covenants hereof waived, except by a writing executed by Executive and for Company by a duly authorized Board member; or, in the case of a waiver, by the Party waiving compliance. Failure of any Party at any time to require performance of any provision hereof shall not affect the Party’s right at a later time to enforce such provision. No waiver by a Party of a breach of this Agreement shall be deemed to be a waiver of any other breach of any term or condition contained in the Agreement.</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083"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and Assigns. </w:t>
      </w:r>
      <w:r>
        <w:rPr>
          <w:rFonts w:ascii="Times New Roman" w:cs="Times New Roman" w:eastAsia="Times New Roman" w:hAnsi="Times New Roman"/>
          <w:sz w:val="20"/>
          <w:szCs w:val="20"/>
          <w:color w:val="auto"/>
        </w:rPr>
        <w:t>This Agreement may be assigned by Company to an affiliated entity of the Company with or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consent. This Agreement shall be assigned by the Company to any successor of the Company. This Agreement shall not be assignable by Executive.</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96"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to be given hereunder shall be in writing and shall be deemed to have been duly given on: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personally or hand delivered; one (1) day after being sent by internationally-recognized overnight delivery courier; and three (3) days after being sent by certified mail, return receipt requested. Notices mailed to Executive shall be sent to Executive’s last home address as reflected in Company’s personnel records. Executive shall promptly notify Company of any change in Executive’s address. Notices to Company shall be directed to the Chair of the Board and shall be mailed to Company’s headquarters.</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163"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Dispute Resolution. </w:t>
      </w:r>
      <w:r>
        <w:rPr>
          <w:rFonts w:ascii="Times New Roman" w:cs="Times New Roman" w:eastAsia="Times New Roman" w:hAnsi="Times New Roman"/>
          <w:sz w:val="20"/>
          <w:szCs w:val="20"/>
          <w:color w:val="auto"/>
        </w:rPr>
        <w:t>To aid in the rapid and economical resolution of any disputes that may arise between Executive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the Parties agree that any and all disputes, claims, or demands arising from or relating to this Agreement (including but not limited to the Confidential Information Agreement incorporated by reference herein), Executive’s employment relationship with Company, or the termination of that relationship (including statutory claims), shall be resolved, to the fullest extent permitted by law, by final, binding and confidential arbitration in San Francisco, California conducted by JAMS, Inc. (“JAMS”) or its successor, before a single neutral arbitrator, under the then applicable JAMS Arbitration Rules and Procedures for Employment Disputes (available at http://www.jamsadr.com/rules-employment-arbitration/) and subject to JAMS’ Policy on Employment Arbitration Minimum Standards of Procedural Fairness. </w:t>
      </w:r>
      <w:r>
        <w:rPr>
          <w:rFonts w:ascii="Times New Roman" w:cs="Times New Roman" w:eastAsia="Times New Roman" w:hAnsi="Times New Roman"/>
          <w:sz w:val="20"/>
          <w:szCs w:val="20"/>
          <w:b w:val="1"/>
          <w:bCs w:val="1"/>
          <w:color w:val="auto"/>
        </w:rPr>
        <w:t>The 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acknowledge that by agreeing to this arbitration procedure, they waive the right to resolve any such dispute, claim or demand through a trial by jury or judge or by administrative proceeding. </w:t>
      </w:r>
      <w:r>
        <w:rPr>
          <w:rFonts w:ascii="Times New Roman" w:cs="Times New Roman" w:eastAsia="Times New Roman" w:hAnsi="Times New Roman"/>
          <w:sz w:val="20"/>
          <w:szCs w:val="20"/>
          <w:color w:val="auto"/>
        </w:rPr>
        <w:t>The arbitrator shall: (a) have authority to compel adequate discovery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resolution of the dispute and to award such relief as would otherwise be available under applicable law in a court proceeding; (b) issue a written statement signed by the arbitrator regarding the disposition of each claim and the relief, if any, awarded as to each claim, the reasons for the award, and the arbitrator’s essential findings and conclusions on which the award is based; and (c) have authority to decide questions regarding the enforceability, interpretation, scope, applicability, or coverage of this Agreement (including whether an issue is subject to arbitration under this Agreement). Company shall pay all JAMS’ arbitration fees. Executive will have the right to be represented by legal counsel at any arbitration proceeding, at Executive’s expense. The arbitrator may award reasonable attorney’s fees, costs, and expenses to the prevailing party in any arbitration (as reasonably determined by the arbitrator), in addition to any other relief to which the prevailing party may be entitled. Nothing in this Agreement is intended to prevent either Party from obtaining injunctive relief in a court of applicable jurisdiction to prevent irreparable harm pending the conclusion of any arbitration; or from enforcing any arbitration award in a court of applicable jurisdiction.</w:t>
      </w:r>
    </w:p>
    <w:p>
      <w:pPr>
        <w:spacing w:after="0" w:line="191"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044"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In addition to any rights to indemnification to which Executive may be entitled under Company’s Charter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By-Laws,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52" w:right="339" w:bottom="1440" w:gutter="0" w:footer="0" w:header="0"/>
        </w:sectPr>
      </w:pPr>
    </w:p>
    <w:bookmarkStart w:id="63" w:name="page64"/>
    <w:bookmarkEnd w:id="63"/>
    <w:p>
      <w:pPr>
        <w:spacing w:after="0" w:line="269" w:lineRule="auto"/>
        <w:rPr>
          <w:sz w:val="20"/>
          <w:szCs w:val="20"/>
          <w:color w:val="auto"/>
        </w:rPr>
      </w:pPr>
      <w:r>
        <w:rPr>
          <w:rFonts w:ascii="Times New Roman" w:cs="Times New Roman" w:eastAsia="Times New Roman" w:hAnsi="Times New Roman"/>
          <w:sz w:val="20"/>
          <w:szCs w:val="20"/>
          <w:color w:val="auto"/>
        </w:rPr>
        <w:t>scope of employment with Company, and shall pay Executive’s expenses in defending any civil or criminal action, suit, or proceeding in advance of the final disposition of such action, suit, or proceeding, to the maximum extent permitted under such applicable state laws.</w:t>
      </w:r>
    </w:p>
    <w:p>
      <w:pPr>
        <w:spacing w:after="0" w:line="169" w:lineRule="exact"/>
        <w:rPr>
          <w:sz w:val="20"/>
          <w:szCs w:val="20"/>
          <w:color w:val="auto"/>
        </w:rPr>
      </w:pPr>
    </w:p>
    <w:p>
      <w:pPr>
        <w:jc w:val="both"/>
        <w:ind w:firstLine="656"/>
        <w:spacing w:after="0" w:line="265" w:lineRule="auto"/>
        <w:tabs>
          <w:tab w:leader="none" w:pos="1260"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Entire Agreement. </w:t>
      </w:r>
      <w:r>
        <w:rPr>
          <w:rFonts w:ascii="Times New Roman" w:cs="Times New Roman" w:eastAsia="Times New Roman" w:hAnsi="Times New Roman"/>
          <w:sz w:val="19"/>
          <w:szCs w:val="19"/>
          <w:color w:val="auto"/>
        </w:rPr>
        <w:t>This Agreement, together with the Exhibits, sets forth the complete and exclusive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understanding of the Parties with regard to the subject matter hereof, and supersedes any and all prior or contemporaneous agreements, promises, representations, or communications, written or oral, pertaining to the subject matter hereof (including, but not limited to, the Prior CIC Agreement and any other communications between the Parties regarding benefits in the event of a change in control of Company); provided, however, that this Agreement and its Exhibits do not supersede any prior Performance Unit Plan agreements or any other equity agreements or plans. If any provision of this Agreement is determined to be invalid or unenforceable, in whole or in part, this determination will not affect any other provision of this Agreement, and the invalid or unenforceable provision shall be modified to render it valid and enforceable consistent with the intent of the parties insofar as possible under applicable law. For purposes of construing this Agreement, any ambiguities shall not be construed against any party as the drafter. This Agreement may be executed in counterparts, which shall be deemed to be part of one original, and facsimile signatures shall be equivalent to original signatures. The validity, interpretation, construction and performance of this Agreement shall be governed by the laws of the State of California, without regard to conflict of laws principles.</w:t>
      </w:r>
    </w:p>
    <w:p>
      <w:pPr>
        <w:spacing w:after="0" w:line="18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each duly executed this Agreement as of the date written below to indicate their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acceptance of all of the above-stated terms and conditions.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The Cooper Companies, Inc.</w:t>
      </w:r>
    </w:p>
    <w:p>
      <w:pPr>
        <w:spacing w:after="0" w:line="200" w:lineRule="exact"/>
        <w:rPr>
          <w:sz w:val="20"/>
          <w:szCs w:val="20"/>
          <w:color w:val="auto"/>
        </w:rPr>
      </w:pP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-10795</wp:posOffset>
            </wp:positionV>
            <wp:extent cx="1245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Albert G. White III</w:t>
      </w:r>
    </w:p>
    <w:p>
      <w:pPr>
        <w:spacing w:after="0" w:line="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 ___27 March 2024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2149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1242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Daniel G. McBride</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 ___27 March 2024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2149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14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5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signed on or within twenty-one (21) days after the Separation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employment with the Cooper Companies,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ended in all capacities on ________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 hereby</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confirm that I have been paid all compensation owed to me by Company for all hours worked; I have received all leave and leave benefits and protections for which I was eligible, pursuant to Company’s policies, applicable law, or otherwise; and I have not suffered any on-the-job injury or illness for which I have not already filed a workers’ compensation claim.</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I choose to enter into this Release and allow it to become effective by its terms, Company will provide me with certain severance benefits pursuant to the terms of the Executive Employment Agreement between me and Company dated _____________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understand that I am not entitled to such severance benefits unless I return this fully-executed Release to Company within twenty-one (21) days after the Separation Date, and allow this Release to become fully effective and non-revocable by its terms. (Capitalized terms used but not defined in this Release shall have the meaning ascribed to them in the Agreement.)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exchange for the severance benefits to which I would not otherwise be entitled, I hereby generally and completely release Company and its directors, officers, employees, shareholders, partners, agents, attorneys, predecessors, successors, parent and subsidiary entities, insurers, affiliates, and assigns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liabilities and obligations, both known and unknown, arising from or in any way related to events, acts, conduct, or omissions occurring prior to or at the time that I sign this Release, including but not limited to claims arising from or in any way related to my employment with Company or the termination of that employment (collectively, the “</w:t>
      </w:r>
      <w:r>
        <w:rPr>
          <w:rFonts w:ascii="Times New Roman" w:cs="Times New Roman" w:eastAsia="Times New Roman" w:hAnsi="Times New Roman"/>
          <w:sz w:val="20"/>
          <w:szCs w:val="20"/>
          <w:b w:val="1"/>
          <w:bCs w:val="1"/>
          <w:color w:val="auto"/>
        </w:rPr>
        <w:t>Released Claims</w:t>
      </w:r>
      <w:r>
        <w:rPr>
          <w:rFonts w:ascii="Times New Roman" w:cs="Times New Roman" w:eastAsia="Times New Roman" w:hAnsi="Times New Roman"/>
          <w:sz w:val="20"/>
          <w:szCs w:val="20"/>
          <w:color w:val="auto"/>
        </w:rPr>
        <w:t>”). By way of example, the Released claims include, but are not limited to: (1) all claims related to my compensation or benefits from Company, including salary, bonuses, commissions, vacation pay, expense reimbursements, severance pay, fringe benefits, stock, stock options, or any other ownership interests in Company; (2) all claims for breach of contract, wrongful termination, and breach of the implied covenant of good faith and fair dealing; (3) all tort claims, including claims for fraud, defamation, emotional distress, and discharge in violation of public policy; and (4)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and California state law.</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Notwithstanding the foregoing, the following are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included in the Released Claims (the “</w:t>
      </w:r>
      <w:r>
        <w:rPr>
          <w:rFonts w:ascii="Times New Roman" w:cs="Times New Roman" w:eastAsia="Times New Roman" w:hAnsi="Times New Roman"/>
          <w:sz w:val="19"/>
          <w:szCs w:val="19"/>
          <w:b w:val="1"/>
          <w:bCs w:val="1"/>
          <w:color w:val="auto"/>
        </w:rPr>
        <w:t>Excluded Claims</w:t>
      </w:r>
      <w:r>
        <w:rPr>
          <w:rFonts w:ascii="Times New Roman" w:cs="Times New Roman" w:eastAsia="Times New Roman" w:hAnsi="Times New Roman"/>
          <w:sz w:val="19"/>
          <w:szCs w:val="19"/>
          <w:color w:val="auto"/>
        </w:rPr>
        <w:t>”): (a) any claims for breach of the Agreement arising after the date on which I sign this Release; (2) claims for reimbursement of properly incurred business expenses prior to and through the Separation Date which are submitted to Company for reimbursement within thirty (30) days after the Separation Date;</w:t>
      </w:r>
    </w:p>
    <w:p>
      <w:pPr>
        <w:jc w:val="both"/>
        <w:ind w:firstLine="8"/>
        <w:spacing w:after="0" w:line="251" w:lineRule="auto"/>
        <w:tabs>
          <w:tab w:leader="none" w:pos="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I have in respect of the Equity Awards; (4) all claims for or rights to indemnification pursuant to this Agreement, the articles of incorporation and bylaws of Company, any indemnification agreement to which I am a party, or applicable law; (5) the Company’s continuing severance obligations under the Agreement; and (6) all claims which cannot be waived as a matter of law. I understand that nothing in this Release prevents me from filing, cooperating with, or participating in any proceeding before the Equal Employment Opportunity Commission, the Department of Labor, or any other government agency, except that I acknowledge and agree that I am hereby waiving my right to any monetary benefits in connection with any such claim, charge or proceeding (except for such benefits with respect to proceedings before the Securities and Exchange Commission). I hereby represent and warrant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152" w:right="339" w:bottom="1440" w:gutter="0" w:footer="0" w:header="0"/>
        </w:sectPr>
      </w:pPr>
    </w:p>
    <w:bookmarkStart w:id="65" w:name="page66"/>
    <w:bookmarkEnd w:id="65"/>
    <w:p>
      <w:pPr>
        <w:jc w:val="both"/>
        <w:spacing w:after="0" w:line="269" w:lineRule="auto"/>
        <w:rPr>
          <w:sz w:val="20"/>
          <w:szCs w:val="20"/>
          <w:color w:val="auto"/>
        </w:rPr>
      </w:pPr>
      <w:r>
        <w:rPr>
          <w:rFonts w:ascii="Times New Roman" w:cs="Times New Roman" w:eastAsia="Times New Roman" w:hAnsi="Times New Roman"/>
          <w:sz w:val="20"/>
          <w:szCs w:val="20"/>
          <w:color w:val="auto"/>
        </w:rPr>
        <w:t>that, other than the Excluded Claims, I am not aware of any claims that I have or might have against any of the parties released above that are not included in the Released Claims.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 acknowledge that I am knowingly and voluntarily waiving and releasing any rights I may have under the ADEA, and that the consideration given for this Release is in addition to anything of value to which I was already entitled. I further acknowledge that I have been advised, as required by the ADEA, that: (a) my waiver and release does not apply to any rights or claims that may arise after the date I sign this Release;</w:t>
      </w:r>
    </w:p>
    <w:p>
      <w:pPr>
        <w:spacing w:after="0" w:line="2" w:lineRule="exact"/>
        <w:rPr>
          <w:sz w:val="20"/>
          <w:szCs w:val="20"/>
          <w:color w:val="auto"/>
        </w:rPr>
      </w:pPr>
    </w:p>
    <w:p>
      <w:pPr>
        <w:jc w:val="both"/>
        <w:ind w:firstLine="8"/>
        <w:spacing w:after="0" w:line="249" w:lineRule="auto"/>
        <w:tabs>
          <w:tab w:leader="none" w:pos="28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been advised that I have the right to consult with an attorney prior to executing this Release (although I may choose voluntarily not to do so); (c) I have been given twenty-one (21) days to consider this Release (although I may choose voluntarily to sign it earlier); (d) I have seven (7) days following my execution of this Release to revoke my acceptance of it (with such revocation to be delivered in writing to the Chair of the Board within the 7-day revocation period); and (e) this Release will not be effective until the date upon which the revocation period has expired, which will be the eighth day after I sign it, provided I do not earlier revoke it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required under California law for a general release of all known and unknown claims, I acknowledge that I have read and understand Section 1542 of the California Civil Code which reads as follows: “A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I hereby expressly waive and relinquish all rights and benefits under that section and any law or legal principle of similar effect in any jurisdiction with respect to my release of claims herein, including but not limited to the release of unknown and unsuspected claims.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 further agree: (a) not to disparage Company or any of the other Released Parties, in any manner likely to be harmful to its or their business, business reputation or personal reputation (although I may respond accurately and fully to any question, inquiry or request for information as required by legal process); (b) not to voluntarily (except in response to legal compulsion) assist any third party in bringing or pursuing any proposed or pending litigation, arbitration, administrative claim or other formal proceedings against Company, its affiliates, officers, directors, employees or agents; and (c) to reasonably cooperate with Company by voluntarily (without legal compulsion) providing accurate and complete information, in connection with Company’s actual or contemplated defense, prosecution or investigation of any claims or demands by or against third parties, or other matters, arising from events, acts, or omissions that occurred during my employment with Company. I hereby certify that I have returned, without retaining any reproductions (in whole or in part), all information, materials and other property of Company, including but not limited to any embodiment (in any medium) of any confidential or proprietary information of Company (including but not limited to any such embodiments on any personally-owned electronic or other storage device such as computer, cellular phone, PDA, tablet or the like).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Release, together with the Agreement (including all Exhibits and documents incorporated therein by reference), constitutes the complete, final and exclusive embodiment of the entire agreement between me and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Reviewed, Understood and Agreed:</w:t>
      </w:r>
    </w:p>
    <w:p>
      <w:pPr>
        <w:spacing w:after="0" w:line="200" w:lineRule="exact"/>
        <w:rPr>
          <w:sz w:val="20"/>
          <w:szCs w:val="20"/>
          <w:color w:val="auto"/>
        </w:rPr>
      </w:pPr>
    </w:p>
    <w:p>
      <w:pPr>
        <w:spacing w:after="0" w:line="27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1779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77990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Daniel G. McBride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156"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May 31, 2024</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May 31, 2024</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Brian G. Andrews</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jc w:val="center"/>
        <w:ind w:right="-299"/>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36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Albert G. White III,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April 30, 2024,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Albert G. White III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G. White III</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Brian G. Andrews,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April 30, 2024,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 Andrews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Andrews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2"/>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4"/>
    </w:lvl>
    <w:lvl w:ilvl="1">
      <w:lvlJc w:val="left"/>
      <w:lvlText w:val="(%2)"/>
      <w:numFmt w:val="lowerLetter"/>
      <w:start w:val="1"/>
    </w:lvl>
  </w:abstractNum>
  <w:abstractNum w:abstractNumId="14">
    <w:nsid w:val="2D517796"/>
    <w:multiLevelType w:val="hybridMultilevel"/>
    <w:lvl w:ilvl="0">
      <w:lvlJc w:val="left"/>
      <w:lvlText w:val="%1"/>
      <w:numFmt w:val="decimal"/>
      <w:start w:val="1"/>
    </w:lvl>
    <w:lvl w:ilvl="1">
      <w:lvlJc w:val="left"/>
      <w:lvlText w:val="(%2)"/>
      <w:numFmt w:val="lowerLetter"/>
      <w:start w:val="1"/>
    </w:lvl>
  </w:abstractNum>
  <w:abstractNum w:abstractNumId="15">
    <w:nsid w:val="580BD78F"/>
    <w:multiLevelType w:val="hybridMultilevel"/>
    <w:lvl w:ilvl="0">
      <w:lvlJc w:val="left"/>
      <w:lvlText w:val="%1."/>
      <w:numFmt w:val="decimal"/>
      <w:start w:val="8"/>
    </w:lvl>
    <w:lvl w:ilvl="1">
      <w:lvlJc w:val="left"/>
      <w:lvlText w:val="(%2)"/>
      <w:numFmt w:val="lowerLetter"/>
      <w:start w:val="1"/>
    </w:lvl>
  </w:abstractNum>
  <w:abstractNum w:abstractNumId="16">
    <w:nsid w:val="153EA438"/>
    <w:multiLevelType w:val="hybridMultilevel"/>
    <w:lvl w:ilvl="0">
      <w:lvlJc w:val="left"/>
      <w:lvlText w:val="(%1)"/>
      <w:numFmt w:val="lowerLetter"/>
      <w:start w:val="5"/>
    </w:lvl>
    <w:lvl w:ilvl="1">
      <w:lvlJc w:val="left"/>
      <w:lvlText w:val="(%2)"/>
      <w:numFmt w:val="lowerLetter"/>
      <w:start w:val="9"/>
    </w:lvl>
  </w:abstractNum>
  <w:abstractNum w:abstractNumId="17">
    <w:nsid w:val="3855585C"/>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35"/>
    </w:lvl>
  </w:abstractNum>
  <w:abstractNum w:abstractNumId="18">
    <w:nsid w:val="70A64E2A"/>
    <w:multiLevelType w:val="hybridMultilevel"/>
    <w:lvl w:ilvl="0">
      <w:lvlJc w:val="left"/>
      <w:lvlText w:val="%1."/>
      <w:numFmt w:val="decimal"/>
      <w:start w:val="9"/>
    </w:lvl>
    <w:lvl w:ilvl="1">
      <w:lvlJc w:val="left"/>
      <w:lvlText w:val="(%2)"/>
      <w:numFmt w:val="lowerLetter"/>
      <w:start w:val="1"/>
    </w:lvl>
  </w:abstractNum>
  <w:abstractNum w:abstractNumId="19">
    <w:nsid w:val="6A2342EC"/>
    <w:multiLevelType w:val="hybridMultilevel"/>
    <w:lvl w:ilvl="0">
      <w:lvlJc w:val="left"/>
      <w:lvlText w:val="%1"/>
      <w:numFmt w:val="decimal"/>
      <w:start w:val="1"/>
    </w:lvl>
    <w:lvl w:ilvl="1">
      <w:lvlJc w:val="left"/>
      <w:lvlText w:val="(%2)"/>
      <w:numFmt w:val="lowerLetter"/>
      <w:start w:val="2"/>
    </w:lvl>
  </w:abstractNum>
  <w:abstractNum w:abstractNumId="20">
    <w:nsid w:val="2A487CB0"/>
    <w:multiLevelType w:val="hybridMultilevel"/>
    <w:lvl w:ilvl="0">
      <w:lvlJc w:val="left"/>
      <w:lvlText w:val="%1."/>
      <w:numFmt w:val="decimal"/>
      <w:start w:val="10"/>
    </w:lvl>
    <w:lvl w:ilvl="1">
      <w:lvlJc w:val="left"/>
      <w:lvlText w:val="%2"/>
      <w:numFmt w:val="lowerLetter"/>
      <w:start w:val="1"/>
    </w:lvl>
  </w:abstractNum>
  <w:abstractNum w:abstractNumId="21">
    <w:nsid w:val="1D4ED43B"/>
    <w:multiLevelType w:val="hybridMultilevel"/>
    <w:lvl w:ilvl="0">
      <w:lvlJc w:val="left"/>
      <w:lvlText w:val="%1."/>
      <w:numFmt w:val="decimal"/>
      <w:start w:val="11"/>
    </w:lvl>
  </w:abstractNum>
  <w:abstractNum w:abstractNumId="22">
    <w:nsid w:val="725A06FB"/>
    <w:multiLevelType w:val="hybridMultilevel"/>
    <w:lvl w:ilvl="0">
      <w:lvlJc w:val="left"/>
      <w:lvlText w:val="%1."/>
      <w:numFmt w:val="decimal"/>
      <w:start w:val="12"/>
    </w:lvl>
    <w:lvl w:ilvl="1">
      <w:lvlJc w:val="left"/>
      <w:lvlText w:val="(%2)"/>
      <w:numFmt w:val="lowerLetter"/>
      <w:start w:val="1"/>
    </w:lvl>
  </w:abstractNum>
  <w:abstractNum w:abstractNumId="23">
    <w:nsid w:val="2CD89A32"/>
    <w:multiLevelType w:val="hybridMultilevel"/>
    <w:lvl w:ilvl="0">
      <w:lvlJc w:val="left"/>
      <w:lvlText w:val="(%1)"/>
      <w:numFmt w:val="lowerLetter"/>
      <w:start w:val="2"/>
    </w:lvl>
  </w:abstractNum>
  <w:abstractNum w:abstractNumId="24">
    <w:nsid w:val="57E4CCAF"/>
    <w:multiLevelType w:val="hybridMultilevel"/>
    <w:lvl w:ilvl="0">
      <w:lvlJc w:val="left"/>
      <w:lvlText w:val="(%1)"/>
      <w:numFmt w:val="lowerLetter"/>
      <w:start w:val="7"/>
    </w:lvl>
  </w:abstractNum>
  <w:abstractNum w:abstractNumId="25">
    <w:nsid w:val="7A6D8D3C"/>
    <w:multiLevelType w:val="hybridMultilevel"/>
    <w:lvl w:ilvl="0">
      <w:lvlJc w:val="left"/>
      <w:lvlText w:val="(%1)"/>
      <w:numFmt w:val="decimal"/>
      <w:start w:val="3"/>
    </w:lvl>
  </w:abstractNum>
  <w:abstractNum w:abstractNumId="26">
    <w:nsid w:val="4B588F54"/>
    <w:multiLevelType w:val="hybridMultilevel"/>
    <w:lvl w:ilvl="0">
      <w:lvlJc w:val="left"/>
      <w:lvlText w:val="(%1)"/>
      <w:numFmt w:val="lowerLetter"/>
      <w:start w:val="2"/>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4"/>
    </w:lvl>
    <w:lvl w:ilvl="1">
      <w:lvlJc w:val="left"/>
      <w:lvlText w:val="(%2)"/>
      <w:numFmt w:val="lowerLetter"/>
      <w:start w:val="1"/>
    </w:lvl>
  </w:abstractNum>
  <w:abstractNum w:abstractNumId="29">
    <w:nsid w:val="38437FDB"/>
    <w:multiLevelType w:val="hybridMultilevel"/>
    <w:lvl w:ilvl="0">
      <w:lvlJc w:val="left"/>
      <w:lvlText w:val="%1"/>
      <w:numFmt w:val="decimal"/>
      <w:start w:val="1"/>
    </w:lvl>
    <w:lvl w:ilvl="1">
      <w:lvlJc w:val="left"/>
      <w:lvlText w:val="(%2)"/>
      <w:numFmt w:val="lowerLetter"/>
      <w:start w:val="2"/>
    </w:lvl>
  </w:abstractNum>
  <w:abstractNum w:abstractNumId="30">
    <w:nsid w:val="7644A45C"/>
    <w:multiLevelType w:val="hybridMultilevel"/>
    <w:lvl w:ilvl="0">
      <w:lvlJc w:val="left"/>
      <w:lvlText w:val="%1."/>
      <w:numFmt w:val="decimal"/>
      <w:start w:val="8"/>
    </w:lvl>
    <w:lvl w:ilvl="1">
      <w:lvlJc w:val="left"/>
      <w:lvlText w:val="(%2)"/>
      <w:numFmt w:val="lowerLetter"/>
      <w:start w:val="1"/>
    </w:lvl>
  </w:abstractNum>
  <w:abstractNum w:abstractNumId="31">
    <w:nsid w:val="32FFF902"/>
    <w:multiLevelType w:val="hybridMultilevel"/>
    <w:lvl w:ilvl="0">
      <w:lvlJc w:val="left"/>
      <w:lvlText w:val="(%1)"/>
      <w:numFmt w:val="lowerLetter"/>
      <w:start w:val="5"/>
    </w:lvl>
    <w:lvl w:ilvl="1">
      <w:lvlJc w:val="left"/>
      <w:lvlText w:val="(%2)"/>
      <w:numFmt w:val="lowerLetter"/>
      <w:start w:val="9"/>
    </w:lvl>
  </w:abstractNum>
  <w:abstractNum w:abstractNumId="32">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3">
    <w:nsid w:val="579478F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4">
    <w:nsid w:val="749ABB43"/>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35">
    <w:nsid w:val="3DC240FB"/>
    <w:multiLevelType w:val="hybridMultilevel"/>
    <w:lvl w:ilvl="0">
      <w:lvlJc w:val="left"/>
      <w:lvlText w:val="%1."/>
      <w:numFmt w:val="decimal"/>
      <w:start w:val="9"/>
    </w:lvl>
    <w:lvl w:ilvl="1">
      <w:lvlJc w:val="left"/>
      <w:lvlText w:val="(%2)"/>
      <w:numFmt w:val="lowerLetter"/>
      <w:start w:val="1"/>
    </w:lvl>
  </w:abstractNum>
  <w:abstractNum w:abstractNumId="36">
    <w:nsid w:val="1BA026FA"/>
    <w:multiLevelType w:val="hybridMultilevel"/>
    <w:lvl w:ilvl="0">
      <w:lvlJc w:val="left"/>
      <w:lvlText w:val="%1"/>
      <w:numFmt w:val="decimal"/>
      <w:start w:val="1"/>
    </w:lvl>
    <w:lvl w:ilvl="1">
      <w:lvlJc w:val="left"/>
      <w:lvlText w:val="(%2)"/>
      <w:numFmt w:val="lowerLetter"/>
      <w:start w:val="2"/>
    </w:lvl>
  </w:abstractNum>
  <w:abstractNum w:abstractNumId="37">
    <w:nsid w:val="79A1DEAA"/>
    <w:multiLevelType w:val="hybridMultilevel"/>
    <w:lvl w:ilvl="0">
      <w:lvlJc w:val="left"/>
      <w:lvlText w:val="%1."/>
      <w:numFmt w:val="decimal"/>
      <w:start w:val="10"/>
    </w:lvl>
    <w:lvl w:ilvl="1">
      <w:lvlJc w:val="left"/>
      <w:lvlText w:val="%2"/>
      <w:numFmt w:val="lowerLetter"/>
      <w:start w:val="1"/>
    </w:lvl>
  </w:abstractNum>
  <w:abstractNum w:abstractNumId="38">
    <w:nsid w:val="75C6C33A"/>
    <w:multiLevelType w:val="hybridMultilevel"/>
    <w:lvl w:ilvl="0">
      <w:lvlJc w:val="left"/>
      <w:lvlText w:val="%1."/>
      <w:numFmt w:val="decimal"/>
      <w:start w:val="11"/>
    </w:lvl>
  </w:abstractNum>
  <w:abstractNum w:abstractNumId="39">
    <w:nsid w:val="12E685FB"/>
    <w:multiLevelType w:val="hybridMultilevel"/>
    <w:lvl w:ilvl="0">
      <w:lvlJc w:val="left"/>
      <w:lvlText w:val="%1."/>
      <w:numFmt w:val="decimal"/>
      <w:start w:val="12"/>
    </w:lvl>
    <w:lvl w:ilvl="1">
      <w:lvlJc w:val="left"/>
      <w:lvlText w:val="(%2)"/>
      <w:numFmt w:val="lowerLetter"/>
      <w:start w:val="1"/>
    </w:lvl>
  </w:abstractNum>
  <w:abstractNum w:abstractNumId="40">
    <w:nsid w:val="70C6A529"/>
    <w:multiLevelType w:val="hybridMultilevel"/>
    <w:lvl w:ilvl="0">
      <w:lvlJc w:val="left"/>
      <w:lvlText w:val="(%1)"/>
      <w:numFmt w:val="lowerLetter"/>
      <w:start w:val="2"/>
    </w:lvl>
  </w:abstractNum>
  <w:abstractNum w:abstractNumId="41">
    <w:nsid w:val="520EEDD1"/>
    <w:multiLevelType w:val="hybridMultilevel"/>
    <w:lvl w:ilvl="0">
      <w:lvlJc w:val="left"/>
      <w:lvlText w:val="(%1)"/>
      <w:numFmt w:val="lowerLetter"/>
      <w:start w:val="7"/>
    </w:lvl>
  </w:abstractNum>
  <w:abstractNum w:abstractNumId="42">
    <w:nsid w:val="374A3FE6"/>
    <w:multiLevelType w:val="hybridMultilevel"/>
    <w:lvl w:ilvl="0">
      <w:lvlJc w:val="left"/>
      <w:lvlText w:val="(%1)"/>
      <w:numFmt w:val="decimal"/>
      <w:start w:val="3"/>
    </w:lvl>
  </w:abstractNum>
  <w:abstractNum w:abstractNumId="43">
    <w:nsid w:val="4F4EF005"/>
    <w:multiLevelType w:val="hybridMultilevel"/>
    <w:lvl w:ilvl="0">
      <w:lvlJc w:val="left"/>
      <w:lvlText w:val="(%1)"/>
      <w:numFmt w:val="lowerLetter"/>
      <w:start w:val="2"/>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4"/>
    </w:lvl>
    <w:lvl w:ilvl="1">
      <w:lvlJc w:val="left"/>
      <w:lvlText w:val="(%2)"/>
      <w:numFmt w:val="lowerLetter"/>
      <w:start w:val="1"/>
    </w:lvl>
  </w:abstractNum>
  <w:abstractNum w:abstractNumId="46">
    <w:nsid w:val="275AC794"/>
    <w:multiLevelType w:val="hybridMultilevel"/>
    <w:lvl w:ilvl="0">
      <w:lvlJc w:val="left"/>
      <w:lvlText w:val="%1"/>
      <w:numFmt w:val="decimal"/>
      <w:start w:val="1"/>
    </w:lvl>
    <w:lvl w:ilvl="1">
      <w:lvlJc w:val="left"/>
      <w:lvlText w:val="(%2)"/>
      <w:numFmt w:val="lowerLetter"/>
      <w:start w:val="2"/>
    </w:lvl>
  </w:abstractNum>
  <w:abstractNum w:abstractNumId="47">
    <w:nsid w:val="39386575"/>
    <w:multiLevelType w:val="hybridMultilevel"/>
    <w:lvl w:ilvl="0">
      <w:lvlJc w:val="left"/>
      <w:lvlText w:val="%1."/>
      <w:numFmt w:val="decimal"/>
      <w:start w:val="8"/>
    </w:lvl>
    <w:lvl w:ilvl="1">
      <w:lvlJc w:val="left"/>
      <w:lvlText w:val="(%2)"/>
      <w:numFmt w:val="lowerLetter"/>
      <w:start w:val="1"/>
    </w:lvl>
  </w:abstractNum>
  <w:abstractNum w:abstractNumId="48">
    <w:nsid w:val="1CF10FD8"/>
    <w:multiLevelType w:val="hybridMultilevel"/>
    <w:lvl w:ilvl="0">
      <w:lvlJc w:val="left"/>
      <w:lvlText w:val="(%1)"/>
      <w:numFmt w:val="lowerLetter"/>
      <w:start w:val="5"/>
    </w:lvl>
    <w:lvl w:ilvl="1">
      <w:lvlJc w:val="left"/>
      <w:lvlText w:val="(%2)"/>
      <w:numFmt w:val="lowerLetter"/>
      <w:start w:val="9"/>
    </w:lvl>
  </w:abstractNum>
  <w:abstractNum w:abstractNumId="49">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0">
    <w:nsid w:val="235BA861"/>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51">
    <w:nsid w:val="47398C89"/>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52">
    <w:nsid w:val="354FE9F9"/>
    <w:multiLevelType w:val="hybridMultilevel"/>
    <w:lvl w:ilvl="0">
      <w:lvlJc w:val="left"/>
      <w:lvlText w:val="%1."/>
      <w:numFmt w:val="decimal"/>
      <w:start w:val="9"/>
    </w:lvl>
    <w:lvl w:ilvl="1">
      <w:lvlJc w:val="left"/>
      <w:lvlText w:val="(%2)"/>
      <w:numFmt w:val="lowerLetter"/>
      <w:start w:val="1"/>
    </w:lvl>
  </w:abstractNum>
  <w:abstractNum w:abstractNumId="53">
    <w:nsid w:val="15B5AF5C"/>
    <w:multiLevelType w:val="hybridMultilevel"/>
    <w:lvl w:ilvl="0">
      <w:lvlJc w:val="left"/>
      <w:lvlText w:val="%1"/>
      <w:numFmt w:val="decimal"/>
      <w:start w:val="1"/>
    </w:lvl>
    <w:lvl w:ilvl="1">
      <w:lvlJc w:val="left"/>
      <w:lvlText w:val="(%2)"/>
      <w:numFmt w:val="lowerLetter"/>
      <w:start w:val="2"/>
    </w:lvl>
  </w:abstractNum>
  <w:abstractNum w:abstractNumId="54">
    <w:nsid w:val="741226BB"/>
    <w:multiLevelType w:val="hybridMultilevel"/>
    <w:lvl w:ilvl="0">
      <w:lvlJc w:val="left"/>
      <w:lvlText w:val="%1."/>
      <w:numFmt w:val="decimal"/>
      <w:start w:val="10"/>
    </w:lvl>
    <w:lvl w:ilvl="1">
      <w:lvlJc w:val="left"/>
      <w:lvlText w:val="%2"/>
      <w:numFmt w:val="lowerLetter"/>
      <w:start w:val="1"/>
    </w:lvl>
  </w:abstractNum>
  <w:abstractNum w:abstractNumId="55">
    <w:nsid w:val="D34B6A8"/>
    <w:multiLevelType w:val="hybridMultilevel"/>
    <w:lvl w:ilvl="0">
      <w:lvlJc w:val="left"/>
      <w:lvlText w:val="%1."/>
      <w:numFmt w:val="decimal"/>
      <w:start w:val="11"/>
    </w:lvl>
  </w:abstractNum>
  <w:abstractNum w:abstractNumId="56">
    <w:nsid w:val="10233C99"/>
    <w:multiLevelType w:val="hybridMultilevel"/>
    <w:lvl w:ilvl="0">
      <w:lvlJc w:val="left"/>
      <w:lvlText w:val="%1."/>
      <w:numFmt w:val="decimal"/>
      <w:start w:val="12"/>
    </w:lvl>
    <w:lvl w:ilvl="1">
      <w:lvlJc w:val="left"/>
      <w:lvlText w:val="(%2)"/>
      <w:numFmt w:val="lowerLetter"/>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7"/>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1)"/>
      <w:numFmt w:val="lowerLetter"/>
      <w:start w:val="2"/>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44" Type="http://schemas.openxmlformats.org/officeDocument/2006/relationships/hyperlink" Target="https://www.sec.gov/Archives/edgar/data/711404/000071140424000024/a2024creditagreement.htm" TargetMode="External"/><Relationship Id="rId45" Type="http://schemas.openxmlformats.org/officeDocument/2006/relationships/hyperlink" Target="https://www.sec.gov/Archives/edgar/data/711404/000071140424000024/amendmentno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2024-05-31T15:53:38Z</dcterms:created>
  <dcterms:modified xsi:type="dcterms:W3CDTF">2024-05-31T15:53:38Z</dcterms:modified>
</cp:coreProperties>
</file>