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7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For the quarterly period ended January 31, 2021</w:t>
      </w:r>
    </w:p>
    <w:p>
      <w:pPr>
        <w:sectPr>
          <w:pgSz w:w="11900" w:h="16838" w:orient="portrait"/>
          <w:cols w:equalWidth="0" w:num="1">
            <w:col w:w="11240"/>
          </w:cols>
          <w:pgMar w:left="320" w:top="1084" w:right="339" w:bottom="1440" w:gutter="0" w:footer="0" w:header="0"/>
          <w:type w:val="continuous"/>
        </w:sectPr>
      </w:pPr>
    </w:p>
    <w:p>
      <w:pPr>
        <w:spacing w:after="0" w:line="124"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ectPr>
          <w:pgSz w:w="11900" w:h="16838" w:orient="portrait"/>
          <w:cols w:equalWidth="0" w:num="2">
            <w:col w:w="1360" w:space="720"/>
            <w:col w:w="9160"/>
          </w:cols>
          <w:pgMar w:left="320" w:top="1084" w:right="339" w:bottom="1440" w:gutter="0" w:footer="0" w:header="0"/>
          <w:type w:val="continuous"/>
        </w:sectPr>
      </w:pPr>
    </w:p>
    <w:p>
      <w:pPr>
        <w:spacing w:after="0" w:line="26"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20" w:lineRule="exact"/>
        <w:rPr>
          <w:sz w:val="24"/>
          <w:szCs w:val="24"/>
          <w:color w:val="auto"/>
        </w:rPr>
      </w:pPr>
    </w:p>
    <w:p>
      <w:pPr>
        <w:sectPr>
          <w:pgSz w:w="11900" w:h="16838" w:orient="portrait"/>
          <w:cols w:equalWidth="0" w:num="2">
            <w:col w:w="6100" w:space="640"/>
            <w:col w:w="4500"/>
          </w:cols>
          <w:pgMar w:left="320" w:top="108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240"/>
          </w:cols>
          <w:pgMar w:left="320" w:top="1084" w:right="339" w:bottom="1440" w:gutter="0" w:footer="0" w:header="0"/>
          <w:type w:val="continuous"/>
        </w:sectPr>
      </w:pPr>
    </w:p>
    <w:p>
      <w:pPr>
        <w:spacing w:after="0" w:line="165"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31" w:lineRule="exact"/>
        <w:rPr>
          <w:sz w:val="24"/>
          <w:szCs w:val="24"/>
          <w:color w:val="auto"/>
        </w:rPr>
      </w:pPr>
    </w:p>
    <w:p>
      <w:pPr>
        <w:sectPr>
          <w:pgSz w:w="11900" w:h="16838" w:orient="portrait"/>
          <w:cols w:equalWidth="0" w:num="2">
            <w:col w:w="7480" w:space="720"/>
            <w:col w:w="3040"/>
          </w:cols>
          <w:pgMar w:left="320" w:top="1084" w:right="339" w:bottom="1440" w:gutter="0" w:footer="0" w:header="0"/>
          <w:type w:val="continuous"/>
        </w:sectPr>
      </w:pPr>
    </w:p>
    <w:p>
      <w:pPr>
        <w:spacing w:after="0" w:line="12"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(State or other jurisdiction of</w:t>
      </w:r>
    </w:p>
    <w:p>
      <w:pPr>
        <w:ind w:left="20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360" w:space="720"/>
            <w:col w:w="3160"/>
          </w:cols>
          <w:pgMar w:left="320" w:top="1084" w:right="339" w:bottom="1440" w:gutter="0" w:footer="0" w:header="0"/>
          <w:type w:val="continuous"/>
        </w:sectPr>
      </w:pPr>
    </w:p>
    <w:p>
      <w:pPr>
        <w:ind w:left="4100"/>
        <w:spacing w:after="0"/>
        <w:rPr>
          <w:sz w:val="20"/>
          <w:szCs w:val="20"/>
          <w:color w:val="auto"/>
        </w:rPr>
      </w:pPr>
      <w:r>
        <w:rPr>
          <w:rFonts w:ascii="Arial" w:cs="Arial" w:eastAsia="Arial" w:hAnsi="Arial"/>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San Ramon, California 94583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12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7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February 26, 2021, 49,151,068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type w:val="continuous"/>
        </w:sectPr>
      </w:pPr>
    </w:p>
    <w:bookmarkStart w:id="1" w:name="page2"/>
    <w:bookmarkEnd w:id="1"/>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6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6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Page No.</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PART I.</w:t>
            </w:r>
          </w:p>
        </w:tc>
        <w:tc>
          <w:tcPr>
            <w:tcW w:w="8560" w:type="dxa"/>
            <w:vAlign w:val="bottom"/>
          </w:tcPr>
          <w:p>
            <w:pPr>
              <w:ind w:left="26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600" w:type="dxa"/>
            <w:vAlign w:val="bottom"/>
          </w:tcPr>
          <w:p>
            <w:pPr>
              <w:spacing w:after="0"/>
              <w:rPr>
                <w:sz w:val="18"/>
                <w:szCs w:val="18"/>
                <w:color w:val="auto"/>
              </w:rPr>
            </w:pPr>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1.</w:t>
            </w:r>
          </w:p>
        </w:tc>
        <w:tc>
          <w:tcPr>
            <w:tcW w:w="8560" w:type="dxa"/>
            <w:vAlign w:val="bottom"/>
          </w:tcPr>
          <w:p>
            <w:pPr>
              <w:ind w:left="2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Financial Statements</w:t>
              </w:r>
            </w:hyperlink>
          </w:p>
        </w:tc>
        <w:tc>
          <w:tcPr>
            <w:tcW w:w="1600" w:type="dxa"/>
            <w:vAlign w:val="bottom"/>
          </w:tcPr>
          <w:p>
            <w:pPr>
              <w:spacing w:after="0"/>
              <w:rPr>
                <w:sz w:val="24"/>
                <w:szCs w:val="24"/>
                <w:color w:val="auto"/>
              </w:rPr>
            </w:pPr>
          </w:p>
        </w:tc>
      </w:tr>
      <w:tr>
        <w:trPr>
          <w:trHeight w:val="324"/>
        </w:trPr>
        <w:tc>
          <w:tcPr>
            <w:tcW w:w="1060" w:type="dxa"/>
            <w:vAlign w:val="bottom"/>
          </w:tcPr>
          <w:p>
            <w:pPr>
              <w:spacing w:after="0"/>
              <w:rPr>
                <w:sz w:val="24"/>
                <w:szCs w:val="24"/>
                <w:color w:val="auto"/>
              </w:rPr>
            </w:pPr>
          </w:p>
        </w:tc>
        <w:tc>
          <w:tcPr>
            <w:tcW w:w="856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Income and Comprehensive Income</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324"/>
        </w:trPr>
        <w:tc>
          <w:tcPr>
            <w:tcW w:w="1060" w:type="dxa"/>
            <w:vAlign w:val="bottom"/>
          </w:tcPr>
          <w:p>
            <w:pPr>
              <w:spacing w:after="0"/>
              <w:rPr>
                <w:sz w:val="24"/>
                <w:szCs w:val="24"/>
                <w:color w:val="auto"/>
              </w:rPr>
            </w:pPr>
          </w:p>
        </w:tc>
        <w:tc>
          <w:tcPr>
            <w:tcW w:w="8560" w:type="dxa"/>
            <w:vAlign w:val="bottom"/>
          </w:tcPr>
          <w:p>
            <w:pPr>
              <w:ind w:left="3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Condensed Balance Sheets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324"/>
        </w:trPr>
        <w:tc>
          <w:tcPr>
            <w:tcW w:w="1060" w:type="dxa"/>
            <w:vAlign w:val="bottom"/>
          </w:tcPr>
          <w:p>
            <w:pPr>
              <w:spacing w:after="0"/>
              <w:rPr>
                <w:sz w:val="24"/>
                <w:szCs w:val="24"/>
                <w:color w:val="auto"/>
              </w:rPr>
            </w:pPr>
          </w:p>
        </w:tc>
        <w:tc>
          <w:tcPr>
            <w:tcW w:w="8560" w:type="dxa"/>
            <w:vAlign w:val="bottom"/>
          </w:tcPr>
          <w:p>
            <w:pPr>
              <w:ind w:left="3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Condensed Statements of Stockholders' Equity</w:t>
              </w:r>
            </w:hyperlink>
          </w:p>
        </w:tc>
        <w:tc>
          <w:tcPr>
            <w:tcW w:w="16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324"/>
        </w:trPr>
        <w:tc>
          <w:tcPr>
            <w:tcW w:w="1060" w:type="dxa"/>
            <w:vAlign w:val="bottom"/>
          </w:tcPr>
          <w:p>
            <w:pPr>
              <w:spacing w:after="0"/>
              <w:rPr>
                <w:sz w:val="24"/>
                <w:szCs w:val="24"/>
                <w:color w:val="auto"/>
              </w:rPr>
            </w:pPr>
          </w:p>
        </w:tc>
        <w:tc>
          <w:tcPr>
            <w:tcW w:w="8560" w:type="dxa"/>
            <w:vAlign w:val="bottom"/>
          </w:tcPr>
          <w:p>
            <w:pPr>
              <w:ind w:left="3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Condensed Statements of Cash Flows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324"/>
        </w:trPr>
        <w:tc>
          <w:tcPr>
            <w:tcW w:w="1060" w:type="dxa"/>
            <w:vAlign w:val="bottom"/>
          </w:tcPr>
          <w:p>
            <w:pPr>
              <w:spacing w:after="0"/>
              <w:rPr>
                <w:sz w:val="24"/>
                <w:szCs w:val="24"/>
                <w:color w:val="auto"/>
              </w:rPr>
            </w:pPr>
          </w:p>
        </w:tc>
        <w:tc>
          <w:tcPr>
            <w:tcW w:w="8560" w:type="dxa"/>
            <w:vAlign w:val="bottom"/>
          </w:tcPr>
          <w:p>
            <w:pPr>
              <w:ind w:left="3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Consolidated Condensed Financial Statements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2.</w:t>
            </w:r>
          </w:p>
        </w:tc>
        <w:tc>
          <w:tcPr>
            <w:tcW w:w="8560" w:type="dxa"/>
            <w:vAlign w:val="bottom"/>
          </w:tcPr>
          <w:p>
            <w:pPr>
              <w:ind w:left="26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3.</w:t>
            </w:r>
          </w:p>
        </w:tc>
        <w:tc>
          <w:tcPr>
            <w:tcW w:w="8560" w:type="dxa"/>
            <w:vAlign w:val="bottom"/>
          </w:tcPr>
          <w:p>
            <w:pPr>
              <w:ind w:left="2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Quantitative and Qualitative Disclosure About Market Risk</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35</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4.</w:t>
            </w:r>
          </w:p>
        </w:tc>
        <w:tc>
          <w:tcPr>
            <w:tcW w:w="8560" w:type="dxa"/>
            <w:vAlign w:val="bottom"/>
          </w:tcPr>
          <w:p>
            <w:pPr>
              <w:ind w:left="2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Controls and Procedures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PART II.</w:t>
            </w:r>
          </w:p>
        </w:tc>
        <w:tc>
          <w:tcPr>
            <w:tcW w:w="8560" w:type="dxa"/>
            <w:vAlign w:val="bottom"/>
          </w:tcPr>
          <w:p>
            <w:pPr>
              <w:ind w:left="26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OTHER INFORMATION</w:t>
              </w:r>
            </w:hyperlink>
          </w:p>
        </w:tc>
        <w:tc>
          <w:tcPr>
            <w:tcW w:w="1600" w:type="dxa"/>
            <w:vAlign w:val="bottom"/>
          </w:tcPr>
          <w:p>
            <w:pPr>
              <w:spacing w:after="0"/>
              <w:rPr>
                <w:sz w:val="24"/>
                <w:szCs w:val="24"/>
                <w:color w:val="auto"/>
              </w:rPr>
            </w:pPr>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1.</w:t>
            </w:r>
          </w:p>
        </w:tc>
        <w:tc>
          <w:tcPr>
            <w:tcW w:w="856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Legal Proceedings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1A.</w:t>
            </w:r>
          </w:p>
        </w:tc>
        <w:tc>
          <w:tcPr>
            <w:tcW w:w="856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Risk Factors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2.</w:t>
            </w:r>
          </w:p>
        </w:tc>
        <w:tc>
          <w:tcPr>
            <w:tcW w:w="8560" w:type="dxa"/>
            <w:vAlign w:val="bottom"/>
          </w:tcPr>
          <w:p>
            <w:pPr>
              <w:ind w:left="26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3.</w:t>
            </w:r>
          </w:p>
        </w:tc>
        <w:tc>
          <w:tcPr>
            <w:tcW w:w="85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Defaults Upon Senior Securities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4.</w:t>
            </w:r>
          </w:p>
        </w:tc>
        <w:tc>
          <w:tcPr>
            <w:tcW w:w="85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Mine Safety Disclosures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338"/>
        </w:trPr>
        <w:tc>
          <w:tcPr>
            <w:tcW w:w="1060" w:type="dxa"/>
            <w:vAlign w:val="bottom"/>
          </w:tcPr>
          <w:p>
            <w:pPr>
              <w:ind w:left="120"/>
              <w:spacing w:after="0"/>
              <w:rPr>
                <w:sz w:val="20"/>
                <w:szCs w:val="20"/>
                <w:color w:val="auto"/>
              </w:rPr>
            </w:pPr>
            <w:r>
              <w:rPr>
                <w:rFonts w:ascii="Arial" w:cs="Arial" w:eastAsia="Arial" w:hAnsi="Arial"/>
                <w:sz w:val="18"/>
                <w:szCs w:val="18"/>
                <w:color w:val="auto"/>
              </w:rPr>
              <w:t>Item 5.</w:t>
            </w:r>
          </w:p>
        </w:tc>
        <w:tc>
          <w:tcPr>
            <w:tcW w:w="85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Other Information</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r>
      <w:tr>
        <w:trPr>
          <w:trHeight w:val="324"/>
        </w:trPr>
        <w:tc>
          <w:tcPr>
            <w:tcW w:w="1060" w:type="dxa"/>
            <w:vAlign w:val="bottom"/>
          </w:tcPr>
          <w:p>
            <w:pPr>
              <w:ind w:left="120"/>
              <w:spacing w:after="0"/>
              <w:rPr>
                <w:sz w:val="20"/>
                <w:szCs w:val="20"/>
                <w:color w:val="auto"/>
              </w:rPr>
            </w:pPr>
            <w:r>
              <w:rPr>
                <w:rFonts w:ascii="Arial" w:cs="Arial" w:eastAsia="Arial" w:hAnsi="Arial"/>
                <w:sz w:val="18"/>
                <w:szCs w:val="18"/>
                <w:color w:val="auto"/>
              </w:rPr>
              <w:t>Item 6.</w:t>
            </w:r>
          </w:p>
        </w:tc>
        <w:tc>
          <w:tcPr>
            <w:tcW w:w="8560" w:type="dxa"/>
            <w:vAlign w:val="bottom"/>
          </w:tcPr>
          <w:p>
            <w:pPr>
              <w:ind w:left="26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w:t>
              </w:r>
            </w:hyperlink>
          </w:p>
        </w:tc>
        <w:tc>
          <w:tcPr>
            <w:tcW w:w="160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324"/>
        </w:trPr>
        <w:tc>
          <w:tcPr>
            <w:tcW w:w="1060" w:type="dxa"/>
            <w:vAlign w:val="bottom"/>
          </w:tcPr>
          <w:p>
            <w:pPr>
              <w:ind w:left="1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w:t>
              </w:r>
            </w:hyperlink>
          </w:p>
        </w:tc>
        <w:tc>
          <w:tcPr>
            <w:tcW w:w="8560" w:type="dxa"/>
            <w:vAlign w:val="bottom"/>
          </w:tcPr>
          <w:p>
            <w:pPr>
              <w:spacing w:after="0"/>
              <w:rPr>
                <w:sz w:val="24"/>
                <w:szCs w:val="24"/>
                <w:color w:val="auto"/>
              </w:rPr>
            </w:pPr>
          </w:p>
        </w:tc>
        <w:tc>
          <w:tcPr>
            <w:tcW w:w="160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 (Note 6)</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(1,961.6)</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tcPr>
          <w:p>
            <w:pPr>
              <w:jc w:val="right"/>
              <w:ind w:right="1133"/>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2,101.1</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(Note 7):</w:t>
            </w:r>
          </w:p>
        </w:tc>
        <w:tc>
          <w:tcPr>
            <w:tcW w:w="1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Basic</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used to compute earnings per share:</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comprehensive income, net of tax:</w:t>
            </w:r>
          </w:p>
        </w:tc>
        <w:tc>
          <w:tcPr>
            <w:tcW w:w="1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1340" w:type="dxa"/>
            <w:vAlign w:val="bottom"/>
          </w:tcPr>
          <w:p>
            <w:pPr>
              <w:jc w:val="right"/>
              <w:ind w:right="1133"/>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340" w:type="dxa"/>
            <w:vAlign w:val="bottom"/>
            <w:tcBorders>
              <w:bottom w:val="single" w:sz="8" w:color="auto"/>
            </w:tcBorders>
          </w:tcPr>
          <w:p>
            <w:pPr>
              <w:jc w:val="right"/>
              <w:ind w:right="1133"/>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2,191.8</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 2021</w:t>
            </w:r>
          </w:p>
        </w:tc>
        <w:tc>
          <w:tcPr>
            <w:tcW w:w="260" w:type="dxa"/>
            <w:vAlign w:val="bottom"/>
          </w:tcPr>
          <w:p>
            <w:pPr>
              <w:spacing w:after="0"/>
              <w:rPr>
                <w:sz w:val="16"/>
                <w:szCs w:val="16"/>
                <w:color w:val="auto"/>
              </w:rPr>
            </w:pPr>
          </w:p>
        </w:tc>
        <w:tc>
          <w:tcPr>
            <w:tcW w:w="1600" w:type="dxa"/>
            <w:vAlign w:val="bottom"/>
          </w:tcPr>
          <w:p>
            <w:pPr>
              <w:jc w:val="right"/>
              <w:ind w:right="331"/>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3"/>
              </w:rPr>
              <w:t>Trade accounts receivable, net of allowance for credit losses of $11.9 at January 31, 2021 and</w:t>
            </w:r>
          </w:p>
        </w:tc>
        <w:tc>
          <w:tcPr>
            <w:tcW w:w="2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$10.2 at October 31, 2020</w:t>
            </w: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(Note 3)</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2,555.8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2,474.8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1,281.9</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Goodwill (Note 4)</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2,553.3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2,447.3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 (Note 4)</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2,031.2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 (Note 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(Note 5)</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tax payable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pension liability and other</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2,932.0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2,912.7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(Note 12)</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Preferred stock, 10 cents par value, 1.0 shares authorized, zero shares issued or outstanding</w:t>
            </w: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10 cents par value, 120.0 shares authorized, 53.5 issued and 49.1 outstanding at</w:t>
            </w:r>
          </w:p>
        </w:tc>
        <w:tc>
          <w:tcPr>
            <w:tcW w:w="24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January 31, 2021 and 53.4 issued and 49.1 outstanding at October 31, 2020</w:t>
            </w:r>
          </w:p>
        </w:tc>
        <w:tc>
          <w:tcPr>
            <w:tcW w:w="24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7"/>
              </w:rPr>
              <w:t>Treasury stock at cost: 4.4 shares at January 31, 2021 and 4.3 shares at October 31, 2020</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Cooper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Stockholders’ equity (Note 9)</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ectPr>
          <w:pgSz w:w="11900" w:h="16838" w:orient="portrait"/>
          <w:cols w:equalWidth="0" w:num="1">
            <w:col w:w="11240"/>
          </w:cols>
          <w:pgMar w:left="320" w:top="11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7"/>
          </w:tcPr>
          <w:p>
            <w:pPr>
              <w:ind w:left="60"/>
              <w:spacing w:after="0"/>
              <w:rPr>
                <w:sz w:val="20"/>
                <w:szCs w:val="20"/>
                <w:color w:val="auto"/>
              </w:rPr>
            </w:pPr>
            <w:r>
              <w:rPr>
                <w:rFonts w:ascii="Arial" w:cs="Arial" w:eastAsia="Arial" w:hAnsi="Arial"/>
                <w:sz w:val="14"/>
                <w:szCs w:val="14"/>
                <w:b w:val="1"/>
                <w:bCs w:val="1"/>
                <w:color w:val="auto"/>
              </w:rPr>
              <w:t>Common Shares</w:t>
            </w:r>
          </w:p>
        </w:tc>
        <w:tc>
          <w:tcPr>
            <w:tcW w:w="60" w:type="dxa"/>
            <w:vAlign w:val="bottom"/>
          </w:tcPr>
          <w:p>
            <w:pPr>
              <w:spacing w:after="0"/>
              <w:rPr>
                <w:sz w:val="16"/>
                <w:szCs w:val="16"/>
                <w:color w:val="auto"/>
              </w:rPr>
            </w:pPr>
          </w:p>
        </w:tc>
        <w:tc>
          <w:tcPr>
            <w:tcW w:w="1280" w:type="dxa"/>
            <w:vAlign w:val="bottom"/>
            <w:gridSpan w:val="7"/>
          </w:tcPr>
          <w:p>
            <w:pPr>
              <w:ind w:left="10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restart"/>
          </w:tcPr>
          <w:p>
            <w:pPr>
              <w:jc w:val="center"/>
              <w:ind w:right="9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1"/>
                <w:szCs w:val="11"/>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1"/>
                <w:szCs w:val="11"/>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Treasury</w:t>
            </w:r>
          </w:p>
        </w:tc>
        <w:tc>
          <w:tcPr>
            <w:tcW w:w="11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7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7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6"/>
                <w:szCs w:val="16"/>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720" w:type="dxa"/>
            <w:vAlign w:val="bottom"/>
            <w:gridSpan w:val="3"/>
          </w:tcPr>
          <w:p>
            <w:pPr>
              <w:ind w:left="12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November 1, 2019</w:t>
            </w:r>
          </w:p>
        </w:tc>
        <w:tc>
          <w:tcPr>
            <w:tcW w:w="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$1,615.0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$3,026.4</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(571.2)</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attributable to Cooper</w:t>
            </w:r>
          </w:p>
        </w:tc>
        <w:tc>
          <w:tcPr>
            <w:tcW w:w="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comprehensive income, net of</w:t>
            </w:r>
          </w:p>
        </w:tc>
        <w:tc>
          <w:tcPr>
            <w:tcW w:w="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Issuance of common stock for stock</w:t>
            </w: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plans, net</w:t>
            </w:r>
          </w:p>
        </w:tc>
        <w:tc>
          <w:tcPr>
            <w:tcW w:w="5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on common stock ($0.03</w:t>
            </w:r>
          </w:p>
        </w:tc>
        <w:tc>
          <w:tcPr>
            <w:tcW w:w="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Share-based compensation expense</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31, 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$ 1,611.5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$ 3,115.4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(571.2)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November 1, 2020</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$1,646.8</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$3,261.8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(617.3)</w:t>
            </w: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3,824.8</w:t>
            </w:r>
          </w:p>
        </w:tc>
        <w:tc>
          <w:tcPr>
            <w:tcW w:w="0" w:type="dxa"/>
            <w:vAlign w:val="bottom"/>
          </w:tcPr>
          <w:p>
            <w:pPr>
              <w:spacing w:after="0"/>
              <w:rPr>
                <w:sz w:val="1"/>
                <w:szCs w:val="1"/>
                <w:color w:val="auto"/>
              </w:rPr>
            </w:pPr>
          </w:p>
        </w:tc>
      </w:tr>
      <w:tr>
        <w:trPr>
          <w:trHeight w:val="176"/>
        </w:trPr>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Net income attributable to Cooper</w:t>
            </w:r>
          </w:p>
        </w:tc>
        <w:tc>
          <w:tcPr>
            <w:tcW w:w="20" w:type="dxa"/>
            <w:vAlign w:val="bottom"/>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2,101.1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comprehensive income, net of</w:t>
            </w:r>
          </w:p>
        </w:tc>
        <w:tc>
          <w:tcPr>
            <w:tcW w:w="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29"/>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Issuance of common stock for stock</w:t>
            </w:r>
          </w:p>
        </w:tc>
        <w:tc>
          <w:tcPr>
            <w:tcW w:w="6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plans, net</w:t>
            </w:r>
          </w:p>
        </w:tc>
        <w:tc>
          <w:tcPr>
            <w:tcW w:w="6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 stock for</w:t>
            </w:r>
          </w:p>
        </w:tc>
        <w:tc>
          <w:tcPr>
            <w:tcW w:w="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Dividends on common stock ($0.03 per</w:t>
            </w:r>
          </w:p>
        </w:tc>
        <w:tc>
          <w:tcPr>
            <w:tcW w:w="20" w:type="dxa"/>
            <w:vAlign w:val="bottom"/>
          </w:tcPr>
          <w:p>
            <w:pPr>
              <w:spacing w:after="0"/>
              <w:rPr>
                <w:sz w:val="15"/>
                <w:szCs w:val="15"/>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share)</w:t>
            </w:r>
          </w:p>
        </w:tc>
        <w:tc>
          <w:tcPr>
            <w:tcW w:w="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Share-based compensation expense</w:t>
            </w:r>
          </w:p>
        </w:tc>
        <w:tc>
          <w:tcPr>
            <w:tcW w:w="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Treasury stock repurchase</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ASU 2016-13 adoption</w:t>
            </w:r>
          </w:p>
        </w:tc>
        <w:tc>
          <w:tcPr>
            <w:tcW w:w="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Balance at January 31, 2021</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1,647.2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5,360.0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 (641.5)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Increase in operating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non-cash items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Acquisitions of businesses and assets, net of cash acquired,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Repayments of long-term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(263.1)</w:t>
            </w:r>
          </w:p>
        </w:tc>
      </w:tr>
      <w:tr>
        <w:trPr>
          <w:trHeight w:val="229"/>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(repayments) proceeds from short-term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Net (payments) proceeds related to share-based compensation awards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Issuance of common stock for employee stock purchase plan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Reconciliation of cash flow information: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w:t>
      </w:r>
    </w:p>
    <w:p>
      <w:pPr>
        <w:spacing w:after="0" w:line="25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2020.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fiscal year ended October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w:t>
      </w:r>
    </w:p>
    <w:p>
      <w:pPr>
        <w:spacing w:after="0" w:line="25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1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2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allowance for doubtful accounts and credit losses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inventory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carrying value of goodwill and other long-lived assets</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There was not a material impact to the above estimates in the Company’s Consolidated Condensed Financial Statements for the three months ended January 31, 2021.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right="1260"/>
        <w:spacing w:after="0" w:line="465" w:lineRule="auto"/>
        <w:rPr>
          <w:sz w:val="20"/>
          <w:szCs w:val="20"/>
          <w:color w:val="auto"/>
        </w:rPr>
      </w:pPr>
      <w:r>
        <w:rPr>
          <w:rFonts w:ascii="Arial" w:cs="Arial" w:eastAsia="Arial" w:hAnsi="Arial"/>
          <w:sz w:val="18"/>
          <w:szCs w:val="18"/>
          <w:color w:val="auto"/>
        </w:rPr>
        <w:t xml:space="preserve">changes to the estimates and material impacts to the Company’s Consolidated Condensed Financial Statements in future reporting periods. </w:t>
      </w:r>
      <w:r>
        <w:rPr>
          <w:rFonts w:ascii="Arial" w:cs="Arial" w:eastAsia="Arial" w:hAnsi="Arial"/>
          <w:sz w:val="18"/>
          <w:szCs w:val="18"/>
          <w:b w:val="1"/>
          <w:bCs w:val="1"/>
          <w:color w:val="auto"/>
        </w:rPr>
        <w:t>Accounting Pronouncements Recently Adopted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and subsequent amendments to the initial guidance: ASU 2018-19</w:t>
      </w:r>
      <w:r>
        <w:rPr>
          <w:rFonts w:ascii="Arial" w:cs="Arial" w:eastAsia="Arial" w:hAnsi="Arial"/>
          <w:sz w:val="17"/>
          <w:szCs w:val="17"/>
          <w:i w:val="1"/>
          <w:iCs w:val="1"/>
          <w:color w:val="auto"/>
        </w:rPr>
        <w:t xml:space="preserve"> Codification Improvements to Topic 326, Financial Instruments-Credit Losses</w:t>
      </w:r>
      <w:r>
        <w:rPr>
          <w:rFonts w:ascii="Arial" w:cs="Arial" w:eastAsia="Arial" w:hAnsi="Arial"/>
          <w:sz w:val="17"/>
          <w:szCs w:val="17"/>
          <w:color w:val="auto"/>
        </w:rPr>
        <w:t>, ASU 2019-04</w:t>
      </w:r>
      <w:r>
        <w:rPr>
          <w:rFonts w:ascii="Arial" w:cs="Arial" w:eastAsia="Arial" w:hAnsi="Arial"/>
          <w:sz w:val="17"/>
          <w:szCs w:val="17"/>
          <w:i w:val="1"/>
          <w:iCs w:val="1"/>
          <w:color w:val="auto"/>
        </w:rPr>
        <w:t xml:space="preserve"> Codification Improvements to Topic 326, Financial Instruments-Credit Losses, Topic 815, Derivatives and Hedging, and Topic 825, Financial Instruments</w:t>
      </w:r>
      <w:r>
        <w:rPr>
          <w:rFonts w:ascii="Arial" w:cs="Arial" w:eastAsia="Arial" w:hAnsi="Arial"/>
          <w:sz w:val="17"/>
          <w:szCs w:val="17"/>
          <w:color w:val="auto"/>
        </w:rPr>
        <w:t>, ASU 2019-05</w:t>
      </w:r>
      <w:r>
        <w:rPr>
          <w:rFonts w:ascii="Arial" w:cs="Arial" w:eastAsia="Arial" w:hAnsi="Arial"/>
          <w:sz w:val="17"/>
          <w:szCs w:val="17"/>
          <w:i w:val="1"/>
          <w:iCs w:val="1"/>
          <w:color w:val="auto"/>
        </w:rPr>
        <w:t xml:space="preserve"> Financial Instruments-Credit Losses</w:t>
      </w:r>
      <w:r>
        <w:rPr>
          <w:rFonts w:ascii="Arial" w:cs="Arial" w:eastAsia="Arial" w:hAnsi="Arial"/>
          <w:sz w:val="17"/>
          <w:szCs w:val="17"/>
          <w:color w:val="auto"/>
        </w:rPr>
        <w:t>, ASU 2019-11</w:t>
      </w:r>
      <w:r>
        <w:rPr>
          <w:rFonts w:ascii="Arial" w:cs="Arial" w:eastAsia="Arial" w:hAnsi="Arial"/>
          <w:sz w:val="17"/>
          <w:szCs w:val="17"/>
          <w:i w:val="1"/>
          <w:iCs w:val="1"/>
          <w:color w:val="auto"/>
        </w:rPr>
        <w:t xml:space="preserve"> Codification Improvements to Topic 326, Financial Instruments —Credit Losses</w:t>
      </w:r>
      <w:r>
        <w:rPr>
          <w:rFonts w:ascii="Arial" w:cs="Arial" w:eastAsia="Arial" w:hAnsi="Arial"/>
          <w:sz w:val="17"/>
          <w:szCs w:val="17"/>
          <w:color w:val="auto"/>
        </w:rPr>
        <w:t>, ASU 2020-02</w:t>
      </w:r>
      <w:r>
        <w:rPr>
          <w:rFonts w:ascii="Arial" w:cs="Arial" w:eastAsia="Arial" w:hAnsi="Arial"/>
          <w:sz w:val="17"/>
          <w:szCs w:val="17"/>
          <w:i w:val="1"/>
          <w:iCs w:val="1"/>
          <w:color w:val="auto"/>
        </w:rPr>
        <w:t xml:space="preserve"> Financial Instruments—Credit Losses (Topic 326) and Leases (Topic 842) </w:t>
      </w:r>
      <w:r>
        <w:rPr>
          <w:rFonts w:ascii="Arial" w:cs="Arial" w:eastAsia="Arial" w:hAnsi="Arial"/>
          <w:sz w:val="17"/>
          <w:szCs w:val="17"/>
          <w:color w:val="auto"/>
        </w:rPr>
        <w:t>and ASU 2020-03</w:t>
      </w:r>
      <w:r>
        <w:rPr>
          <w:rFonts w:ascii="Arial" w:cs="Arial" w:eastAsia="Arial" w:hAnsi="Arial"/>
          <w:sz w:val="17"/>
          <w:szCs w:val="17"/>
          <w:i w:val="1"/>
          <w:iCs w:val="1"/>
          <w:color w:val="auto"/>
        </w:rPr>
        <w:t xml:space="preserve"> Codification Improvements to Financial Instruments </w:t>
      </w:r>
      <w:r>
        <w:rPr>
          <w:rFonts w:ascii="Arial" w:cs="Arial" w:eastAsia="Arial" w:hAnsi="Arial"/>
          <w:sz w:val="17"/>
          <w:szCs w:val="17"/>
          <w:color w:val="auto"/>
        </w:rPr>
        <w:t>(collectively, “Topic 326”). Topic 326 requires measurement and recognition of expected credit losses for financial assets held. Topic</w:t>
      </w:r>
      <w:r>
        <w:rPr>
          <w:rFonts w:ascii="Arial" w:cs="Arial" w:eastAsia="Arial" w:hAnsi="Arial"/>
          <w:sz w:val="17"/>
          <w:szCs w:val="17"/>
          <w:i w:val="1"/>
          <w:iCs w:val="1"/>
          <w:color w:val="auto"/>
        </w:rPr>
        <w:t xml:space="preserve"> </w:t>
      </w:r>
      <w:r>
        <w:rPr>
          <w:rFonts w:ascii="Arial" w:cs="Arial" w:eastAsia="Arial" w:hAnsi="Arial"/>
          <w:sz w:val="17"/>
          <w:szCs w:val="17"/>
          <w:color w:val="auto"/>
        </w:rPr>
        <w:t>326 is effective for fiscal years and interim periods within those fiscal years beginning after December 15, 2019. The Company adopted this guidance in the first quarter of fiscal 2021 on a modified retrospective basis, and the most notable impact was related to the assessment of the adequacy of its allowance for doubtful accounts on trade accounts receivable and the recognition of credit losses. The Company recorded a cumulative-effect adjustment of $1.4 million to the Consolidated Condensed Balance Sheet on November 1, 2020.</w:t>
      </w:r>
    </w:p>
    <w:p>
      <w:pPr>
        <w:spacing w:after="0" w:line="21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The Company adopted this guidance on November 1, 2020, and it did not have a material impact on our Consolidated Condensed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25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financial statements, which is effective for the Company in our fiscal year and interim periods beginning on November 1, 2021.</w:t>
      </w:r>
    </w:p>
    <w:p>
      <w:pPr>
        <w:spacing w:after="0" w:line="13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 xml:space="preserve">In January 2020, the FASB issued ASU 2020-01, </w:t>
      </w:r>
      <w:r>
        <w:rPr>
          <w:rFonts w:ascii="Arial" w:cs="Arial" w:eastAsia="Arial" w:hAnsi="Arial"/>
          <w:sz w:val="16"/>
          <w:szCs w:val="16"/>
          <w:i w:val="1"/>
          <w:iCs w:val="1"/>
          <w:color w:val="auto"/>
        </w:rPr>
        <w:t>Investments-Equity Securities (Topic 321), Investments-Equity Method and Joint Ventures (Topic 323),</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 (Topic 815)—Clarifying the Interactions between Topic 321, Topic 323, and Topic 815</w:t>
      </w:r>
      <w:r>
        <w:rPr>
          <w:rFonts w:ascii="Arial" w:cs="Arial" w:eastAsia="Arial" w:hAnsi="Arial"/>
          <w:sz w:val="16"/>
          <w:szCs w:val="16"/>
          <w:color w:val="auto"/>
        </w:rPr>
        <w:t>. This guidance addresses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transition into and out of the equity method and provides 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We are currently evaluating the impact of ASU 2020-01 on our consolidated financial statements, which is effective for the Company in our fiscal year and interim periods beginning on November 1, 2021.</w:t>
      </w:r>
    </w:p>
    <w:p>
      <w:pPr>
        <w:spacing w:after="0" w:line="19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and subsequent amendment to the initial guidance: ASU 2021-01,</w:t>
      </w:r>
      <w:r>
        <w:rPr>
          <w:rFonts w:ascii="Arial" w:cs="Arial" w:eastAsia="Arial" w:hAnsi="Arial"/>
          <w:sz w:val="16"/>
          <w:szCs w:val="16"/>
          <w:i w:val="1"/>
          <w:iCs w:val="1"/>
          <w:color w:val="auto"/>
        </w:rPr>
        <w:t xml:space="preserve"> Reference Rate Reform (Topic 848): Scope </w:t>
      </w:r>
      <w:r>
        <w:rPr>
          <w:rFonts w:ascii="Arial" w:cs="Arial" w:eastAsia="Arial" w:hAnsi="Arial"/>
          <w:sz w:val="16"/>
          <w:szCs w:val="16"/>
          <w:color w:val="auto"/>
        </w:rPr>
        <w:t>(collectively, “Topic 848”). Topic</w:t>
      </w:r>
      <w:r>
        <w:rPr>
          <w:rFonts w:ascii="Arial" w:cs="Arial" w:eastAsia="Arial" w:hAnsi="Arial"/>
          <w:sz w:val="16"/>
          <w:szCs w:val="16"/>
          <w:i w:val="1"/>
          <w:iCs w:val="1"/>
          <w:color w:val="auto"/>
        </w:rPr>
        <w:t xml:space="preserve"> </w:t>
      </w:r>
      <w:r>
        <w:rPr>
          <w:rFonts w:ascii="Arial" w:cs="Arial" w:eastAsia="Arial" w:hAnsi="Arial"/>
          <w:sz w:val="16"/>
          <w:szCs w:val="16"/>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We are currently assessing the impacts of the practical expedients provided in Topic 848 and which, if any, we will adopt.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This update amends the guidance on convertible instruments and the derivatives scope exception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No other recently issued accounting pronouncements had or are expected to have a material impact on our Consolidated Condensed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Acquisitions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allocation of the total purchase consideration for business and asset acquisitions that the Company completed during the three months ended January 31, 2021 and fiscal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31, 2021</w:t>
            </w:r>
          </w:p>
        </w:tc>
        <w:tc>
          <w:tcPr>
            <w:tcW w:w="200" w:type="dxa"/>
            <w:vAlign w:val="bottom"/>
          </w:tcPr>
          <w:p>
            <w:pPr>
              <w:spacing w:after="0"/>
              <w:rPr>
                <w:sz w:val="14"/>
                <w:szCs w:val="14"/>
                <w:color w:val="auto"/>
              </w:rPr>
            </w:pPr>
          </w:p>
        </w:tc>
        <w:tc>
          <w:tcPr>
            <w:tcW w:w="1460" w:type="dxa"/>
            <w:vAlign w:val="bottom"/>
          </w:tcPr>
          <w:p>
            <w:pPr>
              <w:jc w:val="right"/>
              <w:ind w:right="212"/>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In-Process Research &amp; Development (IPR&amp;D)</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20" w:type="dxa"/>
            <w:vAlign w:val="bottom"/>
            <w:tcBorders>
              <w:bottom w:val="single" w:sz="8" w:color="CCEEFF"/>
            </w:tcBorders>
          </w:tcPr>
          <w:p>
            <w:pPr>
              <w:spacing w:after="0"/>
              <w:rPr>
                <w:sz w:val="19"/>
                <w:szCs w:val="19"/>
                <w:color w:val="auto"/>
              </w:rPr>
            </w:pPr>
          </w:p>
        </w:tc>
        <w:tc>
          <w:tcPr>
            <w:tcW w:w="7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identifiable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tangible assets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20" w:type="dxa"/>
            <w:vAlign w:val="bottom"/>
            <w:shd w:val="clear" w:color="auto" w:fill="CCEEFF"/>
          </w:tcPr>
          <w:p>
            <w:pPr>
              <w:spacing w:after="0"/>
              <w:rPr>
                <w:sz w:val="19"/>
                <w:szCs w:val="19"/>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Total closing purchase price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acquisitions were funded by cash generated from operations or facility borrowings.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believes these acquisitions strengthen CooperSurgical's and CooperVision’s businesses through the addition of new distributors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w:t>
      </w:r>
    </w:p>
    <w:p>
      <w:pPr>
        <w:spacing w:after="0" w:line="243"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 which was recorded in other income. The terms of the acquisition include upfront cash consideration paid at closing of approximately $40.9 million attributable to the equity interests not held by the Company on the closing date. The transaction also includes potential payments of future consideration that are contingent upon the achievement of the regulatory approval milestone (the regulatory approval payment) and the acquired business reaching certain revenue thresholds over a specified period (the revenue payments). The undiscounted range of the contingent consideration is zero to $139.1 million payable to the other former equity interest owners. The purchase price allocation is preliminary, and we are in the process of finalizing information primarily related to taxes and the corresponding impact on goodwill.</w:t>
      </w:r>
    </w:p>
    <w:p>
      <w:pPr>
        <w:spacing w:after="0" w:line="20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estimated fair value of the contingent consideration on the acquisition date was approximately $37.9 million, and, accordingly, the Company recorded a liability of approximately $30.2 million, which represents the fair value of the contingent consideration payable to the other former equity interest owners. 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 The fair value of the contingent consideration will be remeasured at each subsequent reporting period, and the change in fair value will be recognized in the Consolidated Statements of Income and Comprehensive Income.</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allocation is preliminary and we are in the process of finalizing information and the corresponding impact on goodwill.</w:t>
      </w:r>
    </w:p>
    <w:p>
      <w:pPr>
        <w:spacing w:after="0" w:line="1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2019, CooperSurgical completed the acquisition of a privately-held distributor of IVF medical devices and systems.</w:t>
      </w:r>
    </w:p>
    <w:p>
      <w:pPr>
        <w:spacing w:after="0" w:line="25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 The purchase price allocation is preliminary and the Company is in the process of finalizing information and the corresponding impact on goodwill.</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 of the business combination described above was not material to the consolidated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Inventories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31, 2021</w:t>
            </w:r>
          </w:p>
        </w:tc>
        <w:tc>
          <w:tcPr>
            <w:tcW w:w="320" w:type="dxa"/>
            <w:vAlign w:val="bottom"/>
          </w:tcPr>
          <w:p>
            <w:pPr>
              <w:spacing w:after="0"/>
              <w:rPr>
                <w:sz w:val="14"/>
                <w:szCs w:val="14"/>
                <w:color w:val="auto"/>
              </w:rPr>
            </w:pPr>
          </w:p>
        </w:tc>
        <w:tc>
          <w:tcPr>
            <w:tcW w:w="1740" w:type="dxa"/>
            <w:vAlign w:val="bottom"/>
          </w:tcPr>
          <w:p>
            <w:pPr>
              <w:jc w:val="right"/>
              <w:ind w:right="414"/>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29"/>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inventories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CooperVision</w:t>
            </w:r>
          </w:p>
        </w:tc>
        <w:tc>
          <w:tcPr>
            <w:tcW w:w="22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CooperSurgical</w:t>
            </w:r>
          </w:p>
        </w:tc>
        <w:tc>
          <w:tcPr>
            <w:tcW w:w="380" w:type="dxa"/>
            <w:vAlign w:val="bottom"/>
          </w:tcPr>
          <w:p>
            <w:pPr>
              <w:spacing w:after="0"/>
              <w:rPr>
                <w:sz w:val="14"/>
                <w:szCs w:val="14"/>
                <w:color w:val="auto"/>
              </w:rPr>
            </w:pPr>
          </w:p>
        </w:tc>
        <w:tc>
          <w:tcPr>
            <w:tcW w:w="1220" w:type="dxa"/>
            <w:vAlign w:val="bottom"/>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2,447.3</w:t>
            </w:r>
          </w:p>
        </w:tc>
      </w:tr>
      <w:tr>
        <w:trPr>
          <w:trHeight w:val="230"/>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Current period additions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29"/>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Balance at January 31, 2021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2,553.3</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2020, and its analysis indicated that there was no impairment of goodwill in reporting units.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480"/>
              <w:spacing w:after="0"/>
              <w:rPr>
                <w:sz w:val="20"/>
                <w:szCs w:val="20"/>
                <w:color w:val="auto"/>
              </w:rPr>
            </w:pPr>
            <w:r>
              <w:rPr>
                <w:rFonts w:ascii="Arial" w:cs="Arial" w:eastAsia="Arial" w:hAnsi="Arial"/>
                <w:sz w:val="14"/>
                <w:szCs w:val="14"/>
                <w:b w:val="1"/>
                <w:bCs w:val="1"/>
                <w:color w:val="auto"/>
              </w:rPr>
              <w:t>January 31, 2021</w:t>
            </w:r>
          </w:p>
        </w:tc>
        <w:tc>
          <w:tcPr>
            <w:tcW w:w="140" w:type="dxa"/>
            <w:vAlign w:val="bottom"/>
          </w:tcPr>
          <w:p>
            <w:pPr>
              <w:spacing w:after="0"/>
              <w:rPr>
                <w:sz w:val="16"/>
                <w:szCs w:val="16"/>
                <w:color w:val="auto"/>
              </w:rPr>
            </w:pPr>
          </w:p>
        </w:tc>
        <w:tc>
          <w:tcPr>
            <w:tcW w:w="2140" w:type="dxa"/>
            <w:vAlign w:val="bottom"/>
            <w:gridSpan w:val="4"/>
          </w:tcPr>
          <w:p>
            <w:pPr>
              <w:jc w:val="right"/>
              <w:ind w:right="535"/>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78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Composite intangible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773.6</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vMerge w:val="continue"/>
          </w:tcPr>
          <w:p>
            <w:pPr>
              <w:spacing w:after="0"/>
              <w:rPr>
                <w:sz w:val="15"/>
                <w:szCs w:val="15"/>
                <w:color w:val="auto"/>
              </w:rPr>
            </w:pPr>
          </w:p>
        </w:tc>
        <w:tc>
          <w:tcPr>
            <w:tcW w:w="4880" w:type="dxa"/>
            <w:vAlign w:val="bottom"/>
            <w:tcBorders>
              <w:bottom w:val="single" w:sz="8" w:color="CCEEFF"/>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Intangible assets with indefinite lives, net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80" w:hanging="172"/>
        <w:spacing w:after="0"/>
        <w:tabs>
          <w:tab w:leader="none" w:pos="180" w:val="left"/>
        </w:tabs>
        <w:numPr>
          <w:ilvl w:val="0"/>
          <w:numId w:val="2"/>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Intangible assets with indefinite lives include technology and trademarks.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Balances include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the estimation of future amortization expenses for intangible assets with definite lives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Fiscal Years:</w:t>
            </w:r>
          </w:p>
        </w:tc>
        <w:tc>
          <w:tcPr>
            <w:tcW w:w="440" w:type="dxa"/>
            <w:vAlign w:val="bottom"/>
          </w:tcPr>
          <w:p>
            <w:pPr>
              <w:spacing w:after="0"/>
              <w:rPr>
                <w:sz w:val="13"/>
                <w:szCs w:val="13"/>
                <w:color w:val="auto"/>
              </w:rPr>
            </w:pPr>
          </w:p>
        </w:tc>
        <w:tc>
          <w:tcPr>
            <w:tcW w:w="1840" w:type="dxa"/>
            <w:vAlign w:val="bottom"/>
          </w:tcPr>
          <w:p>
            <w:pPr>
              <w:jc w:val="right"/>
              <w:ind w:right="672"/>
              <w:spacing w:after="0"/>
              <w:rPr>
                <w:sz w:val="20"/>
                <w:szCs w:val="20"/>
                <w:color w:val="auto"/>
              </w:rPr>
            </w:pPr>
            <w:r>
              <w:rPr>
                <w:rFonts w:ascii="Arial" w:cs="Arial" w:eastAsia="Arial" w:hAnsi="Arial"/>
                <w:sz w:val="14"/>
                <w:szCs w:val="14"/>
                <w:b w:val="1"/>
                <w:bCs w:val="1"/>
                <w:color w:val="auto"/>
              </w:rPr>
              <w:t>(In millions)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3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r>
      <w:tr>
        <w:trPr>
          <w:trHeight w:val="229"/>
        </w:trPr>
        <w:tc>
          <w:tcPr>
            <w:tcW w:w="82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33"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Company assesses indefinite-lived intangible assets annually in the third quarter of the fiscal year, or whenever events or circumstances indicate that the carrying amount of an indefinite-lived intangible asset (asset group) may not be recoverable, in accordance with related accounting standards. The Company evaluates whether the indefinite-lived intangible asset is impaired by comparing its carrying value to its fair value.</w:t>
      </w:r>
    </w:p>
    <w:p>
      <w:pPr>
        <w:spacing w:after="0" w:line="1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performed an annual impairment assessment in the third quarter of fiscal 2020 and did not recognize any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Debt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2021</w:t>
            </w:r>
          </w:p>
        </w:tc>
        <w:tc>
          <w:tcPr>
            <w:tcW w:w="240" w:type="dxa"/>
            <w:vAlign w:val="bottom"/>
          </w:tcPr>
          <w:p>
            <w:pPr>
              <w:spacing w:after="0"/>
              <w:rPr>
                <w:sz w:val="14"/>
                <w:szCs w:val="14"/>
                <w:color w:val="auto"/>
              </w:rPr>
            </w:pPr>
          </w:p>
        </w:tc>
        <w:tc>
          <w:tcPr>
            <w:tcW w:w="1600" w:type="dxa"/>
            <w:vAlign w:val="bottom"/>
          </w:tcPr>
          <w:p>
            <w:pPr>
              <w:jc w:val="right"/>
              <w:ind w:right="312"/>
              <w:spacing w:after="0"/>
              <w:rPr>
                <w:sz w:val="20"/>
                <w:szCs w:val="20"/>
                <w:color w:val="auto"/>
              </w:rPr>
            </w:pPr>
            <w:r>
              <w:rPr>
                <w:rFonts w:ascii="Arial" w:cs="Arial" w:eastAsia="Arial" w:hAnsi="Arial"/>
                <w:sz w:val="14"/>
                <w:szCs w:val="14"/>
                <w:b w:val="1"/>
                <w:bCs w:val="1"/>
                <w:color w:val="auto"/>
              </w:rPr>
              <w:t>October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Overdraft and other credit facilities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Revolving credit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534.0</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30"/>
        </w:trPr>
        <w:tc>
          <w:tcPr>
            <w:tcW w:w="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issuance cost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Borders>
              <w:bottom w:val="single" w:sz="8" w:color="CCEEFF"/>
            </w:tcBorders>
          </w:tcPr>
          <w:p>
            <w:pPr>
              <w:spacing w:after="0"/>
              <w:rPr>
                <w:sz w:val="19"/>
                <w:szCs w:val="19"/>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Agreement on October 16, 2020</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On October 16, 2020, the Company entered into a 364-day, $350.0 million, term loan agreement by and among the Company, the lenders party thereto and The Bank of Nova Scotia, as administrative agent which matures on October 15, 2021. The funds were used to partially repay outstanding borrowings under the 2020 Revolving Credit Facility (as defined below). At January 31, 2021, the Company had $350.0 million outstanding under this agreement.</w:t>
      </w:r>
    </w:p>
    <w:p>
      <w:pPr>
        <w:spacing w:after="0" w:line="17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Amounts outstanding under this agreement will bear interest, at the Company’s option, at either the base rate, or the adjusted LIBO rate, plus, in each case, an applicable rate of 0.00% in respect of base rate loans and 0.80% in respect of adjusted LIBO rate loans. The interest rate was 0.94% at January 31, 2021.</w:t>
      </w:r>
    </w:p>
    <w:p>
      <w:pPr>
        <w:spacing w:after="0" w:line="15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This agreement contains customary restrictive covenants, as well as financial covenants that require the Company to maintain a certain Total Leverage Ratio and Interest Coverage Ratio consistent with the 2020 Credit Agreement discussed below</w:t>
      </w:r>
      <w:r>
        <w:rPr>
          <w:rFonts w:ascii="Arial" w:cs="Arial" w:eastAsia="Arial" w:hAnsi="Arial"/>
          <w:sz w:val="19"/>
          <w:szCs w:val="19"/>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April 1, 2020</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69" w:lineRule="exact"/>
        <w:rPr>
          <w:sz w:val="20"/>
          <w:szCs w:val="20"/>
          <w:color w:val="auto"/>
        </w:rPr>
      </w:pPr>
    </w:p>
    <w:p>
      <w:pPr>
        <w:jc w:val="both"/>
        <w:ind w:right="240"/>
        <w:spacing w:after="0" w:line="296" w:lineRule="auto"/>
        <w:rPr>
          <w:sz w:val="20"/>
          <w:szCs w:val="20"/>
          <w:color w:val="auto"/>
        </w:rPr>
      </w:pPr>
      <w:r>
        <w:rPr>
          <w:rFonts w:ascii="Arial" w:cs="Arial" w:eastAsia="Arial" w:hAnsi="Arial"/>
          <w:sz w:val="16"/>
          <w:szCs w:val="16"/>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5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4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January 31, 2021, the Company had $850.0 million outstanding under the 2020 Term Loan Facility, $564.0 million outstanding under the 2020 Revolving Credit Facility and $724.6 million available under the 2020 Revolving Credit Facility, net of $1.4 million outstanding letters of credit. The interest rate on the 2020 Term Loan Facility was 1.14% at January 31, 2021. During the three months ended January 31, 2021, the Company expensed less than $0.1 million related to the debt issuance costs of the 2020 Term Loan Facility.</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January 31, 2021, the Company was in compliance with the Interest Coverage Ratio at 25.53 to 1.00 and the Total Leverage Ratio at 2.10 to 1.00 for the 2020 Credit Agreement.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2020 for more details.</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maximum commitments and the net amounts available to us under credit facilities discussed above as of January 31, 2021: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00" w:type="dxa"/>
            <w:vAlign w:val="bottom"/>
          </w:tcPr>
          <w:p>
            <w:pPr>
              <w:spacing w:after="0"/>
              <w:rPr>
                <w:sz w:val="14"/>
                <w:szCs w:val="14"/>
                <w:color w:val="auto"/>
              </w:rPr>
            </w:pPr>
          </w:p>
        </w:tc>
        <w:tc>
          <w:tcPr>
            <w:tcW w:w="20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Letters of Credit</w:t>
            </w:r>
          </w:p>
        </w:tc>
        <w:tc>
          <w:tcPr>
            <w:tcW w:w="14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2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effective tax rates for the three months ended January 31, 2021 and January 31, 2020 were (1,406.3)% and 7.1%, respectively. The decrease was primarily due to an intra-group transfer of intellectual property during the three months ended January 31, 2021, as discussed below. The Company's effective tax rate for the three months ended January 31, 2021 was lower than the U.S. federal statutory tax rate primarily due to the intra-group transfer. The Company's effective tax rates for the three months ended January 31, 2021 and January 31, 2020 were otherwise lower than the U.S. federal statutory tax rate primarily due to earnings in foreign jurisdictions with lower tax rates and excess tax benefits from share-based compensation.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2020, the Company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tcPr>
          <w:p>
            <w:pPr>
              <w:spacing w:after="0"/>
              <w:rPr>
                <w:sz w:val="13"/>
                <w:szCs w:val="13"/>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Basic:</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0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Basic earnings per share</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500" w:type="dxa"/>
            <w:vAlign w:val="bottom"/>
            <w:gridSpan w:val="2"/>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42.77</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Diluted: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Effect of dilutive stock options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Arial" w:cs="Arial" w:eastAsia="Arial" w:hAnsi="Arial"/>
                <w:sz w:val="18"/>
                <w:szCs w:val="18"/>
                <w:color w:val="auto"/>
              </w:rPr>
              <w:t>Diluted weighted average common shares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2000" w:type="dxa"/>
            <w:vAlign w:val="bottom"/>
          </w:tcPr>
          <w:p>
            <w:pPr>
              <w:jc w:val="right"/>
              <w:ind w:right="7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800" w:type="dxa"/>
            <w:vAlign w:val="bottom"/>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shares excluded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2160" w:type="dxa"/>
            <w:vAlign w:val="bottom"/>
            <w:gridSpan w:val="2"/>
          </w:tcPr>
          <w:p>
            <w:pPr>
              <w:ind w:left="640"/>
              <w:spacing w:after="0"/>
              <w:rPr>
                <w:sz w:val="20"/>
                <w:szCs w:val="20"/>
                <w:color w:val="auto"/>
              </w:rPr>
            </w:pPr>
            <w:r>
              <w:rPr>
                <w:rFonts w:ascii="Arial" w:cs="Arial" w:eastAsia="Arial" w:hAnsi="Arial"/>
                <w:sz w:val="18"/>
                <w:szCs w:val="18"/>
                <w:color w:val="auto"/>
                <w:w w:val="99"/>
              </w:rPr>
              <w:t>$304.54 – $345.74</w:t>
            </w:r>
          </w:p>
        </w:tc>
        <w:tc>
          <w:tcPr>
            <w:tcW w:w="1800" w:type="dxa"/>
            <w:vAlign w:val="bottom"/>
          </w:tcPr>
          <w:p>
            <w:pPr>
              <w:jc w:val="right"/>
              <w:spacing w:after="0"/>
              <w:rPr>
                <w:sz w:val="20"/>
                <w:szCs w:val="20"/>
                <w:color w:val="auto"/>
              </w:rPr>
            </w:pPr>
            <w:r>
              <w:rPr>
                <w:rFonts w:ascii="Arial" w:cs="Arial" w:eastAsia="Arial" w:hAnsi="Arial"/>
                <w:sz w:val="18"/>
                <w:szCs w:val="18"/>
                <w:color w:val="auto"/>
              </w:rPr>
              <w:t>$254.77</w:t>
            </w:r>
          </w:p>
        </w:tc>
      </w:tr>
      <w:tr>
        <w:trPr>
          <w:trHeight w:val="230"/>
        </w:trPr>
        <w:tc>
          <w:tcPr>
            <w:tcW w:w="20" w:type="dxa"/>
            <w:vAlign w:val="bottom"/>
            <w:shd w:val="clear" w:color="auto" w:fill="CCEEFF"/>
          </w:tcPr>
          <w:p>
            <w:pPr>
              <w:spacing w:after="0"/>
              <w:rPr>
                <w:sz w:val="19"/>
                <w:szCs w:val="19"/>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 excluded</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Share-Based Compensation Plans</w:t>
      </w:r>
    </w:p>
    <w:p>
      <w:pPr>
        <w:spacing w:after="0" w:line="175" w:lineRule="exact"/>
        <w:rPr>
          <w:sz w:val="20"/>
          <w:szCs w:val="20"/>
          <w:color w:val="auto"/>
        </w:rPr>
      </w:pPr>
    </w:p>
    <w:p>
      <w:pPr>
        <w:jc w:val="both"/>
        <w:ind w:right="320"/>
        <w:spacing w:after="0" w:line="220" w:lineRule="exact"/>
        <w:rPr>
          <w:sz w:val="20"/>
          <w:szCs w:val="20"/>
          <w:color w:val="auto"/>
        </w:rPr>
      </w:pPr>
      <w:r>
        <w:rPr>
          <w:rFonts w:ascii="Arial" w:cs="Arial" w:eastAsia="Arial" w:hAnsi="Arial"/>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2020. The compensation expense and related income tax benefit recognized in our Consolidated Statements of Income and Comprehensive Income for share-based awards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Pension</w:t>
            </w: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 Instruments</w:t>
            </w:r>
          </w:p>
        </w:tc>
        <w:tc>
          <w:tcPr>
            <w:tcW w:w="360" w:type="dxa"/>
            <w:vAlign w:val="bottom"/>
          </w:tcPr>
          <w:p>
            <w:pPr>
              <w:spacing w:after="0"/>
              <w:rPr>
                <w:sz w:val="14"/>
                <w:szCs w:val="14"/>
                <w:color w:val="auto"/>
              </w:rPr>
            </w:pPr>
          </w:p>
        </w:tc>
        <w:tc>
          <w:tcPr>
            <w:tcW w:w="118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Translation Adjustment</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for the period</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Tax effect for the period</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During the first quarter of fiscal 2021, we repurchased 69.6 thousand shares of the Company’s common stock for $24.8 million, at an average purchase price of $356.61 per share. At January 31, 2021, $334.8 million remained authorized for repurchase under the program.</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under the program during the three months ended January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paid a semiannual dividend of approximately $1.5 million or 3 cents per share, on February 9, 2021, to stockholders of record on January 22, 2021. We paid a semiannual dividend of approximately $1.5 million or 3 cents per share, on February 10, 2020, to stockholders of record on January 23,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January 31, 2021 and October 31, 2020, the carrying value of cash and cash equivalents, accounts receivable, prepaid expense and other current assets, lines of credit, accounts payable and other current liabilities approximates fair value due to the short-term nature of such instruments and the ability to obtain financing on similar terms.</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carrying value of our revolving credit facility and term loans approximates fair value based on current market rates (Level 2). On April 6, 2020 the Company entered into six interest rate swap contracts which are used to hedge the Company’s exposure to changes in cash flows associated with its variable rate term loans and are designated as derivatives in a cash flow hedge. The payment streams are based on a total notional amount of $1.5 billion at the inception of the contracts. The interest rate swap contracts have maturities of seven years or less. On October 1, 2020, one of the six interest rate swap contracts matured. The outstanding contracts as of January 31, 2021 have a total notional amount of $1.4 billion.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9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84" w:lineRule="exact"/>
        <w:rPr>
          <w:sz w:val="20"/>
          <w:szCs w:val="20"/>
          <w:color w:val="auto"/>
        </w:rPr>
      </w:pPr>
    </w:p>
    <w:p>
      <w:pPr>
        <w:ind w:right="1340"/>
        <w:spacing w:after="0" w:line="465" w:lineRule="auto"/>
        <w:rPr>
          <w:sz w:val="20"/>
          <w:szCs w:val="20"/>
          <w:color w:val="auto"/>
        </w:rPr>
      </w:pPr>
      <w:r>
        <w:rPr>
          <w:rFonts w:ascii="Arial" w:cs="Arial" w:eastAsia="Arial" w:hAnsi="Arial"/>
          <w:sz w:val="18"/>
          <w:szCs w:val="18"/>
          <w:color w:val="auto"/>
        </w:rPr>
        <w:t xml:space="preserve">The Company did not have any cross currency swaps or foreign currency forward contracts as of January 31, 2021 and October 31, 2020. </w:t>
      </w:r>
      <w:r>
        <w:rPr>
          <w:rFonts w:ascii="Arial" w:cs="Arial" w:eastAsia="Arial" w:hAnsi="Arial"/>
          <w:sz w:val="18"/>
          <w:szCs w:val="18"/>
          <w:b w:val="1"/>
          <w:bCs w:val="1"/>
          <w:color w:val="auto"/>
        </w:rPr>
        <w:t>Nonrecurring fair value measurements</w:t>
      </w:r>
    </w:p>
    <w:p>
      <w:pPr>
        <w:spacing w:after="0" w:line="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fair value measures when determining assets and liabilities acquired in an acquisition as described in Note 2. Acquisitions which are considered a Level 3 measurement.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Employee Benefits</w:t>
      </w:r>
    </w:p>
    <w:p>
      <w:pPr>
        <w:spacing w:after="0" w:line="17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Cooper’s Retirement Income Plan (the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for the three months ended January 31, 2021 and 2020, reflect the following components of net periodic defined benefit costs: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933"/>
              <w:spacing w:after="0"/>
              <w:rPr>
                <w:sz w:val="20"/>
                <w:szCs w:val="20"/>
                <w:color w:val="auto"/>
              </w:rPr>
            </w:pPr>
            <w:r>
              <w:rPr>
                <w:rFonts w:ascii="Arial" w:cs="Arial" w:eastAsia="Arial" w:hAnsi="Arial"/>
                <w:sz w:val="18"/>
                <w:szCs w:val="18"/>
                <w:color w:val="auto"/>
                <w:w w:val="95"/>
              </w:rPr>
              <w:t>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87"/>
              </w:rPr>
              <w:t>3.5</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tcPr>
          <w:p>
            <w:pPr>
              <w:spacing w:after="0"/>
              <w:rPr>
                <w:sz w:val="19"/>
                <w:szCs w:val="19"/>
                <w:color w:val="auto"/>
              </w:rPr>
            </w:pPr>
          </w:p>
        </w:tc>
        <w:tc>
          <w:tcPr>
            <w:tcW w:w="1380" w:type="dxa"/>
            <w:vAlign w:val="bottom"/>
          </w:tcPr>
          <w:p>
            <w:pPr>
              <w:jc w:val="center"/>
              <w:ind w:left="933"/>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center"/>
              <w:ind w:left="913"/>
              <w:spacing w:after="0"/>
              <w:rPr>
                <w:sz w:val="20"/>
                <w:szCs w:val="20"/>
                <w:color w:val="auto"/>
              </w:rPr>
            </w:pPr>
            <w:r>
              <w:rPr>
                <w:rFonts w:ascii="Arial" w:cs="Arial" w:eastAsia="Arial" w:hAnsi="Arial"/>
                <w:sz w:val="18"/>
                <w:szCs w:val="18"/>
                <w:color w:val="auto"/>
                <w:w w:val="87"/>
              </w:rPr>
              <w:t>1.2</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91"/>
              </w:rPr>
              <w:t>(3.1)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7"/>
              </w:rPr>
              <w:t>(2.7)</w:t>
            </w:r>
          </w:p>
        </w:tc>
      </w:tr>
      <w:tr>
        <w:trPr>
          <w:trHeight w:val="229"/>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actuarial gain</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33"/>
              <w:spacing w:after="0"/>
              <w:rPr>
                <w:sz w:val="20"/>
                <w:szCs w:val="20"/>
                <w:color w:val="auto"/>
              </w:rPr>
            </w:pPr>
            <w:r>
              <w:rPr>
                <w:rFonts w:ascii="Arial" w:cs="Arial" w:eastAsia="Arial" w:hAnsi="Arial"/>
                <w:sz w:val="18"/>
                <w:szCs w:val="18"/>
                <w:color w:val="auto"/>
                <w:w w:val="95"/>
              </w:rPr>
              <w:t>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87"/>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defined benefit plan cost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933"/>
              <w:spacing w:after="0"/>
              <w:rPr>
                <w:sz w:val="20"/>
                <w:szCs w:val="20"/>
                <w:color w:val="auto"/>
              </w:rPr>
            </w:pPr>
            <w:r>
              <w:rPr>
                <w:rFonts w:ascii="Arial" w:cs="Arial" w:eastAsia="Arial" w:hAnsi="Arial"/>
                <w:sz w:val="18"/>
                <w:szCs w:val="18"/>
                <w:color w:val="auto"/>
                <w:w w:val="95"/>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913"/>
              <w:spacing w:after="0"/>
              <w:rPr>
                <w:sz w:val="20"/>
                <w:szCs w:val="20"/>
                <w:color w:val="auto"/>
              </w:rPr>
            </w:pPr>
            <w:r>
              <w:rPr>
                <w:rFonts w:ascii="Arial" w:cs="Arial" w:eastAsia="Arial" w:hAnsi="Arial"/>
                <w:sz w:val="18"/>
                <w:szCs w:val="18"/>
                <w:color w:val="auto"/>
                <w:w w:val="87"/>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did not contribute to the Plan in the first three months of fiscal 2021 and due to COVID-19 we are uncertain of the amount we will contribute during the remainder of the year. We did not contribute to the Plan in the first three months of fiscal 2020. The expected rate of return on Plan assets for determining net periodic benefit plan cost is 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Contingencies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81" w:lineRule="exact"/>
        <w:rPr>
          <w:sz w:val="20"/>
          <w:szCs w:val="20"/>
          <w:color w:val="auto"/>
        </w:rPr>
      </w:pPr>
    </w:p>
    <w:p>
      <w:pPr>
        <w:ind w:left="660" w:right="100" w:hanging="328"/>
        <w:spacing w:after="0" w:line="286" w:lineRule="auto"/>
        <w:tabs>
          <w:tab w:leader="none" w:pos="65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w:t>
      </w:r>
      <w:r>
        <w:rPr>
          <w:rFonts w:ascii="Arial" w:cs="Arial" w:eastAsia="Arial" w:hAnsi="Arial"/>
          <w:sz w:val="17"/>
          <w:szCs w:val="17"/>
          <w:i w:val="1"/>
          <w:iCs w:val="1"/>
          <w:color w:val="auto"/>
        </w:rPr>
        <w:t xml:space="preserve"> </w:t>
      </w:r>
      <w:r>
        <w:rPr>
          <w:rFonts w:ascii="Arial" w:cs="Arial" w:eastAsia="Arial" w:hAnsi="Arial"/>
          <w:sz w:val="17"/>
          <w:szCs w:val="17"/>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1" w:lineRule="exact"/>
        <w:rPr>
          <w:rFonts w:ascii="Arial" w:cs="Arial" w:eastAsia="Arial" w:hAnsi="Arial"/>
          <w:sz w:val="17"/>
          <w:szCs w:val="17"/>
          <w:i w:val="1"/>
          <w:iCs w:val="1"/>
          <w:color w:val="auto"/>
        </w:rPr>
      </w:pPr>
    </w:p>
    <w:p>
      <w:pPr>
        <w:ind w:left="660" w:right="580" w:hanging="328"/>
        <w:spacing w:after="0" w:line="277"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CooperSurgical. </w:t>
      </w:r>
      <w:r>
        <w:rPr>
          <w:rFonts w:ascii="Arial" w:cs="Arial" w:eastAsia="Arial" w:hAnsi="Arial"/>
          <w:sz w:val="18"/>
          <w:szCs w:val="18"/>
          <w:color w:val="auto"/>
        </w:rPr>
        <w:t>Competes in the general health care market with a focus on advancing the health of women, babies and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and fertility.</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Total identifiable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 net sales by category: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Toric lens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Multifocal lens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Single-use sphere lens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 single-use sphere, other</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CooperVision net sales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CooperSurgical net sales by category:</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Office and surgical products</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Fertility</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CooperSurgical net sales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net sales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CooperVision</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8"/>
                <w:szCs w:val="18"/>
                <w:color w:val="auto"/>
              </w:rPr>
              <w:t>CooperSurgical</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Total operating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120"/>
              <w:spacing w:after="0"/>
              <w:rPr>
                <w:sz w:val="20"/>
                <w:szCs w:val="20"/>
                <w:color w:val="auto"/>
              </w:rPr>
            </w:pPr>
            <w:r>
              <w:rPr>
                <w:rFonts w:ascii="Arial" w:cs="Arial" w:eastAsia="Arial" w:hAnsi="Arial"/>
                <w:sz w:val="14"/>
                <w:szCs w:val="14"/>
                <w:b w:val="1"/>
                <w:bCs w:val="1"/>
                <w:color w:val="auto"/>
              </w:rPr>
              <w:t>January 31, 2021</w:t>
            </w:r>
          </w:p>
        </w:tc>
        <w:tc>
          <w:tcPr>
            <w:tcW w:w="240" w:type="dxa"/>
            <w:vAlign w:val="bottom"/>
          </w:tcPr>
          <w:p>
            <w:pPr>
              <w:spacing w:after="0"/>
              <w:rPr>
                <w:sz w:val="24"/>
                <w:szCs w:val="2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identifiable assets:</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6,423.2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4,236.3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Geographic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56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 to unaffiliated customers by country of domicile:</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313.1</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293.5</w:t>
            </w: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4"/>
                <w:szCs w:val="2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 2021</w:t>
            </w:r>
          </w:p>
        </w:tc>
        <w:tc>
          <w:tcPr>
            <w:tcW w:w="240" w:type="dxa"/>
            <w:vAlign w:val="bottom"/>
          </w:tcPr>
          <w:p>
            <w:pPr>
              <w:spacing w:after="0"/>
              <w:rPr>
                <w:sz w:val="24"/>
                <w:szCs w:val="24"/>
                <w:color w:val="auto"/>
              </w:rPr>
            </w:pPr>
          </w:p>
        </w:tc>
        <w:tc>
          <w:tcPr>
            <w:tcW w:w="1560" w:type="dxa"/>
            <w:vAlign w:val="bottom"/>
          </w:tcPr>
          <w:p>
            <w:pPr>
              <w:jc w:val="right"/>
              <w:ind w:right="294"/>
              <w:spacing w:after="0"/>
              <w:rPr>
                <w:sz w:val="20"/>
                <w:szCs w:val="20"/>
                <w:color w:val="auto"/>
              </w:rPr>
            </w:pPr>
            <w:r>
              <w:rPr>
                <w:rFonts w:ascii="Arial" w:cs="Arial" w:eastAsia="Arial" w:hAnsi="Arial"/>
                <w:sz w:val="14"/>
                <w:szCs w:val="14"/>
                <w:b w:val="1"/>
                <w:bCs w:val="1"/>
                <w:color w:val="auto"/>
              </w:rPr>
              <w:t>October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plant and equipment by country of domicile:</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724.2</w:t>
            </w:r>
          </w:p>
        </w:tc>
        <w:tc>
          <w:tcPr>
            <w:tcW w:w="1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30"/>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29"/>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part of the Company’s overall risk management practices the Company enters into financial derivatives, interest rate swaps designated as cash flow hedges, to hedge the floating interest rate on its debt.</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0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21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31, 2021 and October 31, 2020, the Company had the following outstanding derivatives designated as hedging instruments: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Number of Instruments</w:t>
            </w: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4"/>
                <w:szCs w:val="14"/>
                <w:b w:val="1"/>
                <w:bCs w:val="1"/>
                <w:color w:val="auto"/>
              </w:rPr>
              <w:t>Notional Value</w:t>
            </w:r>
          </w:p>
        </w:tc>
      </w:t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62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These contracts have maturities of seven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pre-tax impact of loss on derivatives designated for hedge accounting recognized in other comprehensive income (loss) was $11.2 million ($8.5 million, net of tax) as of January 31, 2021. The Company did not have any derivatives designated as hedging instruments for the period ended January 31,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Derivative Liabilities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31, 2021</w:t>
            </w:r>
          </w:p>
        </w:tc>
        <w:tc>
          <w:tcPr>
            <w:tcW w:w="180" w:type="dxa"/>
            <w:vAlign w:val="bottom"/>
          </w:tcPr>
          <w:p>
            <w:pPr>
              <w:spacing w:after="0"/>
              <w:rPr>
                <w:sz w:val="16"/>
                <w:szCs w:val="16"/>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October 31, 2020</w:t>
            </w: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9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340" w:type="dxa"/>
            <w:vAlign w:val="bottom"/>
            <w:tcBorders>
              <w:top w:val="single" w:sz="8" w:color="auto"/>
            </w:tcBorders>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Interest rate swap contracts</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3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23"/>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recognized with respect to our derivative instruments within the accompanying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and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Arial" w:cs="Arial" w:eastAsia="Arial" w:hAnsi="Arial"/>
                <w:sz w:val="14"/>
                <w:szCs w:val="14"/>
                <w:b w:val="1"/>
                <w:bCs w:val="1"/>
                <w:color w:val="auto"/>
              </w:rPr>
              <w:t>Three Months Ended January 31,</w:t>
            </w:r>
          </w:p>
        </w:tc>
        <w:tc>
          <w:tcPr>
            <w:tcW w:w="1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155"/>
        </w:trPr>
        <w:tc>
          <w:tcPr>
            <w:tcW w:w="2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Derivatives designated as cash flow hedges</w:t>
            </w:r>
          </w:p>
        </w:tc>
        <w:tc>
          <w:tcPr>
            <w:tcW w:w="144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Location of Loss Recognized on Derivatives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30"/>
        </w:trPr>
        <w:tc>
          <w:tcPr>
            <w:tcW w:w="20" w:type="dxa"/>
            <w:vAlign w:val="bottom"/>
            <w:tcBorders>
              <w:top w:val="single" w:sz="8" w:color="CCEEFF"/>
            </w:tcBorders>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rate swap contracts</w:t>
            </w:r>
          </w:p>
        </w:tc>
        <w:tc>
          <w:tcPr>
            <w:tcW w:w="1440" w:type="dxa"/>
            <w:vAlign w:val="bottom"/>
            <w:tcBorders>
              <w:top w:val="single" w:sz="8" w:color="CCEEFF"/>
            </w:tcBorders>
          </w:tcPr>
          <w:p>
            <w:pPr>
              <w:spacing w:after="0"/>
              <w:rPr>
                <w:sz w:val="20"/>
                <w:szCs w:val="20"/>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expects that $7.1 million recorded as a component of accumulated other comprehensive income (loss) will be realized in the statements of earnings over the next twelve months and the amount will vary depending on prevailing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229"/>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gain / (loss) as of October 31, 2020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Amount recognized in other comprehensive income on interest rate swap contracts, gross (net of tax of $0.9 million)</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reclassified from other comprehensive income into earnings, gross (net of tax of $0.5 million)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Ending balance gain / (loss) as of January 31, 2021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Events</w:t>
      </w:r>
    </w:p>
    <w:p>
      <w:pPr>
        <w:spacing w:after="0" w:line="243"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color w:val="auto"/>
        </w:rPr>
        <w:t>On February 2, 2021, CooperVision entered into a stock purchase agreement to sell 50% of the equity interest in a wholly-owned subsidiary that was acquired by CooperVision on January 19, 2021. Refer to Note 2. Acquisitions for more information. The closing of this transaction is subject to certain regulatory approvals. The Company intends to operate the previously wholly-owned subsidiary as a joint venture with the purchaser of the 50% interest once the regulatory approvals are received and the transaction is closed.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5" w:lineRule="exact"/>
        <w:rPr>
          <w:sz w:val="20"/>
          <w:szCs w:val="20"/>
          <w:color w:val="auto"/>
        </w:rPr>
      </w:pPr>
    </w:p>
    <w:p>
      <w:pPr>
        <w:ind w:left="660" w:right="140" w:hanging="652"/>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69" w:lineRule="exact"/>
        <w:rPr>
          <w:rFonts w:ascii="Arial" w:cs="Arial" w:eastAsia="Arial" w:hAnsi="Arial"/>
          <w:sz w:val="16"/>
          <w:szCs w:val="16"/>
          <w:color w:val="auto"/>
        </w:rPr>
      </w:pPr>
    </w:p>
    <w:p>
      <w:pPr>
        <w:ind w:left="660" w:right="20" w:hanging="652"/>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32" w:lineRule="exact"/>
        <w:rPr>
          <w:rFonts w:ascii="Arial" w:cs="Arial" w:eastAsia="Arial" w:hAnsi="Arial"/>
          <w:sz w:val="18"/>
          <w:szCs w:val="18"/>
          <w:color w:val="auto"/>
        </w:rPr>
      </w:pPr>
    </w:p>
    <w:p>
      <w:pPr>
        <w:jc w:val="both"/>
        <w:ind w:left="660" w:right="44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global political and economic conditions, and related uncertainty caused by the United Kingdom’s withdrawal from the European Union (EU) and its potential impact on, among other things, the movement of goods and materials in our supply chain, additional regulatory approvals and requirements, and increased tariffs and duties.</w:t>
      </w:r>
    </w:p>
    <w:p>
      <w:pPr>
        <w:spacing w:after="0" w:line="129" w:lineRule="exact"/>
        <w:rPr>
          <w:rFonts w:ascii="Arial" w:cs="Arial" w:eastAsia="Arial" w:hAnsi="Arial"/>
          <w:sz w:val="18"/>
          <w:szCs w:val="18"/>
          <w:color w:val="auto"/>
        </w:rPr>
      </w:pPr>
    </w:p>
    <w:p>
      <w:pPr>
        <w:ind w:left="660" w:right="220" w:hanging="652"/>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laws or their interpretation, changes in statutory tax rates, and adverse outcomes in tax disputes including but not limited to, the U.S., the United Kingdom and other countries may affect our taxation of earnings recognized in foreign jurisdictions, result in unexpected tax liabilities, and/or negatively impact our effective tax rate.</w:t>
      </w:r>
    </w:p>
    <w:p>
      <w:pPr>
        <w:spacing w:after="0" w:line="129" w:lineRule="exact"/>
        <w:rPr>
          <w:rFonts w:ascii="Arial" w:cs="Arial" w:eastAsia="Arial" w:hAnsi="Arial"/>
          <w:sz w:val="18"/>
          <w:szCs w:val="18"/>
          <w:color w:val="auto"/>
        </w:rPr>
      </w:pPr>
    </w:p>
    <w:p>
      <w:pPr>
        <w:ind w:left="660" w:right="18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16" w:lineRule="exact"/>
        <w:rPr>
          <w:rFonts w:ascii="Arial" w:cs="Arial" w:eastAsia="Arial" w:hAnsi="Arial"/>
          <w:sz w:val="18"/>
          <w:szCs w:val="18"/>
          <w:color w:val="auto"/>
        </w:rPr>
      </w:pPr>
    </w:p>
    <w:p>
      <w:pPr>
        <w:ind w:left="660" w:right="8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hanging="652"/>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8" w:lineRule="exact"/>
        <w:rPr>
          <w:rFonts w:ascii="Arial" w:cs="Arial" w:eastAsia="Arial" w:hAnsi="Arial"/>
          <w:sz w:val="18"/>
          <w:szCs w:val="18"/>
          <w:color w:val="auto"/>
        </w:rPr>
      </w:pPr>
    </w:p>
    <w:p>
      <w:pPr>
        <w:ind w:left="660" w:right="20" w:hanging="652"/>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personal information, such as HIPAA and the California Consumer Privacy</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Act (CCPA) in the U.S. and the General Data Protection Regulation requirements in Europe, including but not limited to those resulting from data security breaches.</w:t>
      </w:r>
    </w:p>
    <w:p>
      <w:pPr>
        <w:spacing w:after="0" w:line="116" w:lineRule="exact"/>
        <w:rPr>
          <w:sz w:val="20"/>
          <w:szCs w:val="20"/>
          <w:color w:val="auto"/>
        </w:rPr>
      </w:pPr>
    </w:p>
    <w:p>
      <w:pPr>
        <w:ind w:left="660" w:right="8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9" w:lineRule="exact"/>
        <w:rPr>
          <w:rFonts w:ascii="Arial" w:cs="Arial" w:eastAsia="Arial" w:hAnsi="Arial"/>
          <w:sz w:val="18"/>
          <w:szCs w:val="18"/>
          <w:color w:val="auto"/>
        </w:rPr>
      </w:pPr>
    </w:p>
    <w:p>
      <w:pPr>
        <w:ind w:left="660" w:right="12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9"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consolidation of large customers globally through mergers or acquisitions resulting in a larger proportion or concentration of our business being derived from fewer customers.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32" w:lineRule="exact"/>
        <w:rPr>
          <w:rFonts w:ascii="Arial" w:cs="Arial" w:eastAsia="Arial" w:hAnsi="Arial"/>
          <w:sz w:val="18"/>
          <w:szCs w:val="18"/>
          <w:color w:val="auto"/>
        </w:rPr>
      </w:pPr>
    </w:p>
    <w:p>
      <w:pPr>
        <w:ind w:left="660" w:right="56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36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receive, or delays in receiving,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94" w:lineRule="exact"/>
        <w:rPr>
          <w:rFonts w:ascii="Arial" w:cs="Arial" w:eastAsia="Arial" w:hAnsi="Arial"/>
          <w:sz w:val="16"/>
          <w:szCs w:val="16"/>
          <w:color w:val="auto"/>
        </w:rPr>
      </w:pPr>
    </w:p>
    <w:p>
      <w:pPr>
        <w:ind w:left="660" w:right="320" w:hanging="652"/>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and costs incurred from changes in accounting standards and policies.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risks, including increasing environmental legislation and the broader impacts of climate change.</w:t>
      </w:r>
    </w:p>
    <w:p>
      <w:pPr>
        <w:spacing w:after="0" w:line="171" w:lineRule="exact"/>
        <w:rPr>
          <w:rFonts w:ascii="Arial" w:cs="Arial" w:eastAsia="Arial" w:hAnsi="Arial"/>
          <w:sz w:val="18"/>
          <w:szCs w:val="18"/>
          <w:color w:val="auto"/>
        </w:rPr>
      </w:pPr>
    </w:p>
    <w:p>
      <w:pPr>
        <w:ind w:left="660" w:right="40" w:hanging="652"/>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2020, as such Risk Factors may be updated in quarterly filings including updates made in this filing.</w:t>
      </w:r>
    </w:p>
    <w:p>
      <w:pPr>
        <w:spacing w:after="0" w:line="13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this section, we discuss the results of our operations for the first quarter of fiscal 2021 ended January 31, 2021 and compare them with the same period of fiscal 2020.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succeeding sections of Management’s Discussion and Analysis (MD&amp;A) may include certain financial measures that are not defined by accounting principles generally accepted in the United States (GAAP). These measures, which are referred to as non-GAAP measures, are listed below:</w:t>
      </w:r>
    </w:p>
    <w:p>
      <w:pPr>
        <w:spacing w:after="0" w:line="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Free cash flow is calculated as net cash provided by operating activities less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Constant currency is defined as excluding the effect of foreign currency fluctuations.</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GAAP.</w:t>
      </w:r>
    </w:p>
    <w:p>
      <w:pPr>
        <w:spacing w:after="0" w:line="211"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Considerations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2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the COVID-19 pandemic. As a result, we instituted an inventory control project to reduce buildup of excess inventory. Our manufacturing and distribution operations have responded to the impacts related to the COVID-19 pandemic,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duration and severity of the pandemic outbreak and any subsequent waves of additional outbreaks,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risks associated with the COVID-19 pandemic, refer to Part II, Item 1A, "Risk Factors"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46070" cy="2417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of $450.7 million, up 6% from $426.5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$133.4 million, up 20% from $111.1 million in the prior year period</w:t>
      </w:r>
    </w:p>
    <w:p>
      <w:pPr>
        <w:spacing w:after="0" w:line="171" w:lineRule="exact"/>
        <w:rPr>
          <w:rFonts w:ascii="Arial" w:cs="Arial" w:eastAsia="Arial" w:hAnsi="Arial"/>
          <w:sz w:val="18"/>
          <w:szCs w:val="18"/>
          <w:color w:val="auto"/>
        </w:rPr>
      </w:pPr>
    </w:p>
    <w:p>
      <w:pPr>
        <w:ind w:left="660" w:right="10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of $42.31, up 2225% from $1.82 per share in the prior year period, primarily due to income tax benefit related to intra-group transfer of intellectual property. Refer to Note 6. Income Taxes for further information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provided by operations of $147.7 million, compared to $129.7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 debt concerns, the uncertainty following the United Kingdom's withdrawal from the EU, changes to existing regulations and new regulations, global trade barriers including additional tariffs and the trend of consolidations within the health care industry could impact our current performance and continue to represent a risk to our future performance.</w:t>
      </w:r>
    </w:p>
    <w:p>
      <w:pPr>
        <w:spacing w:after="0" w:line="13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i w:val="1"/>
          <w:iCs w:val="1"/>
          <w:color w:val="auto"/>
        </w:rPr>
        <w:t xml:space="preserve">CooperVision </w:t>
      </w:r>
      <w:r>
        <w:rPr>
          <w:rFonts w:ascii="Arial" w:cs="Arial" w:eastAsia="Arial" w:hAnsi="Arial"/>
          <w:sz w:val="18"/>
          <w:szCs w:val="18"/>
          <w:color w:val="auto"/>
        </w:rPr>
        <w:t>- We compete in the worldwide contact lens market with our spherical, toric, multifocal, toric multifocal and myopia management contact</w:t>
      </w:r>
      <w:r>
        <w:rPr>
          <w:rFonts w:ascii="Arial" w:cs="Arial" w:eastAsia="Arial" w:hAnsi="Arial"/>
          <w:sz w:val="18"/>
          <w:szCs w:val="18"/>
          <w:i w:val="1"/>
          <w:iCs w:val="1"/>
          <w:color w:val="auto"/>
        </w:rPr>
        <w:t xml:space="preserve"> </w:t>
      </w:r>
      <w:r>
        <w:rPr>
          <w:rFonts w:ascii="Arial" w:cs="Arial" w:eastAsia="Arial" w:hAnsi="Arial"/>
          <w:sz w:val="18"/>
          <w:szCs w:val="18"/>
          <w:color w:val="auto"/>
        </w:rPr>
        <w:t>lenses offered in a variety of materials including using silicone hydrogel Aquaform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PC Technology™ and ActivControl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 and scleral lenses. In November 2019, CooperVision received United States Food and Drug Administration (FDA) approval for its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1 day lens, which is the first and only FDA-approved product indicated to slow the progression of myopia in children with</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entity during the three months ended January 31, 2021:</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privately-held medical device company on January 19, 2021</w:t>
      </w:r>
    </w:p>
    <w:p>
      <w:pPr>
        <w:spacing w:after="0" w:line="15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73"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w:t>
      </w:r>
      <w:r>
        <w:rPr>
          <w:rFonts w:ascii="Arial" w:cs="Arial" w:eastAsia="Arial" w:hAnsi="Arial"/>
          <w:sz w:val="16"/>
          <w:szCs w:val="16"/>
          <w:i w:val="1"/>
          <w:iCs w:val="1"/>
          <w:color w:val="auto"/>
        </w:rPr>
        <w:t xml:space="preserve"> </w:t>
      </w:r>
      <w:r>
        <w:rPr>
          <w:rFonts w:ascii="Arial" w:cs="Arial" w:eastAsia="Arial" w:hAnsi="Arial"/>
          <w:sz w:val="16"/>
          <w:szCs w:val="16"/>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entity during the three months ended January 31, 2021:</w:t>
      </w:r>
    </w:p>
    <w:p>
      <w:pPr>
        <w:spacing w:after="0" w:line="171" w:lineRule="exact"/>
        <w:rPr>
          <w:sz w:val="20"/>
          <w:szCs w:val="20"/>
          <w:color w:val="auto"/>
        </w:rPr>
      </w:pPr>
    </w:p>
    <w:p>
      <w:pPr>
        <w:ind w:right="2780" w:firstLine="332"/>
        <w:spacing w:after="0" w:line="438" w:lineRule="auto"/>
        <w:tabs>
          <w:tab w:leader="none" w:pos="6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in vitro fertilization (IVF) cryo-storage software solutions company on December 31, 2020 CooperSurgical acquired the following entity during the three months ended January 31, 2020:</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privately-held distributor of IVF medical devices and systems on December 13, 2019</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January 31, 2021, we had $119.1 million in unrestricted cash, primarily held outside the United States, and $724.6 million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2020 Credit Agreement. The $850.0 million term loan entered into on April 1, 2020, and the $350.0 million term loan entered into on October 16, 2020, remain outstanding as of January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from LIBOR</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United Kingdom’s Financial Conduct Authority, which regulates the London Interbank Offered Rate (LIBOR), announced in July 2017 that it will no longer persuade or require banks to submit rates for LIBOR after 2021. Further, in March 2020, the Financial Accounting Standards Board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This guidance provides optional expedients and exceptions for applying GAAP to contracts, hedging relationships, and other transactions affected by reference rate reform if certain criteria are met. The Company has material contracts that are indexed to LIBOR and is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Net Sales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7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2"/>
              </w:rPr>
              <w:t>Percentage of Net Sales</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 vs 2020 % Change in</w:t>
            </w:r>
          </w:p>
        </w:tc>
      </w:tr>
      <w:tr>
        <w:trPr>
          <w:trHeight w:val="201"/>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Periods Ended January 31,</w:t>
            </w:r>
          </w:p>
        </w:tc>
        <w:tc>
          <w:tcPr>
            <w:tcW w:w="1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Absolute Values</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186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40 %</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2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Growth by Business Unit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Periods Ended January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Increase</w:t>
            </w:r>
          </w:p>
        </w:tc>
        <w:tc>
          <w:tcPr>
            <w:tcW w:w="22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 vs 2020 % Change</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CooperVision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CooperSurgical</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 and</w:t>
      </w:r>
    </w:p>
    <w:p>
      <w:pPr>
        <w:spacing w:after="0" w:line="171" w:lineRule="exact"/>
        <w:rPr>
          <w:rFonts w:ascii="Arial" w:cs="Arial" w:eastAsia="Arial" w:hAnsi="Arial"/>
          <w:sz w:val="18"/>
          <w:szCs w:val="18"/>
          <w:color w:val="auto"/>
        </w:rPr>
      </w:pPr>
    </w:p>
    <w:p>
      <w:pPr>
        <w:ind w:left="340" w:right="520" w:hanging="332"/>
        <w:spacing w:after="0" w:line="342" w:lineRule="auto"/>
        <w:tabs>
          <w:tab w:leader="none" w:pos="33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wp:posOffset>
            </wp:positionV>
            <wp:extent cx="5143500" cy="2451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4"/>
                <w:szCs w:val="14"/>
                <w:color w:val="auto"/>
              </w:rPr>
            </w:pPr>
          </w:p>
        </w:tc>
        <w:tc>
          <w:tcPr>
            <w:tcW w:w="136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vMerge w:val="restart"/>
          </w:tcPr>
          <w:p>
            <w:pPr>
              <w:jc w:val="right"/>
              <w:ind w:right="773"/>
              <w:spacing w:after="0"/>
              <w:rPr>
                <w:sz w:val="20"/>
                <w:szCs w:val="20"/>
                <w:color w:val="auto"/>
              </w:rPr>
            </w:pPr>
            <w:r>
              <w:rPr>
                <w:rFonts w:ascii="Arial" w:cs="Arial" w:eastAsia="Arial" w:hAnsi="Arial"/>
                <w:sz w:val="14"/>
                <w:szCs w:val="14"/>
                <w:b w:val="1"/>
                <w:bCs w:val="1"/>
                <w:color w:val="auto"/>
              </w:rPr>
              <w:t>2020</w:t>
            </w:r>
          </w:p>
        </w:tc>
        <w:tc>
          <w:tcPr>
            <w:tcW w:w="22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8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155.1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51.8</w:t>
            </w:r>
          </w:p>
        </w:tc>
        <w:tc>
          <w:tcPr>
            <w:tcW w:w="22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138.1</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140.2</w:t>
            </w:r>
          </w:p>
        </w:tc>
        <w:tc>
          <w:tcPr>
            <w:tcW w:w="2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485.2</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2021:</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Biofinity and MyDay.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Single-use sphere lenses growth was primarily attributed to MyDay lenses.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products primarily include lens care which represented approximately 2% of net sales in the first quarter of both fiscal 2021 and 2020.</w:t>
      </w:r>
    </w:p>
    <w:p>
      <w:pPr>
        <w:spacing w:after="0" w:line="194"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silicone hydrogel products increased by 9%, representing 77% of net sales in the three months ended January 31, 2021 compared to 73% in the three months ended January 31, 2020, partially offset by declines in legacy hydrogel products.</w:t>
      </w:r>
    </w:p>
    <w:p>
      <w:pPr>
        <w:spacing w:after="0" w:line="116" w:lineRule="exact"/>
        <w:rPr>
          <w:rFonts w:ascii="Arial" w:cs="Arial" w:eastAsia="Arial" w:hAnsi="Arial"/>
          <w:sz w:val="18"/>
          <w:szCs w:val="18"/>
          <w:color w:val="auto"/>
        </w:rPr>
      </w:pPr>
    </w:p>
    <w:p>
      <w:pPr>
        <w:ind w:left="660" w:right="260" w:hanging="328"/>
        <w:spacing w:after="0" w:line="342"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Foreign exchange rates positively impacted sales by approximately $14.8 million in the first quarter of fiscal 2021 and had a negative impact of $2.1 million in the prior year period. In the first quarter of fiscal 2021, net sales increased 1% in constant currency over the prior year period.</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was primarily driven by an increase in the volume of lenses sold. Average realized prices by product did not materially influence sales.</w:t>
      </w:r>
    </w:p>
    <w:p>
      <w:pPr>
        <w:spacing w:after="0" w:line="116"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optical retailers and healthcare centers continue to restrict access, and social distancing measures continue.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in three primary regions: the Americas, EMEA (Europe, Middle East and Africa) and Asia Pacific.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 vs 2020 % Change</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EMEA</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187.0</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52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1"/>
        </w:trPr>
        <w:tc>
          <w:tcPr>
            <w:tcW w:w="5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CooperVision's growth in net sales across all regions was primarily attributable to market gains of silicone hydrogel contact lenses and favorable foreign currency impacts, partially offset by declines in legacy hydrogel products. Refer to CooperVision Net Sales by Category above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117475</wp:posOffset>
            </wp:positionV>
            <wp:extent cx="5657850" cy="2486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4"/>
                <w:szCs w:val="14"/>
                <w:color w:val="auto"/>
              </w:rPr>
            </w:pPr>
          </w:p>
        </w:tc>
        <w:tc>
          <w:tcPr>
            <w:tcW w:w="1360" w:type="dxa"/>
            <w:vAlign w:val="bottom"/>
            <w:vMerge w:val="restart"/>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2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2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auto"/>
            </w:tcBorders>
          </w:tcPr>
          <w:p>
            <w:pPr>
              <w:spacing w:after="0"/>
              <w:rPr>
                <w:sz w:val="19"/>
                <w:szCs w:val="19"/>
                <w:color w:val="auto"/>
              </w:rPr>
            </w:pP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auto"/>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2021:</w:t>
      </w:r>
    </w:p>
    <w:p>
      <w:pPr>
        <w:spacing w:after="0" w:line="166" w:lineRule="exact"/>
        <w:rPr>
          <w:sz w:val="20"/>
          <w:szCs w:val="20"/>
          <w:color w:val="auto"/>
        </w:rPr>
      </w:pPr>
    </w:p>
    <w:p>
      <w:pPr>
        <w:ind w:left="660" w:right="200" w:hanging="328"/>
        <w:spacing w:after="0" w:line="219"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Office and surgical products increased compared to the prior year period mainly due to an increase in PARAGARD</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sales compared to the prior year period. Further, there was an increase from other surgical products such as Uterine Manipulators, Point-of-Care products and INSORB</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surgical stapler. This was partially offset by a reduction in revenue from Surgical Retractors and Closure products.</w:t>
      </w:r>
    </w:p>
    <w:p>
      <w:pPr>
        <w:spacing w:after="0" w:line="134" w:lineRule="exact"/>
        <w:rPr>
          <w:rFonts w:ascii="Arial" w:cs="Arial" w:eastAsia="Arial" w:hAnsi="Arial"/>
          <w:sz w:val="17"/>
          <w:szCs w:val="17"/>
          <w:color w:val="auto"/>
        </w:rPr>
      </w:pPr>
    </w:p>
    <w:p>
      <w:pPr>
        <w:ind w:left="660" w:right="5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 mainly due to an increase in revenue from IVF consumables, preimplantation genetic testing and acquired product Embryo Options.</w:t>
      </w:r>
    </w:p>
    <w:p>
      <w:pPr>
        <w:spacing w:after="0" w:line="116"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Foreign exchange rates positively impacted sales by approximately $1.0 million in the first quarter of fiscal 2021, compared to a negative impact of $0.7 million in the prior year period. In the first quarter of fiscal 2021, net sales increased 7% in constant currency over the prior year period.</w:t>
      </w:r>
    </w:p>
    <w:p>
      <w:pPr>
        <w:spacing w:after="0" w:line="69" w:lineRule="exact"/>
        <w:rPr>
          <w:rFonts w:ascii="Arial" w:cs="Arial" w:eastAsia="Arial" w:hAnsi="Arial"/>
          <w:sz w:val="16"/>
          <w:szCs w:val="16"/>
          <w:color w:val="auto"/>
        </w:rPr>
      </w:pPr>
    </w:p>
    <w:p>
      <w:pPr>
        <w:ind w:left="660" w:right="3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expect to continue seeing downward pressure and volatility in certain markets related to net sales if the COVID-19 pandemic continues, as hospitals and healthcare centers continue to restrict access, and social distancing measures continue.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margin remained relatively flat at 66% in both the first quarter of fiscal 2021 and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2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35 %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36 %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41 %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45 %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38 %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w w:val="92"/>
              </w:rPr>
              <w:t>40 %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CooperVision's SGA increased in the first quarter of fiscal 2021 compared to fiscal 2020 due to increases in distribution costs, general and administrative costs and advertising and marketing activities primarily related to MiSight, partially offset by lower travel expenses due to the COVID-19 pandemic. CooperVision's SGA in the first quarter of fiscal 2021 included $1.8 million of costs primarily related to acquisition and integration activities. CooperVision's SGA in the first quarter of fiscal 2020 included $0.7 million of costs primarily related to integration activities.</w:t>
      </w:r>
    </w:p>
    <w:p>
      <w:pPr>
        <w:spacing w:after="0" w:line="11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decrease in CooperSurgical's SGA in the first quarter of fiscal 2021 compared to fiscal 2020 was primarily due to lower advertising &amp; marketing costs and lower travel expenses due to the COVID-19 pandemic, partially offset by an increase in general and administrative costs. CooperSurgical's SGA in the first quarter of fiscal 2021 included $1.8 million of acquisition and integration expenses. CooperSurgical's SGA in the first quarter of fiscal 2020 included $6.1 million of integration expenses and European Medical Devices Regulation costs.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Corporate SGA decreased in the first quarter of fiscal 2021 compared to fiscal 2020 primarily due to savings from lower travel expenses due to the COVID-19 pandemic and timing of corporate projects.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14"/>
                <w:szCs w:val="14"/>
                <w:color w:val="auto"/>
              </w:rPr>
            </w:pPr>
          </w:p>
        </w:tc>
        <w:tc>
          <w:tcPr>
            <w:tcW w:w="9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1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January 31, 2021:</w:t>
      </w:r>
    </w:p>
    <w:p>
      <w:pPr>
        <w:spacing w:after="0" w:line="171" w:lineRule="exact"/>
        <w:rPr>
          <w:sz w:val="20"/>
          <w:szCs w:val="20"/>
          <w:color w:val="auto"/>
        </w:rPr>
      </w:pPr>
    </w:p>
    <w:p>
      <w:pPr>
        <w:ind w:left="660" w:right="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CooperVision's R&amp;D expense increased in the three months ended January 31, 2021 compared to fiscal 2020, mainly due to MiSight and timing of R&amp;D projects. As a percentage of sales, CooperVision's R&amp;D expense remained relatively flat. CooperVision's R&amp;D activities are primarily focused on the development of contact lenses, manufacturing technology and process enhancements.</w:t>
      </w:r>
    </w:p>
    <w:p>
      <w:pPr>
        <w:spacing w:after="0" w:line="129" w:lineRule="exact"/>
        <w:rPr>
          <w:rFonts w:ascii="Arial" w:cs="Arial" w:eastAsia="Arial" w:hAnsi="Arial"/>
          <w:sz w:val="18"/>
          <w:szCs w:val="18"/>
          <w:color w:val="auto"/>
        </w:rPr>
      </w:pPr>
    </w:p>
    <w:p>
      <w:pPr>
        <w:ind w:left="660" w:right="18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CooperSurgical's R&amp;D expense decreased in the three months ended January 31, 2021 compared to fiscal 2020, mainly due to timing of R&amp;D projects and changes in headcount. CooperSurgical has not paused research programs during the COVID-19 pandemic and has maintained its spend on innovations and increased its spend on key regulatory investment areas to support our long-term objectives. As a percentage of sales, CooperSurgical's R&amp;D expense remained relatively flat. CooperSurgical's R&amp;D activities include diagnostics, IVF product development and the design and upgrade of surgical procedure devices.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300" w:type="dxa"/>
            <w:vAlign w:val="bottom"/>
          </w:tcPr>
          <w:p>
            <w:pPr>
              <w:spacing w:after="0"/>
              <w:rPr>
                <w:sz w:val="14"/>
                <w:szCs w:val="14"/>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CooperVision's and CooperSurgical's amortization expense remained relatively flat in the first quarter of fiscal 2021 compared to fiscal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8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Net Sales</w:t>
            </w:r>
          </w:p>
        </w:tc>
        <w:tc>
          <w:tcPr>
            <w:tcW w:w="21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CooperVision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2"/>
              </w:rPr>
              <w:t>25 %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CooperSurgical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10 %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92"/>
              </w:rPr>
              <w:t>20 %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CooperVision's operating income remained relatively flat as a percentage of net sales and in absolute dollars in the three months ended January 31, 2021 compared to the prior year period.</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CooperSurgical's operating income increased as a percentage of net sales and in absolute dollars in the first quarter of fiscal 2021 compared to the prior year period primarily due to an increase in net sales and a decrease in SGA and lower R&amp;D expenses.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Corporate operating loss decreased in the three months ended January 31, 2021 compared to the prior year period, primarily due to lower professional fees and travel expenses as a result of the COVID-19 pandemic.</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 consolidated basis, operating income increased in absolute dollars and as a percentage of net sales primarily due to the increase in consolidated net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4"/>
                <w:szCs w:val="14"/>
                <w:color w:val="auto"/>
              </w:rPr>
            </w:pPr>
          </w:p>
        </w:tc>
        <w:tc>
          <w:tcPr>
            <w:tcW w:w="9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580" w:type="dxa"/>
            <w:vAlign w:val="bottom"/>
            <w:gridSpan w:val="3"/>
            <w:vMerge w:val="restart"/>
          </w:tcPr>
          <w:p>
            <w:pPr>
              <w:jc w:val="right"/>
              <w:ind w:right="530"/>
              <w:spacing w:after="0"/>
              <w:rPr>
                <w:sz w:val="20"/>
                <w:szCs w:val="20"/>
                <w:color w:val="auto"/>
              </w:rPr>
            </w:pPr>
            <w:r>
              <w:rPr>
                <w:rFonts w:ascii="Arial" w:cs="Arial" w:eastAsia="Arial" w:hAnsi="Arial"/>
                <w:sz w:val="14"/>
                <w:szCs w:val="14"/>
                <w:b w:val="1"/>
                <w:bCs w:val="1"/>
                <w:color w:val="auto"/>
              </w:rPr>
              <w:t>% Net Sales</w:t>
            </w:r>
          </w:p>
        </w:tc>
        <w:tc>
          <w:tcPr>
            <w:tcW w:w="94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Net Sales</w:t>
            </w:r>
          </w:p>
        </w:tc>
        <w:tc>
          <w:tcPr>
            <w:tcW w:w="21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2021 vs 2020 % 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2"/>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expense decreased as a percentage of net sales and in absolute dollars during the three months ended January 31, 2021 primarily due to lower interest rates and lower average debt balances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20" w:type="dxa"/>
            <w:vAlign w:val="bottom"/>
          </w:tcPr>
          <w:p>
            <w:pPr>
              <w:spacing w:after="0"/>
              <w:rPr>
                <w:sz w:val="13"/>
                <w:szCs w:val="13"/>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gain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Foreign exchange (gain) loss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On January 19, 2021, CooperVision acquired all of the remaining equity interests of a privately-held medical device company that develops spectacle lenses for myopia management. The fair value remeasurement of our previous equity investment immediately before the acquisition resulted in a gain of $11.5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 loss primarily resulted from the revaluation and settlement of foreign currency-denominated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in the three months ended January 31, 2021, primarily due to an increase in defined benefit plan related income during the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Provision for Income Taxes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effective tax rates for the three months ended January 31, 2021 and January 31, 2020 were (1,406.3)% and 7.1%, respectively. The decrease was primarily due to an intra-group transfer of intellectual property during the three months ended January 31, 2021, as discussed below. Our effective tax rate for the three months ended January 31, 2021 was lower than the U.S. federal statutory tax rate primarily due to the intra-group transfer. Our effective tax rates for the three months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ended January 31, 2021 and January 31, 2020 were otherwise lower than the U.S. federal statutory tax rate primarily due to earnings in foreign jurisdictions with lower tax rates and excess tax benefits from share-based compensation.</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2020, we completed an intra-group transfer of certain intellectual property and related assets to a UK subsidiary as part of a group restructuring to establish headquarters operations in the UK. Income before income taxes resulting from this transfer is eliminated upon consolidation. The transfer resulted in a step-up of the UK tax-deductible basis in the 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several share-based compensation plans that are described in our Annual Report on Form 10-K for the fiscal year ended October 31, 2020. The compensation expense and related income tax benefit recognized in our Consolidated Statements of Income and Comprehensive Income for share-based awards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January 31,</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6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0" w:type="dxa"/>
            <w:vAlign w:val="bottom"/>
          </w:tcPr>
          <w:p>
            <w:pPr>
              <w:spacing w:after="0"/>
              <w:rPr>
                <w:sz w:val="13"/>
                <w:szCs w:val="13"/>
                <w:color w:val="auto"/>
              </w:rPr>
            </w:pPr>
          </w:p>
        </w:tc>
        <w:tc>
          <w:tcPr>
            <w:tcW w:w="1360" w:type="dxa"/>
            <w:vAlign w:val="bottom"/>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Related income tax benefit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7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cash flow of $147.7 million compared to $129.7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of $55.9 million compared to $69.0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payments for acquisitions and others of $79.8 million compared to $9.4 million in the prior year period</w:t>
      </w:r>
    </w:p>
    <w:p>
      <w:pPr>
        <w:spacing w:after="0" w:line="171" w:lineRule="exact"/>
        <w:rPr>
          <w:rFonts w:ascii="Arial" w:cs="Arial" w:eastAsia="Arial" w:hAnsi="Arial"/>
          <w:sz w:val="18"/>
          <w:szCs w:val="18"/>
          <w:color w:val="auto"/>
        </w:rPr>
      </w:pPr>
    </w:p>
    <w:p>
      <w:pPr>
        <w:ind w:left="660" w:right="120" w:hanging="652"/>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provided by operations of $147.7 million offset by capital expenditures of $55.9 million resulted in positive free cash flow of $91.8 million, up 51% compared to the prior 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90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31, 2021</w:t>
            </w:r>
          </w:p>
        </w:tc>
        <w:tc>
          <w:tcPr>
            <w:tcW w:w="320" w:type="dxa"/>
            <w:vAlign w:val="bottom"/>
          </w:tcPr>
          <w:p>
            <w:pPr>
              <w:spacing w:after="0"/>
              <w:rPr>
                <w:sz w:val="14"/>
                <w:szCs w:val="14"/>
                <w:color w:val="auto"/>
              </w:rPr>
            </w:pPr>
          </w:p>
        </w:tc>
        <w:tc>
          <w:tcPr>
            <w:tcW w:w="1780" w:type="dxa"/>
            <w:vAlign w:val="bottom"/>
          </w:tcPr>
          <w:p>
            <w:pPr>
              <w:jc w:val="right"/>
              <w:ind w:right="452"/>
              <w:spacing w:after="0"/>
              <w:rPr>
                <w:sz w:val="20"/>
                <w:szCs w:val="20"/>
                <w:color w:val="auto"/>
              </w:rPr>
            </w:pPr>
            <w:r>
              <w:rPr>
                <w:rFonts w:ascii="Arial" w:cs="Arial" w:eastAsia="Arial" w:hAnsi="Arial"/>
                <w:sz w:val="14"/>
                <w:szCs w:val="14"/>
                <w:b w:val="1"/>
                <w:bCs w:val="1"/>
                <w:color w:val="auto"/>
              </w:rPr>
              <w:t>October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115.9</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8,921.9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6,737.5</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269.8</w:t>
            </w:r>
          </w:p>
        </w:tc>
      </w:tr>
      <w:tr>
        <w:trPr>
          <w:trHeight w:val="229"/>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1,814.6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1,793.2</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3,824.8</w:t>
            </w:r>
          </w:p>
        </w:tc>
      </w:tr>
      <w:tr>
        <w:trPr>
          <w:trHeight w:val="230"/>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Ratio of debt to equity</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0.30:1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0.47:1</w:t>
            </w:r>
          </w:p>
        </w:tc>
      </w:tr>
      <w:tr>
        <w:trPr>
          <w:trHeight w:val="230"/>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as a percentage of total capitalization</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working capital at January 31, 2021 from the end of fiscal 2020 was primarily due to:</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 in accounts payable of $38.6 million due to timing of payments;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0" w:name="page31"/>
    <w:bookmarkEnd w:id="30"/>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trade accounts receivable of $25.8 million primarily due to timing of collections and higher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employee compensation and benefits of $9.0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short-term debt of $8.6 million due to payment of overdraft and other credit facilities;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cash and cash equivalents of $3.2 million, partially offset by: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in other current liabilities of $11.6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 in prepaid expense and other current assets of $5.9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2021, our inventory months on hand was 7.4 compared to 6.6 at October 31, 2020. Inventory remained relatively flat.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days sales outstanding (DSO) were relatively consistent at 61 days at January 31, 2021, compared to 60 days at October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provided by operating activities increased by $18.0 million from $129.7 million in the first quarter of fiscal 2020 to $147.7 million in the first quarter of fiscal 2021. This increase in cash flow provided by operating activities primarily consists of:</w:t>
      </w:r>
    </w:p>
    <w:p>
      <w:pPr>
        <w:spacing w:after="0" w:line="116" w:lineRule="exact"/>
        <w:rPr>
          <w:sz w:val="20"/>
          <w:szCs w:val="20"/>
          <w:color w:val="auto"/>
        </w:rPr>
      </w:pPr>
    </w:p>
    <w:p>
      <w:pPr>
        <w:ind w:left="660" w:right="3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in net income of $2,010.6 million from a net income of $90.5 million in the first quarter of fiscal 2020 to $2,101.1 million in the first quarter of fiscal 2021;</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$4.9 million in net changes in depreciation and amortization, from $70.6 million during the first quarter of fiscal 2020 to $75.5 million during the first quarter of fiscal 2021;</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$0.7 million in net cash outflow from changes in operating capital, from $50.6 million outflow in the first quarter of fiscal 2020 to $49.9 million outflow in the first quarter of fiscal 2021, partially offset 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 of $1,978.8 million in the net changes in deferred income taxes. Refer to Note 6. Income Taxes for further information; and</w:t>
      </w:r>
    </w:p>
    <w:p>
      <w:pPr>
        <w:spacing w:after="0" w:line="250" w:lineRule="exact"/>
        <w:rPr>
          <w:rFonts w:ascii="Arial" w:cs="Arial" w:eastAsia="Arial" w:hAnsi="Arial"/>
          <w:sz w:val="17"/>
          <w:szCs w:val="17"/>
          <w:color w:val="auto"/>
        </w:rPr>
      </w:pPr>
    </w:p>
    <w:p>
      <w:pPr>
        <w:ind w:left="660" w:right="3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 from other non-cash items of $19.4 million, from $21.7 million during the first quarter of fiscal 2020 to $2.3 million during the first quarter of fiscal 2021, primarily due to an investment gain of $11.5 million. Refer to Note 2. Acquisitions for further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income of $2,010.6 million was primarily due to:</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recognized income tax benefit of $1,987.9 million. Refer to Note 6. Income Taxes for further information;</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of $22.3 million in operating income from $111.1 in the first quarter of fiscal 2020 to $133.4 million in the first quarter of fiscal 2021 primarily due to the increase in consolidated net sales and decrease in certain costs;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investment gain of $11.5 million. Refer to Note 2. Acquisitions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$0.7 million increase in the net cash flow from changes in operating capital compared to the prior year period is primarily due to:</w:t>
      </w:r>
    </w:p>
    <w:p>
      <w:pPr>
        <w:spacing w:after="0" w:line="171" w:lineRule="exact"/>
        <w:rPr>
          <w:sz w:val="20"/>
          <w:szCs w:val="20"/>
          <w:color w:val="auto"/>
        </w:rPr>
      </w:pPr>
    </w:p>
    <w:p>
      <w:pPr>
        <w:ind w:left="660" w:right="12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$36.3 million increase in the net changes in accrued liabilities and other primarily due to impact from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prior year period and higher customer rebate accruals in current period as a result of higher sales;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$19.0 million increase in the net changes in inventories;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$14.5 million increase in the net changes in income tax payable, partially offset by: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$44.6 million decrease in the net changes in trade and other receivables primarily due to timing of collections and higher sales;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$22.6 million decrease in the net changes in accounts payable primarily due to timing of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Cash used in investing activities increased by $57.3 million to $135.7 million in the first quarter of fiscal 2021 from $78.4 million in the first quarter of fiscal 2020 due to:</w:t>
      </w:r>
    </w:p>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$72.1 million increase in payments made for acquisitions in the first quarter of fiscal 2021 compared to the prior year period, partially offset by:</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$13.1 million decrease in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flows from financing activities decreased by $49.6 million to $13.6 million cash outflow in the first quarter of fiscal 2021 compared to $63.2 million outflow in the first quarter of fiscal 2020, primarily due to:</w:t>
      </w:r>
    </w:p>
    <w:p>
      <w:pPr>
        <w:spacing w:after="0" w:line="116" w:lineRule="exact"/>
        <w:rPr>
          <w:sz w:val="20"/>
          <w:szCs w:val="20"/>
          <w:color w:val="auto"/>
        </w:rPr>
      </w:pPr>
    </w:p>
    <w:p>
      <w:pPr>
        <w:ind w:left="660" w:right="5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$39.9 million decrease in repayments of long-term debt, primarily due to repayments of funds from the 2020 Credit Agreement in first three months of fiscal 2021 compared to repayment of funds from the 2016 Credit Agreement in the prior year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$19.0 million increase in proceeds from long-term debt, primarily due to funds received from the 2020 Credit Agreement;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$12.0 million decrease in net repayments from short-term debt, primarily due to movements in short term loans.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20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October 16, 2020, the Company entered into a 364-day, $350.0 million, term loan agreement (the 2020 Term Loan Agreement) by and among the Company, the lenders party thereto and The Bank of Nova Scotia, as administrative agent which matures on October 15,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January 31, 2021:</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Facility Limit</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Total Amount</w:t>
            </w:r>
          </w:p>
        </w:tc>
        <w:tc>
          <w:tcPr>
            <w:tcW w:w="100" w:type="dxa"/>
            <w:vAlign w:val="bottom"/>
          </w:tcPr>
          <w:p>
            <w:pPr>
              <w:spacing w:after="0"/>
              <w:rPr>
                <w:sz w:val="14"/>
                <w:szCs w:val="14"/>
                <w:color w:val="auto"/>
              </w:rPr>
            </w:pPr>
          </w:p>
        </w:tc>
        <w:tc>
          <w:tcPr>
            <w:tcW w:w="204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Borrowings</w:t>
            </w:r>
          </w:p>
        </w:tc>
        <w:tc>
          <w:tcPr>
            <w:tcW w:w="100" w:type="dxa"/>
            <w:vAlign w:val="bottom"/>
          </w:tcPr>
          <w:p>
            <w:pPr>
              <w:spacing w:after="0"/>
              <w:rPr>
                <w:sz w:val="9"/>
                <w:szCs w:val="9"/>
                <w:color w:val="auto"/>
              </w:rPr>
            </w:pPr>
          </w:p>
        </w:tc>
        <w:tc>
          <w:tcPr>
            <w:tcW w:w="12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49" w:lineRule="exact"/>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7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Term Loan Facility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15,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3"/>
          </w:tcPr>
          <w:p>
            <w:pPr>
              <w:ind w:left="2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spacing w:after="0"/>
        <w:rPr>
          <w:sz w:val="20"/>
          <w:szCs w:val="20"/>
          <w:color w:val="auto"/>
        </w:rPr>
      </w:pPr>
      <w:r>
        <w:rPr>
          <w:rFonts w:ascii="Arial" w:cs="Arial" w:eastAsia="Arial" w:hAnsi="Arial"/>
          <w:sz w:val="16"/>
          <w:szCs w:val="16"/>
          <w:color w:val="auto"/>
        </w:rPr>
        <w:t>1.00, and a Total Leverage Ratio of no higher than 3.75 to 1.00. At January 31, 2021, we were in compliance with the Interest Coverage Ratio at 25.53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and the Total Leverage Ratio at 2.10 to 1.00. The Company, after considering the potential impacts of the COVID-19 pandemic, expects to remain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4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compliance with its financial maintenance covenant and meet its debt service obligations for at least the twelve months following the date of issuance of these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2021, $334.8 million remained authorized for repurchase under the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repurchases during the three months ended January 31,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Periods Ended January 31,</w:t>
            </w:r>
          </w:p>
        </w:tc>
        <w:tc>
          <w:tcPr>
            <w:tcW w:w="5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2021</w:t>
            </w:r>
          </w:p>
        </w:tc>
      </w:tr>
      <w:tr>
        <w:trPr>
          <w:trHeight w:val="229"/>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5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69,622</w:t>
            </w:r>
          </w:p>
        </w:tc>
      </w:tr>
      <w:tr>
        <w:trPr>
          <w:trHeight w:val="230"/>
        </w:trPr>
        <w:tc>
          <w:tcPr>
            <w:tcW w:w="8880" w:type="dxa"/>
            <w:vAlign w:val="bottom"/>
          </w:tcPr>
          <w:p>
            <w:pPr>
              <w:ind w:left="20"/>
              <w:spacing w:after="0"/>
              <w:rPr>
                <w:sz w:val="20"/>
                <w:szCs w:val="20"/>
                <w:color w:val="auto"/>
              </w:rPr>
            </w:pPr>
            <w:r>
              <w:rPr>
                <w:rFonts w:ascii="Arial" w:cs="Arial" w:eastAsia="Arial" w:hAnsi="Arial"/>
                <w:sz w:val="18"/>
                <w:szCs w:val="18"/>
                <w:color w:val="auto"/>
              </w:rPr>
              <w:t>Average repurchase price per share</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356.61</w:t>
            </w:r>
          </w:p>
        </w:tc>
      </w:tr>
      <w:tr>
        <w:trPr>
          <w:trHeight w:val="230"/>
        </w:trPr>
        <w:tc>
          <w:tcPr>
            <w:tcW w:w="8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of shares repurchased (in millions)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share repurchases under the program during the three months ended January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paid a semiannual dividend of approximately $1.5 million or 3 cents per share, on February 9, 2021, to stockholders of record on January 22, 2021.</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non-GAAP financial measures that may be included in Management's Discussion and Analysis and the reasons management believes they are useful to investors are described below. These measures should be considered supplemental in nature and are not intended to be a substitute for the related financial information prepared in accordance with GAAP. In addition, these measures may not be the same as similarly named measures presented by other companies.</w:t>
      </w: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2020. There have been no material changes in our policies from those previously discussed in our Form 10-K for the fiscal year October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General of the Consolidated Condensed Financial Statements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ActivControl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Aquaform</w:t>
      </w:r>
      <w:r>
        <w:rPr>
          <w:rFonts w:ascii="Arial" w:cs="Arial" w:eastAsia="Arial" w:hAnsi="Arial"/>
          <w:sz w:val="23"/>
          <w:szCs w:val="23"/>
          <w:color w:val="auto"/>
          <w:vertAlign w:val="superscript"/>
        </w:rPr>
        <w:t>®</w:t>
      </w:r>
      <w:r>
        <w:rPr>
          <w:rFonts w:ascii="Arial" w:cs="Arial" w:eastAsia="Arial" w:hAnsi="Arial"/>
          <w:sz w:val="18"/>
          <w:szCs w:val="18"/>
          <w:color w:val="auto"/>
        </w:rPr>
        <w:t>, Avaira Vitality</w:t>
      </w:r>
      <w:r>
        <w:rPr>
          <w:rFonts w:ascii="Arial" w:cs="Arial" w:eastAsia="Arial" w:hAnsi="Arial"/>
          <w:sz w:val="23"/>
          <w:szCs w:val="23"/>
          <w:color w:val="auto"/>
          <w:vertAlign w:val="superscript"/>
        </w:rPr>
        <w:t>®</w:t>
      </w:r>
      <w:r>
        <w:rPr>
          <w:rFonts w:ascii="Arial" w:cs="Arial" w:eastAsia="Arial" w:hAnsi="Arial"/>
          <w:sz w:val="18"/>
          <w:szCs w:val="18"/>
          <w:color w:val="auto"/>
        </w:rPr>
        <w:t>, Biofinity</w:t>
      </w:r>
      <w:r>
        <w:rPr>
          <w:rFonts w:ascii="Arial" w:cs="Arial" w:eastAsia="Arial" w:hAnsi="Arial"/>
          <w:sz w:val="23"/>
          <w:szCs w:val="23"/>
          <w:color w:val="auto"/>
          <w:vertAlign w:val="superscript"/>
        </w:rPr>
        <w:t>®</w:t>
      </w:r>
      <w:r>
        <w:rPr>
          <w:rFonts w:ascii="Arial" w:cs="Arial" w:eastAsia="Arial" w:hAnsi="Arial"/>
          <w:sz w:val="18"/>
          <w:szCs w:val="18"/>
          <w:color w:val="auto"/>
        </w:rPr>
        <w:t>, Biofinity Energys</w:t>
      </w:r>
      <w:r>
        <w:rPr>
          <w:rFonts w:ascii="Arial" w:cs="Arial" w:eastAsia="Arial" w:hAnsi="Arial"/>
          <w:sz w:val="23"/>
          <w:szCs w:val="23"/>
          <w:color w:val="auto"/>
          <w:vertAlign w:val="superscript"/>
        </w:rPr>
        <w:t>®</w:t>
      </w:r>
      <w:r>
        <w:rPr>
          <w:rFonts w:ascii="Arial" w:cs="Arial" w:eastAsia="Arial" w:hAnsi="Arial"/>
          <w:sz w:val="18"/>
          <w:szCs w:val="18"/>
          <w:color w:val="auto"/>
        </w:rPr>
        <w:t>, MyDay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MiSight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is a trademark of The Cooper Companies, Inc., its affiliates and/or subsidiaries. The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licensed. INSORB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PARAGARD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registered trademarks of CooperSurgical, Inc.</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2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April 6, 2020, we entered into six interest rate swap contracts to hedge variable cash flows associated with LIBOR. The interest rate swap contracts became effective on April 6, 2020 and have maturities of seven years or less. As of January 31, 2021, the outstanding contracts have a total notional amount of $1.4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cross currency swaps or foreign currency forward contracts as of January 31, 2021.</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January 31, 2021, the Company had $724.6 million available under the 2020 Revolving Credit Facility and $850.0 million outstanding under the 2020 Term Loan Facility.</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October 16, 2020, we entered into a 364-day, $350.0 million, term loan agreement by and among us, the lenders party thereto and The Bank of Nova Scotia, as administrative agent which matures on October 15, 2021. We used the funds to partially repay outstanding borrowings under the 2020 Revolving Credit Facility. At January 31, 2021, the Company had $350.0 million outstanding under this agreement.</w:t>
      </w:r>
    </w:p>
    <w:p>
      <w:pPr>
        <w:spacing w:after="0" w:line="1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interest rates were to increase or decrease by 1% or 100 basis points, quarterly interest expense would increase or decrease by approximately $1.0 million based on average debt outstanding, after consideration of our interest rate swap contracts, for the first quarter of fiscal 2021.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 13a-</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15(d) and 15d-15(d) of the Exchange Act that occurred during our first quarter of fiscal 2021,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legal proceedings is included in Note 12. Contingencies of this Quarterly Report on Form 10-Q.</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14"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 October 31, 2020. In the first quarter of fiscal 2021, we updated some of our risk factors as described below. There have been no other material changes in our risk factors from those previously discussed in our Annual Report on Form 10-K for the fiscal year ended October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United Kingdom’s withdrawal from the EU may have a negative effect on global economic conditions, financial markets and our business.</w:t>
      </w:r>
    </w:p>
    <w:p>
      <w:pPr>
        <w:spacing w:after="0" w:line="26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are a multinational company headquartered in the United States with worldwide operations, with significant business operations in Europe, including in the UK. Following a national referendum and enactment of legislation by the government of the UK, the UK formally withdrew from the EU and ratified a</w:t>
      </w:r>
    </w:p>
    <w:p>
      <w:pPr>
        <w:ind w:right="80"/>
        <w:spacing w:after="0" w:line="252" w:lineRule="auto"/>
        <w:rPr>
          <w:sz w:val="20"/>
          <w:szCs w:val="20"/>
          <w:color w:val="auto"/>
        </w:rPr>
      </w:pPr>
      <w:r>
        <w:rPr>
          <w:rFonts w:ascii="Arial" w:cs="Arial" w:eastAsia="Arial" w:hAnsi="Arial"/>
          <w:sz w:val="18"/>
          <w:szCs w:val="18"/>
          <w:color w:val="auto"/>
        </w:rPr>
        <w:t>trade and cooperation agreement governing its future relationship with the EU. The agreement, which is being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20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w:t>
      </w:r>
    </w:p>
    <w:p>
      <w:pPr>
        <w:spacing w:after="0" w:line="296" w:lineRule="auto"/>
        <w:rPr>
          <w:sz w:val="20"/>
          <w:szCs w:val="20"/>
          <w:color w:val="auto"/>
        </w:rPr>
      </w:pPr>
      <w:r>
        <w:rPr>
          <w:rFonts w:ascii="Arial" w:cs="Arial" w:eastAsia="Arial" w:hAnsi="Arial"/>
          <w:sz w:val="16"/>
          <w:szCs w:val="16"/>
          <w:color w:val="auto"/>
        </w:rPr>
        <w:t>certain financial markets or restrict our access to capital. Any of these factors could have a material adverse effect on our business, financial condition, cash flows and results of operations. Asset valuations, currency exchange rates and credit ratings have been and may continue to be subject to increased market volatility. Lack of clarity about future UK laws and regulations as the UK determines which EU laws to replace or replicate, including financial laws and regulations, tax and free trade agreements, tax and customs laws, intellectual property rights, environmental, health and safety laws and regulations, immigration laws, employment laws and transport laws, could decrease foreign direct investment in the UK, increase costs and disrupt supply chains.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 repurchase activity during the three-month period ended January 31, 2021, was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jc w:val="center"/>
              <w:ind w:right="202"/>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1"/>
                <w:szCs w:val="11"/>
                <w:color w:val="auto"/>
              </w:rPr>
            </w:pPr>
          </w:p>
        </w:tc>
        <w:tc>
          <w:tcPr>
            <w:tcW w:w="16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 Paid Per</w:t>
            </w: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3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8"/>
        </w:trPr>
        <w:tc>
          <w:tcPr>
            <w:tcW w:w="3320" w:type="dxa"/>
            <w:vAlign w:val="bottom"/>
            <w:gridSpan w:val="2"/>
            <w:vMerge w:val="continue"/>
          </w:tcPr>
          <w:p>
            <w:pPr>
              <w:spacing w:after="0"/>
              <w:rPr>
                <w:sz w:val="16"/>
                <w:szCs w:val="16"/>
                <w:color w:val="auto"/>
              </w:rPr>
            </w:pPr>
          </w:p>
        </w:tc>
        <w:tc>
          <w:tcPr>
            <w:tcW w:w="1800" w:type="dxa"/>
            <w:vAlign w:val="bottom"/>
          </w:tcPr>
          <w:p>
            <w:pPr>
              <w:jc w:val="right"/>
              <w:ind w:right="49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Share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tcPr>
          <w:p>
            <w:pPr>
              <w:jc w:val="center"/>
              <w:ind w:right="182"/>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24"/>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11/1/20 - 11/30/20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359,655,532</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12/1/20 - 12/31/20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2"/>
              <w:spacing w:after="0"/>
              <w:rPr>
                <w:sz w:val="20"/>
                <w:szCs w:val="20"/>
                <w:color w:val="auto"/>
              </w:rPr>
            </w:pPr>
            <w:r>
              <w:rPr>
                <w:rFonts w:ascii="Arial" w:cs="Arial" w:eastAsia="Arial" w:hAnsi="Arial"/>
                <w:sz w:val="18"/>
                <w:szCs w:val="18"/>
                <w:color w:val="auto"/>
              </w:rPr>
              <w:t>359,655,532</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1/1/21 - 1/31/21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46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69,622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334,827,542</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transactions described in the table above represent the repurchase of the Company's common stock on the New York Stock Exchange as part of the share repurchase program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2021, we repurchased 69.6 thousand shares of the Company’s common stock for $24.8 million, at an average purchase price of $356.61 per share. There was no share repurchase activity during the first quarter ended January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2021, approximately $334.8 million remained authorized under the 2012 Share Repurchase Program.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tabs>
          <w:tab w:leader="none" w:pos="860" w:val="left"/>
        </w:tabs>
        <w:rPr>
          <w:sz w:val="20"/>
          <w:szCs w:val="20"/>
          <w:color w:val="auto"/>
        </w:rPr>
      </w:pPr>
      <w:r>
        <w:rPr>
          <w:rFonts w:ascii="Arial" w:cs="Arial" w:eastAsia="Arial" w:hAnsi="Arial"/>
          <w:sz w:val="18"/>
          <w:szCs w:val="18"/>
          <w:u w:val="single" w:color="auto"/>
          <w:color w:val="auto"/>
        </w:rPr>
        <w:t>Number</w:t>
        <w:tab/>
        <w:t>Description</w:t>
      </w:r>
    </w:p>
    <w:p>
      <w:pPr>
        <w:spacing w:after="0" w:line="101" w:lineRule="exact"/>
        <w:rPr>
          <w:sz w:val="20"/>
          <w:szCs w:val="20"/>
          <w:color w:val="auto"/>
        </w:rPr>
      </w:pPr>
    </w:p>
    <w:p>
      <w:pPr>
        <w:ind w:left="880" w:right="80" w:hanging="687"/>
        <w:spacing w:after="0" w:line="235" w:lineRule="auto"/>
        <w:tabs>
          <w:tab w:leader="none" w:pos="860" w:val="left"/>
        </w:tabs>
        <w:rPr>
          <w:rFonts w:ascii="Arial" w:cs="Arial" w:eastAsia="Arial" w:hAnsi="Arial"/>
          <w:sz w:val="18"/>
          <w:szCs w:val="18"/>
          <w:color w:val="0000FF"/>
        </w:rPr>
      </w:pPr>
      <w:r>
        <w:rPr>
          <w:rFonts w:ascii="Arial" w:cs="Arial" w:eastAsia="Arial" w:hAnsi="Arial"/>
          <w:sz w:val="18"/>
          <w:szCs w:val="18"/>
          <w:color w:val="auto"/>
        </w:rPr>
        <w:t>10.1</w:t>
      </w:r>
      <w:r>
        <w:rPr>
          <w:sz w:val="20"/>
          <w:szCs w:val="20"/>
          <w:color w:val="auto"/>
        </w:rPr>
        <w:tab/>
      </w:r>
      <w:hyperlink r:id="rId49">
        <w:r>
          <w:rPr>
            <w:rFonts w:ascii="Arial" w:cs="Arial" w:eastAsia="Arial" w:hAnsi="Arial"/>
            <w:sz w:val="18"/>
            <w:szCs w:val="18"/>
            <w:u w:val="single" w:color="auto"/>
            <w:color w:val="0000FF"/>
          </w:rPr>
          <w:t xml:space="preserve">The Cooper Companies, Inc. 2021 Incentive Payment </w:t>
        </w:r>
        <w:r>
          <w:rPr>
            <w:rFonts w:ascii="Arial" w:cs="Arial" w:eastAsia="Arial" w:hAnsi="Arial"/>
            <w:sz w:val="18"/>
            <w:szCs w:val="18"/>
            <w:color w:val="0000FF"/>
          </w:rPr>
          <w:t>Plan,</w:t>
        </w:r>
        <w:r>
          <w:rPr>
            <w:rFonts w:ascii="Arial" w:cs="Arial" w:eastAsia="Arial" w:hAnsi="Arial"/>
            <w:sz w:val="18"/>
            <w:szCs w:val="18"/>
            <w:u w:val="single" w:color="auto"/>
            <w:color w:val="0000FF"/>
          </w:rPr>
          <w:t xml:space="preserve"> incorporated by reference to Exhibit 10.1 of the Current R</w:t>
        </w:r>
        <w:r>
          <w:rPr>
            <w:rFonts w:ascii="Arial" w:cs="Arial" w:eastAsia="Arial" w:hAnsi="Arial"/>
            <w:sz w:val="18"/>
            <w:szCs w:val="18"/>
            <w:color w:val="0000FF"/>
          </w:rPr>
          <w:t>eport</w:t>
        </w:r>
        <w:r>
          <w:rPr>
            <w:rFonts w:ascii="Arial" w:cs="Arial" w:eastAsia="Arial" w:hAnsi="Arial"/>
            <w:sz w:val="18"/>
            <w:szCs w:val="18"/>
            <w:u w:val="single" w:color="auto"/>
            <w:color w:val="0000FF"/>
          </w:rPr>
          <w:t xml:space="preserve"> on Form 8-K </w:t>
        </w:r>
        <w:r>
          <w:rPr>
            <w:rFonts w:ascii="Arial" w:cs="Arial" w:eastAsia="Arial" w:hAnsi="Arial"/>
            <w:sz w:val="18"/>
            <w:szCs w:val="18"/>
            <w:color w:val="0000FF"/>
          </w:rPr>
          <w:t>file</w:t>
        </w:r>
        <w:r>
          <w:rPr>
            <w:rFonts w:ascii="Arial" w:cs="Arial" w:eastAsia="Arial" w:hAnsi="Arial"/>
            <w:sz w:val="18"/>
            <w:szCs w:val="18"/>
            <w:u w:val="single" w:color="auto"/>
            <w:color w:val="0000FF"/>
          </w:rPr>
          <w:t>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Februar</w:t>
        </w:r>
        <w:r>
          <w:rPr>
            <w:rFonts w:ascii="Arial" w:cs="Arial" w:eastAsia="Arial" w:hAnsi="Arial"/>
            <w:sz w:val="18"/>
            <w:szCs w:val="18"/>
            <w:color w:val="0000FF"/>
          </w:rPr>
          <w:t xml:space="preserve">y </w:t>
        </w:r>
        <w:r>
          <w:rPr>
            <w:rFonts w:ascii="Arial" w:cs="Arial" w:eastAsia="Arial" w:hAnsi="Arial"/>
            <w:sz w:val="18"/>
            <w:szCs w:val="18"/>
            <w:u w:val="single" w:color="auto"/>
            <w:color w:val="0000FF"/>
          </w:rPr>
          <w:t>2, 2021.</w:t>
        </w:r>
      </w:hyperlink>
    </w:p>
    <w:p>
      <w:pPr>
        <w:spacing w:after="0" w:line="94"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1">
        <w:r>
          <w:rPr>
            <w:rFonts w:ascii="Arial" w:cs="Arial" w:eastAsia="Arial" w:hAnsi="Arial"/>
            <w:sz w:val="16"/>
            <w:szCs w:val="16"/>
            <w:u w:val="single" w:color="auto"/>
            <w:color w:val="0000FF"/>
          </w:rPr>
          <w:t>Certification of the Chief Executive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2">
        <w:r>
          <w:rPr>
            <w:rFonts w:ascii="Arial" w:cs="Arial" w:eastAsia="Arial" w:hAnsi="Arial"/>
            <w:sz w:val="16"/>
            <w:szCs w:val="16"/>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43">
        <w:r>
          <w:rPr>
            <w:rFonts w:ascii="Arial" w:cs="Arial" w:eastAsia="Arial" w:hAnsi="Arial"/>
            <w:sz w:val="16"/>
            <w:szCs w:val="16"/>
            <w:u w:val="single" w:color="auto"/>
            <w:color w:val="0000FF"/>
          </w:rPr>
          <w:t>Certification of the Chief Executive Officer, pursuant to 18 U.S.C. Section 1350</w:t>
        </w:r>
      </w:hyperlink>
    </w:p>
    <w:p>
      <w:pPr>
        <w:spacing w:after="0" w:line="117" w:lineRule="exact"/>
        <w:rPr>
          <w:sz w:val="20"/>
          <w:szCs w:val="20"/>
          <w:color w:val="auto"/>
        </w:rPr>
      </w:pPr>
    </w:p>
    <w:p>
      <w:pPr>
        <w:ind w:left="180"/>
        <w:spacing w:after="0"/>
        <w:tabs>
          <w:tab w:leader="none" w:pos="8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4">
        <w:r>
          <w:rPr>
            <w:rFonts w:ascii="Arial" w:cs="Arial" w:eastAsia="Arial" w:hAnsi="Arial"/>
            <w:sz w:val="16"/>
            <w:szCs w:val="16"/>
            <w:u w:val="single" w:color="auto"/>
            <w:color w:val="0000FF"/>
          </w:rPr>
          <w:t>Certification of the Chief Financial Officer, pursuant to 18 U.S.C. Section 1350</w:t>
        </w:r>
      </w:hyperlink>
    </w:p>
    <w:p>
      <w:pPr>
        <w:spacing w:after="0" w:line="117" w:lineRule="exact"/>
        <w:rPr>
          <w:sz w:val="20"/>
          <w:szCs w:val="20"/>
          <w:color w:val="auto"/>
        </w:rPr>
      </w:pPr>
    </w:p>
    <w:p>
      <w:pPr>
        <w:jc w:val="both"/>
        <w:ind w:left="880" w:hanging="687"/>
        <w:spacing w:after="0" w:line="219" w:lineRule="auto"/>
        <w:tabs>
          <w:tab w:leader="none" w:pos="860" w:val="left"/>
        </w:tabs>
        <w:rPr>
          <w:sz w:val="20"/>
          <w:szCs w:val="20"/>
          <w:color w:val="auto"/>
        </w:rPr>
      </w:pPr>
      <w:r>
        <w:rPr>
          <w:rFonts w:ascii="Arial" w:cs="Arial" w:eastAsia="Arial" w:hAnsi="Arial"/>
          <w:sz w:val="18"/>
          <w:szCs w:val="18"/>
          <w:color w:val="auto"/>
        </w:rPr>
        <w:t>101.1</w:t>
        <w:tab/>
        <w:t>The following materials from the Company's Quarterly Report on Form 10-Q for the three months period ended January 31, 2021 formatted in Inline XBRL (Extensible Business Reporting Language): (i) Consolidated Statements of Income and Comprehensive Income, (ii) Consolidated Condensed Balance Sheets, (iii) Consolidated Condensed Statements of Stockholders' Equity, (iv) Consolidated Condensed Statements of Cash Flows and (v) related Notes to Consolidated Condensed Financial Statements.</w:t>
      </w:r>
    </w:p>
    <w:p>
      <w:pPr>
        <w:spacing w:after="0" w:line="95" w:lineRule="exact"/>
        <w:rPr>
          <w:sz w:val="20"/>
          <w:szCs w:val="20"/>
          <w:color w:val="auto"/>
        </w:rPr>
      </w:pPr>
    </w:p>
    <w:p>
      <w:pPr>
        <w:ind w:left="180"/>
        <w:spacing w:after="0"/>
        <w:tabs>
          <w:tab w:leader="none" w:pos="8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9" w:name="page40"/>
    <w:bookmarkEnd w:id="39"/>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Brian G. Andrews</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Executive Vice President, Chief Financial Officer &amp; Treasurer</w:t>
      </w:r>
    </w:p>
    <w:p>
      <w:pPr>
        <w:ind w:left="68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334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Agostino Ricupati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Accounting Officer &amp; Senior Vice President, Finance &amp; Tax</w:t>
      </w:r>
    </w:p>
    <w:p>
      <w:pPr>
        <w:spacing w:after="0" w:line="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340"/>
          </w:cols>
          <w:pgMar w:left="320" w:top="800" w:right="1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 I have reviewed this quarterly report on Form 10-Q of The Cooper Companies, Inc. (the “registrant”);</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March 5, 2021</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Brian G. Andrews</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Executive Vice President, Chief Financial Officer and</w:t>
      </w:r>
    </w:p>
    <w:p>
      <w:pPr>
        <w:jc w:val="center"/>
        <w:ind w:right="-299"/>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240"/>
          </w:cols>
          <w:pgMar w:left="320" w:top="36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5,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Cooper Companies, Inc. (the “Company”) for the quarterly period ended January 31, 2021,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March 5, 2021</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9" Type="http://schemas.openxmlformats.org/officeDocument/2006/relationships/hyperlink" Target="https://www.sec.gov/Archives/edgar/data/711404/000119312521025835/d1316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2021-03-05T15:56:36Z</dcterms:created>
  <dcterms:modified xsi:type="dcterms:W3CDTF">2021-03-05T15:56:36Z</dcterms:modified>
</cp:coreProperties>
</file>