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8.png" ContentType="image/png"/>
  <Override PartName="/word/media/image7.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w:t>
      </w:r>
    </w:p>
    <w:p>
      <w:pPr>
        <w:pStyle w:val="TextBody"/>
        <w:bidi w:val="0"/>
        <w:spacing w:lineRule="auto" w:line="216" w:before="100" w:after="283"/>
        <w:jc w:val="center"/>
        <w:rPr>
          <w:rFonts w:ascii="Times New Roman;sans-serif" w:hAnsi="Times New Roman;sans-serif"/>
          <w:b/>
          <w:color w:val="000000"/>
          <w:sz w:val="40"/>
        </w:rPr>
      </w:pPr>
      <w:r>
        <w:rPr>
          <w:rFonts w:ascii="Times New Roman;sans-serif" w:hAnsi="Times New Roman;sans-serif"/>
          <w:b/>
          <w:color w:val="000000"/>
          <w:sz w:val="40"/>
        </w:rPr>
        <w:t xml:space="preserve">FORM 10-K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OCTOBER 31, 2023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NO. 001-08597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w:t>
      </w:r>
    </w:p>
    <w:p>
      <w:pPr>
        <w:pStyle w:val="TextBody"/>
        <w:bidi w:val="0"/>
        <w:spacing w:lineRule="auto" w:line="216" w:before="100" w:after="283"/>
        <w:jc w:val="center"/>
        <w:rPr>
          <w:rFonts w:ascii="Times New Roman;sans-serif" w:hAnsi="Times New Roman;sans-serif"/>
          <w:b/>
          <w:color w:val="000000"/>
          <w:sz w:val="44"/>
        </w:rPr>
      </w:pPr>
      <w:r>
        <w:rPr>
          <w:rFonts w:ascii="Times New Roman;sans-serif" w:hAnsi="Times New Roman;sans-serif"/>
          <w:b/>
          <w:color w:val="000000"/>
          <w:sz w:val="44"/>
        </w:rPr>
        <w:t xml:space="preserve">THE COOPER COMPANIES, INC.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w:t>
      </w:r>
    </w:p>
    <w:tbl>
      <w:tblPr>
        <w:tblW w:w="7304" w:type="dxa"/>
        <w:jc w:val="center"/>
        <w:tblInd w:w="0" w:type="dxa"/>
        <w:tblLayout w:type="fixed"/>
        <w:tblCellMar>
          <w:top w:w="28" w:type="dxa"/>
          <w:left w:w="28" w:type="dxa"/>
          <w:bottom w:w="28" w:type="dxa"/>
          <w:right w:w="28" w:type="dxa"/>
        </w:tblCellMar>
      </w:tblPr>
      <w:tblGrid>
        <w:gridCol w:w="1648"/>
        <w:gridCol w:w="1450"/>
        <w:gridCol w:w="1462"/>
        <w:gridCol w:w="803"/>
        <w:gridCol w:w="803"/>
        <w:gridCol w:w="1138"/>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94-2657368</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6101 Bollinger Canyon Road,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Suite 500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San Ramon, California, 94583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(925) 460-3600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602" w:type="dxa"/>
        <w:jc w:val="center"/>
        <w:tblInd w:w="0" w:type="dxa"/>
        <w:tblLayout w:type="fixed"/>
        <w:tblCellMar>
          <w:top w:w="28" w:type="dxa"/>
          <w:left w:w="28" w:type="dxa"/>
          <w:bottom w:w="28" w:type="dxa"/>
          <w:right w:w="28" w:type="dxa"/>
        </w:tblCellMar>
      </w:tblPr>
      <w:tblGrid>
        <w:gridCol w:w="948"/>
        <w:gridCol w:w="833"/>
        <w:gridCol w:w="843"/>
        <w:gridCol w:w="109"/>
        <w:gridCol w:w="109"/>
        <w:gridCol w:w="109"/>
        <w:gridCol w:w="499"/>
        <w:gridCol w:w="499"/>
        <w:gridCol w:w="501"/>
        <w:gridCol w:w="109"/>
        <w:gridCol w:w="109"/>
        <w:gridCol w:w="109"/>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Nasdaq Global Select Market </w:t>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w:t>
      </w:r>
    </w:p>
    <w:p>
      <w:pPr>
        <w:pStyle w:val="TextBody"/>
        <w:bidi w:val="0"/>
        <w:spacing w:lineRule="auto" w:line="288" w:before="0" w:after="0"/>
        <w:jc w:val="both"/>
        <w:rPr/>
      </w:pPr>
      <w:r>
        <w:rPr>
          <w:rFonts w:ascii="Times New Roman;sans-serif" w:hAnsi="Times New Roman;sans-serif"/>
          <w:b w:val="false"/>
          <w:color w:val="000000"/>
          <w:sz w:val="18"/>
        </w:rPr>
        <w:t>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w:t>
      </w:r>
    </w:p>
    <w:p>
      <w:pPr>
        <w:pStyle w:val="TextBody"/>
        <w:bidi w:val="0"/>
        <w:spacing w:lineRule="auto" w:line="288" w:before="0" w:after="0"/>
        <w:jc w:val="both"/>
        <w:rPr/>
      </w:pPr>
      <w:r>
        <w:rPr>
          <w:rFonts w:ascii="Times New Roman;sans-serif" w:hAnsi="Times New Roman;sans-serif"/>
          <w:b w:val="false"/>
          <w:color w:val="000000"/>
          <w:sz w:val="18"/>
        </w:rPr>
        <w:t>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pP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pStyle w:val="TextBody"/>
        <w:bidi w:val="0"/>
        <w:spacing w:lineRule="auto" w:line="288" w:before="0" w:after="0"/>
        <w:jc w:val="both"/>
        <w:rPr/>
      </w:pPr>
      <w:r>
        <w:rPr>
          <w:rFonts w:ascii="Times New Roman;sans-serif" w:hAnsi="Times New Roman;sans-serif"/>
          <w:b w:val="false"/>
          <w:color w:val="000000"/>
          <w:sz w:val="18"/>
        </w:rPr>
        <w:t>Large accelerated filer  </w:t>
      </w:r>
      <w:r>
        <w:rPr>
          <w:color w:val="000000"/>
        </w:rPr>
        <w:t xml:space="preserve">☒ </w:t>
      </w:r>
      <w:r>
        <w:rPr>
          <w:rFonts w:ascii="Times New Roman;sans-serif" w:hAnsi="Times New Roman;sans-serif"/>
          <w:b w:val="false"/>
          <w:color w:val="000000"/>
          <w:sz w:val="18"/>
        </w:rPr>
        <w:t xml:space="preserve">Accelerated filer </w:t>
      </w:r>
      <w:r>
        <w:rPr>
          <w:color w:val="000000"/>
        </w:rPr>
        <w:t xml:space="preserve">☐  </w:t>
      </w:r>
      <w:r>
        <w:rPr>
          <w:rFonts w:ascii="Times New Roman;sans-serif" w:hAnsi="Times New Roman;sans-serif"/>
          <w:b w:val="false"/>
          <w:color w:val="000000"/>
          <w:sz w:val="18"/>
        </w:rPr>
        <w:t xml:space="preserve">Non-accelerated filer </w:t>
      </w:r>
      <w:r>
        <w:rPr>
          <w:color w:val="000000"/>
        </w:rPr>
        <w:t xml:space="preserve">☐  </w:t>
      </w:r>
      <w:r>
        <w:rPr>
          <w:rFonts w:ascii="Times New Roman;sans-serif" w:hAnsi="Times New Roman;sans-serif"/>
          <w:b w:val="false"/>
          <w:color w:val="000000"/>
          <w:sz w:val="18"/>
        </w:rPr>
        <w:t xml:space="preserve">Smaller reporting company </w:t>
      </w:r>
      <w:r>
        <w:rPr>
          <w:color w:val="000000"/>
        </w:rPr>
        <w:t>☐ </w:t>
      </w:r>
    </w:p>
    <w:p>
      <w:pPr>
        <w:pStyle w:val="TextBody"/>
        <w:bidi w:val="0"/>
        <w:spacing w:lineRule="auto" w:line="288" w:before="0" w:after="0"/>
        <w:jc w:val="left"/>
        <w:rPr/>
      </w:pPr>
      <w:r>
        <w:rPr>
          <w:rFonts w:ascii="Times New Roman;sans-serif" w:hAnsi="Times New Roman;sans-serif"/>
          <w:b w:val="false"/>
          <w:color w:val="000000"/>
          <w:sz w:val="18"/>
        </w:rPr>
        <w:t xml:space="preserve">Emerging growth company </w:t>
      </w:r>
      <w:r>
        <w:rPr>
          <w:color w:val="000000"/>
        </w:rPr>
        <w:t xml:space="preserve">☐                 </w:t>
      </w:r>
    </w:p>
    <w:p>
      <w:pPr>
        <w:pStyle w:val="TextBody"/>
        <w:bidi w:val="0"/>
        <w:spacing w:lineRule="auto" w:line="240" w:before="0" w:after="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w:t>
      </w:r>
      <w:r>
        <w:rPr>
          <w:rFonts w:ascii="Times New Roman;sans-serif" w:hAnsi="Times New Roman;sans-serif"/>
          <w:b w:val="false"/>
          <w:color w:val="000000"/>
          <w:sz w:val="18"/>
        </w:rPr>
        <w:t>No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w:t>
      </w:r>
    </w:p>
    <w:p>
      <w:pPr>
        <w:pStyle w:val="TextBody"/>
        <w:bidi w:val="0"/>
        <w:spacing w:lineRule="auto" w:line="288" w:before="0" w:after="0"/>
        <w:jc w:val="left"/>
        <w:rPr/>
      </w:pPr>
      <w:r>
        <w:rPr>
          <w:rFonts w:ascii="Times New Roman;sans-serif" w:hAnsi="Times New Roman;sans-serif"/>
          <w:b w:val="false"/>
          <w:color w:val="000000"/>
          <w:sz w:val="18"/>
        </w:rPr>
        <w:t xml:space="preserve">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w:t>
      </w:r>
    </w:p>
    <w:p>
      <w:pPr>
        <w:pStyle w:val="TextBody"/>
        <w:bidi w:val="0"/>
        <w:spacing w:lineRule="auto" w:line="288" w:before="0" w:after="0"/>
        <w:jc w:val="left"/>
        <w:rPr/>
      </w:pPr>
      <w:r>
        <w:rPr>
          <w:rFonts w:ascii="Times New Roman;sans-serif" w:hAnsi="Times New Roman;sans-serif"/>
          <w:b w:val="false"/>
          <w:color w:val="000000"/>
          <w:sz w:val="18"/>
        </w:rPr>
        <w:t xml:space="preserve">to §240.10D-1(b).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April 28, 2023, the last business day of registrant's most recently completed second fiscal quarter, the aggregate market value of shares of the registrant's common stock held by non-affiliates was $18.8 billion.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Number of shares outstanding of the registrant's common stock, as of December 1, 2023: 49,525,982</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color w:val="000000"/>
          <w:sz w:val="24"/>
        </w:rPr>
        <w:t>Documents Incorporated by Reference:</w:t>
      </w:r>
      <w:r>
        <w:rPr>
          <w:color w:val="000000"/>
        </w:rPr>
        <w:t> </w:t>
      </w:r>
    </w:p>
    <w:tbl>
      <w:tblPr>
        <w:tblW w:w="5966" w:type="dxa"/>
        <w:jc w:val="center"/>
        <w:tblInd w:w="0" w:type="dxa"/>
        <w:tblLayout w:type="fixed"/>
        <w:tblCellMar>
          <w:top w:w="28" w:type="dxa"/>
          <w:left w:w="28" w:type="dxa"/>
          <w:bottom w:w="28" w:type="dxa"/>
          <w:right w:w="28" w:type="dxa"/>
        </w:tblCellMar>
      </w:tblPr>
      <w:tblGrid>
        <w:gridCol w:w="1480"/>
        <w:gridCol w:w="1297"/>
        <w:gridCol w:w="1317"/>
        <w:gridCol w:w="109"/>
        <w:gridCol w:w="109"/>
        <w:gridCol w:w="109"/>
        <w:gridCol w:w="450"/>
        <w:gridCol w:w="450"/>
        <w:gridCol w:w="645"/>
      </w:tblGrid>
      <w:tr>
        <w:trPr/>
        <w:tc>
          <w:tcPr>
            <w:tcW w:w="1480"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Part of Form 10-K</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Portions of the Proxy Statement for the Annual Meeting</w:t>
              <w:br/>
              <w:t>of Stockholders scheduled to be held in March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Part III</w:t>
            </w:r>
          </w:p>
        </w:tc>
      </w:tr>
    </w:tbl>
    <w:p>
      <w:pPr>
        <w:pStyle w:val="TextBody"/>
        <w:bidi w:val="0"/>
        <w:spacing w:lineRule="auto" w:line="28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Our independent registered public accounting firm is KPMG LLP, San Francisco, CA, Auditor ID: 185.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Annual Report on Form 10-K</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for the Fiscal Year Ended October 31, 2023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205" w:type="dxa"/>
        <w:jc w:val="left"/>
        <w:tblInd w:w="0" w:type="dxa"/>
        <w:tblLayout w:type="fixed"/>
        <w:tblCellMar>
          <w:top w:w="28" w:type="dxa"/>
          <w:left w:w="28" w:type="dxa"/>
          <w:bottom w:w="28" w:type="dxa"/>
          <w:right w:w="28" w:type="dxa"/>
        </w:tblCellMar>
      </w:tblPr>
      <w:tblGrid>
        <w:gridCol w:w="328"/>
        <w:gridCol w:w="288"/>
        <w:gridCol w:w="289"/>
        <w:gridCol w:w="2922"/>
        <w:gridCol w:w="2909"/>
        <w:gridCol w:w="2925"/>
        <w:gridCol w:w="158"/>
        <w:gridCol w:w="158"/>
        <w:gridCol w:w="228"/>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 I</w:t>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Page</w:t>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Business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6">
              <w:r>
                <w:rPr>
                  <w:rStyle w:val="InternetLink"/>
                  <w:rFonts w:ascii="Times New Roman;sans-serif" w:hAnsi="Times New Roman;sans-serif"/>
                  <w:b w:val="false"/>
                  <w:color w:val="0000FF"/>
                  <w:sz w:val="19"/>
                  <w:u w:val="single"/>
                </w:rPr>
                <w:t>7</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1A.</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Risk Factors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9">
              <w:r>
                <w:rPr>
                  <w:rStyle w:val="InternetLink"/>
                  <w:rFonts w:ascii="Times New Roman;sans-serif" w:hAnsi="Times New Roman;sans-serif"/>
                  <w:b w:val="false"/>
                  <w:color w:val="0000FF"/>
                  <w:sz w:val="19"/>
                  <w:u w:val="single"/>
                </w:rPr>
                <w:t>19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1B.</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Unresolved Staff Comments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22">
              <w:r>
                <w:rPr>
                  <w:rStyle w:val="InternetLink"/>
                  <w:rFonts w:ascii="Times New Roman;sans-serif" w:hAnsi="Times New Roman;sans-serif"/>
                  <w:b w:val="false"/>
                  <w:color w:val="0000FF"/>
                  <w:sz w:val="19"/>
                  <w:u w:val="single"/>
                </w:rPr>
                <w:t>39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Properties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25">
              <w:r>
                <w:rPr>
                  <w:rStyle w:val="InternetLink"/>
                  <w:rFonts w:ascii="Times New Roman;sans-serif" w:hAnsi="Times New Roman;sans-serif"/>
                  <w:b w:val="false"/>
                  <w:color w:val="0000FF"/>
                  <w:sz w:val="19"/>
                  <w:u w:val="single"/>
                </w:rPr>
                <w:t>40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Legal Proceedings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28">
              <w:r>
                <w:rPr>
                  <w:rStyle w:val="InternetLink"/>
                  <w:rFonts w:ascii="Times New Roman;sans-serif" w:hAnsi="Times New Roman;sans-serif"/>
                  <w:b w:val="false"/>
                  <w:color w:val="0000FF"/>
                  <w:sz w:val="19"/>
                  <w:u w:val="single"/>
                </w:rPr>
                <w:t>41</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Item 4. </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Mine Safety Disclosures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31">
              <w:r>
                <w:rPr>
                  <w:rStyle w:val="InternetLink"/>
                  <w:rFonts w:ascii="Times New Roman;sans-serif" w:hAnsi="Times New Roman;sans-serif"/>
                  <w:b w:val="false"/>
                  <w:color w:val="0000FF"/>
                  <w:sz w:val="19"/>
                  <w:u w:val="single"/>
                </w:rPr>
                <w:t>41</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 II</w:t>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5.</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Market for Registrant's Common Equity, Related Stockholder Matters and Issuer Purchases of Equity Securities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37">
              <w:r>
                <w:rPr>
                  <w:rStyle w:val="InternetLink"/>
                  <w:rFonts w:ascii="Times New Roman;sans-serif" w:hAnsi="Times New Roman;sans-serif"/>
                  <w:b w:val="false"/>
                  <w:color w:val="0000FF"/>
                  <w:sz w:val="19"/>
                  <w:u w:val="single"/>
                </w:rPr>
                <w:t>42</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6.</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Reserved</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46">
              <w:r>
                <w:rPr>
                  <w:rStyle w:val="InternetLink"/>
                  <w:rFonts w:ascii="Times New Roman;sans-serif" w:hAnsi="Times New Roman;sans-serif"/>
                  <w:b w:val="false"/>
                  <w:color w:val="0000FF"/>
                  <w:sz w:val="19"/>
                  <w:u w:val="single"/>
                </w:rPr>
                <w:t>43</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7.</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Management's Discussion and Analysis of Financial Condition and Results of Operations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49">
              <w:r>
                <w:rPr>
                  <w:rStyle w:val="InternetLink"/>
                  <w:rFonts w:ascii="Times New Roman;sans-serif" w:hAnsi="Times New Roman;sans-serif"/>
                  <w:b w:val="false"/>
                  <w:color w:val="0000FF"/>
                  <w:sz w:val="19"/>
                  <w:u w:val="single"/>
                </w:rPr>
                <w:t>44</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7A.</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Quantitative and Qualitative Disclosure about Market Risk</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64">
              <w:r>
                <w:rPr>
                  <w:rStyle w:val="InternetLink"/>
                  <w:rFonts w:ascii="Times New Roman;sans-serif" w:hAnsi="Times New Roman;sans-serif"/>
                  <w:b w:val="false"/>
                  <w:color w:val="0000FF"/>
                  <w:sz w:val="19"/>
                  <w:u w:val="single"/>
                </w:rPr>
                <w:t>54</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8.</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Financial Statements and Supplementary Data</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67">
              <w:r>
                <w:rPr>
                  <w:rStyle w:val="InternetLink"/>
                  <w:rFonts w:ascii="Times New Roman;sans-serif" w:hAnsi="Times New Roman;sans-serif"/>
                  <w:b w:val="false"/>
                  <w:color w:val="0000FF"/>
                  <w:sz w:val="19"/>
                  <w:u w:val="single"/>
                </w:rPr>
                <w:t>55</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and Disagreements with Accountants on Accounting and Financial Disclosure</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36">
              <w:r>
                <w:rPr>
                  <w:rStyle w:val="InternetLink"/>
                  <w:rFonts w:ascii="Times New Roman;sans-serif" w:hAnsi="Times New Roman;sans-serif"/>
                  <w:b w:val="false"/>
                  <w:color w:val="0000FF"/>
                  <w:sz w:val="19"/>
                  <w:u w:val="single"/>
                </w:rPr>
                <w:t>88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9A.</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Controls and Procedures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39">
              <w:r>
                <w:rPr>
                  <w:rStyle w:val="InternetLink"/>
                  <w:rFonts w:ascii="Times New Roman;sans-serif" w:hAnsi="Times New Roman;sans-serif"/>
                  <w:b w:val="false"/>
                  <w:color w:val="0000FF"/>
                  <w:sz w:val="19"/>
                  <w:u w:val="single"/>
                </w:rPr>
                <w:t>88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9B.</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Information</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42">
              <w:r>
                <w:rPr>
                  <w:rStyle w:val="InternetLink"/>
                  <w:rFonts w:ascii="Times New Roman;sans-serif" w:hAnsi="Times New Roman;sans-serif"/>
                  <w:b w:val="false"/>
                  <w:color w:val="0000FF"/>
                  <w:sz w:val="19"/>
                  <w:u w:val="single"/>
                </w:rPr>
                <w:t>88</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9C.</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Disclosure Regarding Foreign Jurisdictions that Prevent Inspections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45">
              <w:r>
                <w:rPr>
                  <w:rStyle w:val="InternetLink"/>
                  <w:rFonts w:ascii="Times New Roman;sans-serif" w:hAnsi="Times New Roman;sans-serif"/>
                  <w:b w:val="false"/>
                  <w:color w:val="0000FF"/>
                  <w:sz w:val="19"/>
                  <w:u w:val="single"/>
                </w:rPr>
                <w:t>88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 III</w:t>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10.</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Directors, Executive Officers and Corporate Governance</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51">
              <w:r>
                <w:rPr>
                  <w:rStyle w:val="InternetLink"/>
                  <w:rFonts w:ascii="Times New Roman;sans-serif" w:hAnsi="Times New Roman;sans-serif"/>
                  <w:b w:val="false"/>
                  <w:color w:val="0000FF"/>
                  <w:sz w:val="19"/>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11.</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Executive Compensation</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54">
              <w:r>
                <w:rPr>
                  <w:rStyle w:val="InternetLink"/>
                  <w:rFonts w:ascii="Times New Roman;sans-serif" w:hAnsi="Times New Roman;sans-serif"/>
                  <w:b w:val="false"/>
                  <w:color w:val="0000FF"/>
                  <w:sz w:val="19"/>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12.</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Security Ownership of Certain Beneficial Owners and Management and Related Stockholder Matters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57">
              <w:r>
                <w:rPr>
                  <w:rStyle w:val="InternetLink"/>
                  <w:rFonts w:ascii="Times New Roman;sans-serif" w:hAnsi="Times New Roman;sans-serif"/>
                  <w:b w:val="false"/>
                  <w:color w:val="0000FF"/>
                  <w:sz w:val="19"/>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13.</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Certain Relationships and Related Transactions, and Director Independence</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60">
              <w:r>
                <w:rPr>
                  <w:rStyle w:val="InternetLink"/>
                  <w:rFonts w:ascii="Times New Roman;sans-serif" w:hAnsi="Times New Roman;sans-serif"/>
                  <w:b w:val="false"/>
                  <w:color w:val="0000FF"/>
                  <w:sz w:val="19"/>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14.</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Accounting Fees and Services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63">
              <w:r>
                <w:rPr>
                  <w:rStyle w:val="InternetLink"/>
                  <w:rFonts w:ascii="Times New Roman;sans-serif" w:hAnsi="Times New Roman;sans-serif"/>
                  <w:b w:val="false"/>
                  <w:color w:val="0000FF"/>
                  <w:sz w:val="19"/>
                  <w:u w:val="single"/>
                </w:rPr>
                <w:t>89</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 IV</w:t>
            </w:r>
          </w:p>
        </w:tc>
        <w:tc>
          <w:tcPr>
            <w:tcW w:w="8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15.</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Exhibits and Financial Statement Schedules</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69">
              <w:r>
                <w:rPr>
                  <w:rStyle w:val="InternetLink"/>
                  <w:rFonts w:ascii="Times New Roman;sans-serif" w:hAnsi="Times New Roman;sans-serif"/>
                  <w:b w:val="false"/>
                  <w:color w:val="0000FF"/>
                  <w:sz w:val="19"/>
                  <w:u w:val="single"/>
                </w:rPr>
                <w:t>90</w:t>
              </w:r>
            </w:hyperlink>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16.</w:t>
            </w:r>
          </w:p>
        </w:tc>
        <w:tc>
          <w:tcPr>
            <w:tcW w:w="8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Form 10-K Summary</w:t>
            </w:r>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3c86eef1c5e443ab4ef06a723adb0ef_178">
              <w:r>
                <w:rPr>
                  <w:rStyle w:val="InternetLink"/>
                  <w:rFonts w:ascii="Times New Roman;sans-serif" w:hAnsi="Times New Roman;sans-serif"/>
                  <w:b w:val="false"/>
                  <w:color w:val="0000FF"/>
                  <w:sz w:val="19"/>
                  <w:u w:val="single"/>
                </w:rPr>
                <w:t>94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 those described in our Securities and Exchange Commission filings, including the “Business,” “Risk Factors” and “Management's Discussion and Analysis of Financial Condition and Results of Operations” sections in this Annual Report on Form 10-K for the fiscal year ended October 31, 2023, as such Risk Factors may be updated in quarterly filings.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caution investors that forward-looking statements reflect our analysis only on their stated date. We disclaim any intent to update them except as required by law.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Summary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business faces significant risks. In addition to the summary below, you should carefully review the “Risk Factors” section of this Annual Report on Form 10-K. We may be subject to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 Some of the more significant risks relating to our business include: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impact of international conflicts, such as Russia's invasion of Ukraine, and the global response to international conflicts on the global economy, European economy, financial markets, energy markets, currency rates and our ability to supply product to, or through, affected countries.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substantial and expanding international operations and the challenges of managing an organization spread throughout multiple countries and complying with a variety of legal, compliance and regulatory requirements.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Foreign currency exchange rate and interest rate fluctuations including the risk of fluctuations in the value of foreign currencies or interest rates that would decrease our net sales and earnings.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existing and future variable rate indebtedness and associated interest expense is impacted by rate increases, which could adversely affect our financial health or limit our ability to borrow additional funds.</w:t>
      </w:r>
    </w:p>
    <w:p>
      <w:pPr>
        <w:pStyle w:val="TextBody"/>
        <w:bidi w:val="0"/>
        <w:spacing w:lineRule="auto" w:line="268" w:before="0" w:after="0"/>
        <w:ind w:left="0" w:right="0" w:hanging="720"/>
        <w:jc w:val="left"/>
        <w:rPr/>
      </w:pPr>
      <w:r>
        <w:rPr>
          <w:color w:val="000000"/>
        </w:rPr>
        <w:t>•</w:t>
      </w:r>
      <w:r>
        <w:rPr>
          <w:rFonts w:ascii="Times New Roman;sans-serif" w:hAnsi="Times New Roman;sans-serif"/>
          <w:b w:val="false"/>
          <w:color w:val="000000"/>
          <w:sz w:val="19"/>
        </w:rPr>
        <w:t xml:space="preserve">Changes in tax laws, examinations by tax authorities, and changes in our geographic composition of income.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Market consolidation of large customers globally through mergers or acquisitions resulting in a larger proportion or concentration of our business being derived from fewer customers.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Disruptions in supplies of raw materials, particularly components used to manufacture our silicone hydrogel lenses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Legal costs, insurance expenses, settlement costs and the risk of an adverse decision, prohibitive injunction or settlement related to product liability, patent infringement, contractual disputes, or other litigation.</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Limitations on sales following product introductions due to poor market acceptance.</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New competitors, product innovations or technologies, including but not limited to, technological advances by competitors, new products and patents attained by competitors, and competitors' expansion through acquisitions.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Reduced sales, loss of customers and costs and expenses related to product recalls and warning letters.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to receive, or delays in receiving, regulatory approvals or certifications for products.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of our customers and end users to obtain adequate coverage and reimbursement from third-party payers for our products and services.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requirement to provide for a significant liability or to write off, or accelerate depreciation on, a significant asset, including goodwill, other intangible assets and idle manufacturing facilities and equipment.</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success of our research and development activities and other start-up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Dilution to earnings per share from acquisitions or issuing stock.</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Impact and costs incurred from changes in accounting standards and policies.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Risks related to environmental laws and requirements applicable to our facilities, products or manufacturing processes, including evolving regulations regarding the use of hazardous substances or chemicals in our products.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Risks related to environmental, social and corporate governance (ESG) issues, including those related to climate change and sustainability.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240" w:after="283"/>
        <w:jc w:val="left"/>
        <w:rPr/>
      </w:pPr>
      <w:r>
        <w:rPr>
          <w:rFonts w:ascii="Times New Roman;sans-serif" w:hAnsi="Times New Roman;sans-serif"/>
          <w:b/>
          <w:color w:val="000000"/>
          <w:sz w:val="19"/>
        </w:rPr>
        <w:t>Item 1</w:t>
      </w:r>
      <w:r>
        <w:rPr>
          <w:rFonts w:ascii="Times New Roman;sans-serif" w:hAnsi="Times New Roman;sans-serif"/>
          <w:b/>
          <w:i/>
          <w:color w:val="000000"/>
          <w:sz w:val="19"/>
        </w:rPr>
        <w:t>. Business</w:t>
      </w:r>
      <w:r>
        <w:rPr>
          <w:rFonts w:ascii="Times New Roman;sans-serif" w:hAnsi="Times New Roman;sans-serif"/>
          <w:b/>
          <w:color w:val="000000"/>
          <w:sz w:val="19"/>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OVERVIEW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Cooper Companies, Inc. (Cooper, we or the Company), is a global medical device company with a mission to improve lives one person at a time. We partner with health care providers worldwide to improve patient outcomes and deliver practice-building resources and training. By listening closely to the healthcare providers and patients, we fulfill the needs of today while focusing on the opportunities of tomorrow through innovation and strategic investment.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 operates through two business segments, CooperVision and CooperSurgical. Our two business segments elevate standards of care with products and services in the fields of vision, fertility and women’s health. For financial information relating to these business segments, refer to Note 12. Business Segment Information in Item 8. Financial Statements and Supplementary Data of this Annual Report.</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 is a global manufacturer providing products for contact lens wearers. CooperVision develops, manufactures and markets a broad range of single-use, two-week and monthly contact lenses, featuring advanced materials and optics. CooperVision designs its products to address vision challenges such as astigmatism, presbyopia and myopia with a broad collection of spherical, toric and multifocal contact lenses. CooperVision offers contact lenses in materials like silicone hydrogel Aquaform technology. CooperVision also manufactures and markets myopia management products, including the internally developed MiSight 1 day lens, as well as other specialty eyecare products such as orthokeratology (ortho-k) and scleral lenses. In November 2019, the MiSight 1 day lens became the first and only product approved by the United States Food and Drug Administration (FDA) for slowing the progression of myopia in children aged 8-12 at the initiation of treatment, and in August 2021, CooperVision received Chinese National Medical Products Administration (NMPA) approval for use of the MiSight 1 day lens in China. CooperVision’s major manufacturing and distribution facilities are located in Belgium, Costa Rica, Hungary, Puerto Rico, the United Kingdom and the United States, with other smaller facilities in multiple locations around the world.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 offers a broad array of products and services focused on fertility and women's health. We categorize CooperSurgical product sales based on the point of health care delivery, which includes: products used in medical offices, ambulatory surgical centers and hospitals primarily by Obstetricians/Gynecologists (OB/GYN); and fertility products and services used primarily in fertility clinics. Our portfolio encompasses more than 600 products and services. Our medical devices are used in gynecology and obstetrics, including but not limited to contraception and labor and delivery as well as cord blood and cord storage services. Our fertility portfolio encompasses medical devices supporting the in vitro fertilization (IVF) cycle, egg and sperm donation, cryopreservation, and genomic services (including genetic testing). CooperSurgical has established its market presence and distribution system by developing products and acquiring companies, products and services that complement its business model. CooperSurgical's major manufacturing, cryostorage and distribution facilities are located in Costa Rica, the Netherlands, the United Kingdom and the United States, with other smaller facilities in multiple locations around the world.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color w:val="000000"/>
          <w:sz w:val="19"/>
        </w:rPr>
        <w:t>SEGMENT INFORMATION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CooperVision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competes in the worldwide soft contact lens market and services three primary regions: the Americas, EMEA (Europe, Middle East and Africa) and Asia Pacific. The two major product categories of contact lenses sold by CooperVision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Spherical lenses, including lenses that correct near- and farsightedness uncomplicated by more complex visual defects, myopia management lenses, which slow the progression of and correct myopia in age-appropriate children, and other specialty lenses.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 xml:space="preserve">Toric and multifocal lenses, including lenses that, in addition to correcting near- and farsightedness, address more complex visual defects such as astigmatism, myopia and presbyopia by adding optical properties of cylinder and axis, which correct for irregularities in the shape of the cornea.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order to achieve a comfortable and healthier lens wearing experience, products are sold with recommended wearing and replacement schedules, often referred to as modalities, with the primary modalities being single-use lenses designed for one-day use and frequent replacement (FRP) lenses designed for two-week and monthly replacement. CooperVision offers spherical, toric, multifocal and toric multifocal lens products in most modalities and in a wide range of lens parameters.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CooperVision Product Modalities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u w:val="single"/>
        </w:rPr>
      </w:pPr>
      <w:r>
        <w:rPr>
          <w:rFonts w:ascii="Times New Roman;sans-serif" w:hAnsi="Times New Roman;sans-serif"/>
          <w:b w:val="false"/>
          <w:i/>
          <w:color w:val="000000"/>
          <w:sz w:val="19"/>
          <w:u w:val="single"/>
        </w:rPr>
        <w:t>Frequent replacement lenses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Under the Biofinity brand, CooperVision markets monthly silicone hydrogel spherical (including Biofinity Energys), toric, multifocal and toric multifocal (made-to-order) lens products. Our Biofinity brand is CooperVision's highest grossing product. CooperVision also markets two-week silicone hydrogel spherical and toric lenses under the Avaira Vitality brand.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u w:val="single"/>
        </w:rPr>
      </w:pPr>
      <w:r>
        <w:rPr>
          <w:rFonts w:ascii="Times New Roman;sans-serif" w:hAnsi="Times New Roman;sans-serif"/>
          <w:b w:val="false"/>
          <w:i/>
          <w:color w:val="000000"/>
          <w:sz w:val="19"/>
          <w:u w:val="single"/>
        </w:rPr>
        <w:t>Single-use lenses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CooperVision markets single-use silicone hydrogel lenses under our MyDay</w:t>
      </w:r>
      <w:r>
        <w:rPr>
          <w:color w:val="000000"/>
        </w:rPr>
        <w:t xml:space="preserve"> </w:t>
      </w:r>
      <w:r>
        <w:rPr>
          <w:rFonts w:ascii="Times New Roman;sans-serif" w:hAnsi="Times New Roman;sans-serif"/>
          <w:b w:val="false"/>
          <w:color w:val="000000"/>
          <w:sz w:val="19"/>
        </w:rPr>
        <w:t>brand and our clariti 1 day brand. The MyDay</w:t>
      </w:r>
      <w:r>
        <w:rPr>
          <w:color w:val="000000"/>
        </w:rPr>
        <w:t xml:space="preserve"> </w:t>
      </w:r>
      <w:r>
        <w:rPr>
          <w:rFonts w:ascii="Times New Roman;sans-serif" w:hAnsi="Times New Roman;sans-serif"/>
          <w:b w:val="false"/>
          <w:color w:val="000000"/>
          <w:sz w:val="19"/>
        </w:rPr>
        <w:t>brand is our softest line of 1-day silicone hydrogel lenses and offers spherical (including MyDay Energys</w:t>
      </w:r>
      <w:r>
        <w:rPr>
          <w:color w:val="000000"/>
        </w:rPr>
        <w:t xml:space="preserve"> </w:t>
      </w:r>
      <w:r>
        <w:rPr>
          <w:rFonts w:ascii="Times New Roman;sans-serif" w:hAnsi="Times New Roman;sans-serif"/>
          <w:b w:val="false"/>
          <w:color w:val="000000"/>
          <w:sz w:val="19"/>
        </w:rPr>
        <w:t>), toric, and multifocal lenses. The clariti 1-day brand is our most affordable line of silicone hydrogel 1-day lenses and offers spherical, toric, and multifocal lenses. CooperVision also offers traditional single-use hydrogel lenses under our Proclear and Biomedics brands.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 focuses on supporting the growth of all customers including key accounts (which include optical chains, global retailers, certain buying groups and mass merchandisers) by investing in selling, promotional and advertising activities. Further, we are increasing investment in our distribution and packaging capabilities to support the growth of our business and to continue providing quality service with our industry leading stock keeping unit ("SKU") range and customized offerings.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Market for Contact Lenses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market for spherical lenses is growing with the addition of new value-added products, such as spherical lenses that may provide improved comfort for contact lens related dryness during lens wear and that add aspherical optical properties, more higher oxygen permeable lenses such as silicone hydrogels, and myopia management contact lenses for children aged 8 to 12 years old. CooperVision believes that there are opportunities for contact lenses to gain market share, particularly in markets where the penetration of contact lenses in the vision correction market is low.</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9"/>
        </w:rPr>
        <w:t>We believe that myopia management opens up an attractive new market for contact lenses. With MiSight, we offer the only FDA approved</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9"/>
        </w:rPr>
        <w:t>and first Chinese NMPA approved product to slow the progression of, and correct, myopia in age-appropriate children. This is a critical differentiator as the proactive management of myopia becomes standard-of-care within the eye care community to help reduce the progression of myopia in children, along with reducing the risks of long-term eye health problems associated with myopia such as cataracts, retinal detachment, and macular degeneration. We are investing to develop this new market by educating eye care practitioners, patients and their families, which increases awareness.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 is focused on greater worldwide market penetration of recently introduced products, and we continue to expand our presence in existing and emerging markets, both organically and through acquisitions. In fiscal 2023, CooperVision acquired a private U.S.-based company that provides a broad portfolio of technologically advanced contact lens products, including scleral and hybrid lenses. In fiscal 2022, CooperVision acquired a private Denmark-based ortho-k contact lens distributor. These acquisitions expanded CooperVision’s specialty eye care portfolio and its leadership in addressing the increasing severity and prevalence of myopia.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CooperSurgical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 focuses on advancing fertility and women's health through a diversified portfolio including fertility products and services, medical devices, cryostorage (such as cord blood and cord tissue storage) and contraception. We offer quality products, innovative technologies and superior services to health care professionals and patients worldwide. CooperSurgical collaborates with health care professionals to identify products and new technologies to bring to market. The result is a broad portfolio of products and services that are intended to aid in the delivery of improved clinical outcomes for patients and are routinely used by health care professionals in the diagnosis and treatment of a wide spectrum of women's health and reproductive issues.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distributes its products and services through OB/GYN and medical offices, hospital and ambulatory surgery centers and fertility clinics, as well as direct-to-consumer. A focus area for CooperSurgical is key accounts, which include large group practices, integrated delivery networks and certain buying groups within the office/surgical business and fertility clinic networks within the fertility business. We believe our portfolio of offerings and focus on service, quality and clinical education will help increase our share of business within these key account groups.</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5"/>
        </w:rPr>
        <w:t>Indications for use of MiSight 1 day (omafilcon A) soft (hydrophilic) contact lenses for daily wear are indicated for the correction of myopic ametropia and for slowing the progression of myopia in children with non-diseased eyes, who at the initiation of treatment are 8-12 years of age and have a refraction of -0.75 to -4.00 diopters (spherical equivalent) with ≤ 0.75 diopters of astigmatism. The lens is to be discarded after each removal.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Since its inception in 1990, CooperSurgical has established its market presence and distribution system by developing products and acquiring products and companies that complement its business model. In fiscal 2022, CooperSurgical acquired both a private cryopreservation services company and Generate Life Sciences (Generate), a private leading provider of donor egg and sperm for fertility treatments, fertility cryopreservation services and newborn stem cell storage (cord blood and cord tissue). We expect to continue investing in CooperSurgical's business, including through strategic transactions, with the goal of expanding our integrated solutions model within the areas of fertility and women's health.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19"/>
        </w:rPr>
      </w:pPr>
      <w:r>
        <w:rPr>
          <w:rFonts w:ascii="Times New Roman;sans-serif" w:hAnsi="Times New Roman;sans-serif"/>
          <w:b/>
          <w:i/>
          <w:color w:val="000000"/>
          <w:sz w:val="19"/>
        </w:rPr>
        <w:t>CooperSurgical Product Categories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19"/>
          <w:u w:val="single"/>
        </w:rPr>
      </w:pPr>
      <w:r>
        <w:rPr>
          <w:rFonts w:ascii="Times New Roman;sans-serif" w:hAnsi="Times New Roman;sans-serif"/>
          <w:b w:val="false"/>
          <w:i/>
          <w:color w:val="000000"/>
          <w:sz w:val="19"/>
          <w:u w:val="single"/>
        </w:rPr>
        <w:t xml:space="preserve">Office/Surgical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 sells a wide variety of innovative medical devices and services used in gynecology and obstetrics, including in labor and delivery, as well as to screen, diagnose and treat women's health and reproductive issues.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offers the cryostorage of newborn cord blood and cord tissue, which are potent sources of stem cells that have the potential for treatment and healing. Our newborn stem cell storage services are available in the United States, Canada and Australia.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PARAGARD is a hormone-free intrauterine device (IUD) offered by CooperSurgical that prevents pregnancy for up to ten years using copper as the only active ingredient. It is the only FDA approved non-hormonal IUD contraceptive option and is exclusively sold in the United States.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19"/>
          <w:u w:val="single"/>
        </w:rPr>
        <w:t>Fertility</w:t>
      </w:r>
      <w:r>
        <w:rPr>
          <w:color w:val="000000"/>
          <w:u w:val="single"/>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has broad product offerings for fertility evaluations and IVF procedures by OB/GYN professionals, reproductive endocrinologists and embryologists. In fertility clinics, our products include media, micro-tools and lab equipment. Additionally, CooperSurgical offers services to clinics and families undergoing assisted reproductive technologies including donor gametes, cryostorage, and genomic services.</w:t>
      </w:r>
    </w:p>
    <w:p>
      <w:pPr>
        <w:pStyle w:val="TextBody"/>
        <w:bidi w:val="0"/>
        <w:spacing w:lineRule="auto" w:line="288" w:before="180" w:after="283"/>
        <w:jc w:val="left"/>
        <w:rPr>
          <w:rFonts w:ascii="Times New Roman;sans-serif" w:hAnsi="Times New Roman;sans-serif"/>
          <w:b/>
          <w:i/>
          <w:color w:val="000000"/>
          <w:sz w:val="19"/>
        </w:rPr>
      </w:pPr>
      <w:r>
        <w:rPr>
          <w:rFonts w:ascii="Times New Roman;sans-serif" w:hAnsi="Times New Roman;sans-serif"/>
          <w:b/>
          <w:i/>
          <w:color w:val="000000"/>
          <w:sz w:val="19"/>
        </w:rPr>
        <w:t>Market for Fertility and Women's Health Care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participates in the market for women's and family health care with its diversified product lines at various points of health care delivery: OB/GYN medical offices, hospitals and surgical centers, and fertility clinics. In recent years, including with the acquisition of Generate in fiscal 2022, CooperSurgical’s business increasingly includes marketing and selling to end consumers through our cryostorage (such as cord blood and cord tissue storage) and reproductive planning products and services.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CooperSurigcal expects that OB/GYN medical offices and fertility clinics will continue to move away from private practice ownership and toward group practices and networks. As the consolidation trend continues it will have increased influence over supply chain control, group purchases, value analysis committees, product evaluation and procurement. We believe CooperSurgical's broad product portfolio can benefit in this changing environment as customers look to standardize and consolidate vendors.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Trends specific in the OB/GYN market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increase in office-based and outpatient procedures, given high patient satisfaction, reduction of healthcare costs and comparative clinical outcomes.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A focus on reducing pregnancy and childbirth complications.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 xml:space="preserve">The obstetrician being a key contributor to stem cell storage, facilitating the collection of cord blood and cord tissue following delivery in most markets.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 xml:space="preserve">Initial evaluation and treatments for infertility, such as uterine assessment, ovulatory medications and intrauterine insemination (IUI), beginning with the OB/GYN and then transitioning to fertility clinics.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Trends specific in the fertility market include: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Infertility rates are increasing globally, and there is a significant unmet need for fertility products and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maternal age is increasing.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Patient awareness of, and access to, services is increasing.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19"/>
        </w:rPr>
        <w:t>The number of fertility clinics is rising worldwide.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Single parents by choice and LGBTQIA+ individuals are starting families.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Improved product offerings such as donor activity and cryopreservation services are becoming available.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Technology improvements are being developed for both male and female infertility challenges.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Worldwide disposable income is increasing.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COMPETITION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markets in which we participate are highly competitive and involve the continual search for technological and scientific innovations. Competitive factors in these markets include technological and scientific advances, product quality and availability, price, customer service including response time and effective communication of product information to clinicians and consumers, and manufacturing processes. Competitors may have greater financial resources, larger research and development budgets, larger sales forces, greater market penetration and/or larger manufacturing capacity. Both CooperVision and CooperSurgical compete predominantly on the basis of product quality and differentiation, technological benefits, price, service levels and reliability.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CooperVision Competition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largest competitors in the worldwide market and its primary competitors in the spherical, toric and multifocal lens categories of that market are Johnson &amp; Johnson Vision Care, Inc., Alcon Inc. and Bausch + Lomb. To a lesser extent, CooperVision also competes with manufacturers of eyeglasses and providers of other forms of vision correction including ophthalmic surgery. We believe that in order to compete successfully in the numerous categories of the contact lens market, companies must offer differentiated products that are priced competitively and manufactured efficiently. CooperVision competes in its markets by producing high, medium and low-volume lenses made with a variety of materials for a broader range of market niches, as well as offering a wide range of lens parameters, leading to a higher rate of successful fitting for practitioners and better visual acuity for patients. Our ability to compete successfully with a full range of silicone hydrogel products is an important factor to achieving success in our business. We also compete based on our customer and professional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CooperSurgical Competition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 focuses on selected segments of the fertility and women's health care market with a diversified portfolio including fertility products and services, medical devices, cryostorage (such as cord blood and cord tissue storage) and contraception. CooperSurgical's strategy includes developing and acquiring new solutions to complement our current offerings. In the fertility market, CooperSurgical competes against Vitrolife Group, FujiFilm-Irvine Scientific, Cook Medical, Hamilton Thorne, and Fairfax Cryobank and Fairfax EggBank. We also compete with fertility clinics offering their own services. Larger companies such as Johnson &amp; Johnson, Medtronic and Hologic have offerings that compete with our medical device products. In the stem cell storage field, we compete primarily with ViaCord, a division of Revvity, in the United States, as well as other smaller companies globally. With PARAGARD, we compete with manufacturers of hormonal IUDs including Bayer and AbbVie, Long Acting Reversible Contraceptives (LARCs) including Organon, and other forms of birth control. We are aware of a non-hormonal IUD under development, which may compete with PARAGARD in the future.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employs approximately 400 people in research and development. CooperVision's product development and clinical research is supported by internal and external specialists in lens design, formulation science, polymer chemistry, engineering, clinical trials, microbiology and biochemistry. CooperVision's research and development activities primarily include programs to develop new contact lens designs, myopia management, and manufacturing technologies, along with improving formulations and existing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 conducts research and development in-house, and works with external specialists when necessary, in mechanical, electrical, biomedical and software engineering, as well as life sciences. CooperSurgical research and development activities are focused on innovating, improving, and advancing our products and services including, instruments, devices, consumables, digital services, and manufacturing technologies.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GOVERNMENT REGULATION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Our products are subject to extensive regulation by the FDA in the United States and a variety of regulatory agencies in other countries. The process of obtaining regulatory approvals and the subsequent compliance with applicable federal, state, local and foreign statutes and regulations requires the expenditure of substantial time and financial resources. These regulations govern, among other things, the design and development, testing, manufacturing, labeling, storage, record keeping, premarket clearance, approval or certification, post-market vigilance reporting, advertising and promotion, and sales and distribution of medical devices and pharmaceutical products. Failure to comply with the applicable regulations, which are subject to established and new legislation and change, could result in enforcement action by the FDA, or other U.S. or foreign government agencies which may include, among other things, any of the following consequences: warning letters, civil penalties, refusal or withdrawal of approvals or certifications, license suspension or revocation, product recalls, operating restrictions, suspension or shutdown of production, and criminal prosecution.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Regulation in the United States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 xml:space="preserve">Medical Devices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Most of our products are medical devices, which must comply with the Federal Food, Drug and Cosmetic Act (FDCA) and the regulations promulgated by the FDA thereunder. The FDA classifies medical devices into one of three classes—Class I, II or III—depending on the degree of risk associated with each medical device and the extent of control needed to ensure the medical device's safety and effectiveness. Both CooperVision and CooperSurgical develop and market medical devices subject to different levels of FDA regulation depending on the classification and risk profile of the device. Class III devices, such as extended wear contact lenses, require extensive premarket testing and approval, while Class I and II devices require lower levels of regulation. The majority of CooperSurgical's products are Class II devices. Unless an exemption applies, each medical device we wish to distribute commercially in the United States will require either premarket notification to the FDA requesting clearance for commercial distribution under Section 510(k) of the FDCA, a premarket approval (PMA) from the FDA, or a de novo classification and request for marketing authorization submitted to and granted by the FDA.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If we are required to obtain a 510(k) clearance for a device that we wish to market, we must submit a premarket notification to the FDA demonstrating that the device is substantially equivalent to a device commercially distributed in the United States before May 28, 1976 (a pre-amendments device), or to a device that was found to be substantially equivalent to a pre-amendments device. If the FDA agrees that the device is substantially equivalent, it will grant 510(k) clearance to commercially market the device. If the FDA determines that the device is not substantially equivalent to a legally marketed device, the FDA automatically designates the device as a Class III device. The sponsor of a device automatically designated as Class III must either fulfill more rigorous PMA requirements or request a risk-based classification determination for the device in accordance with the de novo process. The de novo process is a pathway to market for novel medical devices that are low to moderate risk and are not substantially equivalent to a predicate device.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 PMA application must be submitted if the device cannot be cleared through the 510(k) premarket notification procedures, or if the device has been previously classified as Class III. The PMA process is much more demanding than the 510(k) premarket notification process. A PMA application must be supported by extensive data including, but not limited to, technical, pre-clinical, clinical trials, manufacturing and labeling to demonstrate to the FDA's satisfaction the safety and effectiveness of the device for its intended use. Prior to commencing human clinical trials, submission of an application for an investigational device exemption (IDE) and receipt of IDE approval from the FDA is required if the device under evaluation presents a significant risk to human health. The process of gathering supporting information leading up to PMA application, and the subsequent FDA review, can take several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After a device is placed on the market, numerous regulatory requirements apply. These include: establishment registration and device listing with the FDA; the FDA's Quality System Regulation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 labeling, advertising and promotion;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broad post-market and regulatory enforcement powers. We are subject to unannounced inspections for cause by the FDA to determine our compliance with the QSR and other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the United States, under the FDCA and the FDA’s regulatory framework, in vitro diagnostic devices (IVDs) are a type of medical device that can be used in the diagnosis or detection of diseases, such as cancer, or other conditions. The FDA considers Laboratory Developed Tests (LDTs) to be a subset of IVDs that are designed, manufactured, and used within a single laboratory. Furthermore, in October 2023, the FDA published a proposed rule to amend its regulations to make explicit that LDTs are devices under the FDCA. As we operate a genetic testing laboratory, we are required to hold certain federal, state and local licenses, certifications and permits to conduct our business. Under the Clinical Laboratory Improvement Amendments of 1988 (CLIA) regulations,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have current certification under CLIA to perform testing at our New Jersey facility. In addition to federal certification requirements of laboratories under CLIA, licensure is required and maintained for our laboratory under state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Human cells, tissues, and cellular and tissue-based products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currently operate a provider of donated reproductive tissue (eggs and sperm) for fertility treatments, fertility cryopreservation services and newborn stem cell storage. Eggs and sperm are regulated by the FDA as human cells, tissues, and cellular and tissue-based products (HCT/Ps). In addition, Section 361 of the Public Health Service Act (PHSA) authorizes the FDA to issue regulations with respect to HCT/Ps. To be regulated as a "361 HCT/P", the product must, among other things, be minimally manipulated and intended only for homologous uses. HCT/Ps regulated as 361 HCT/Ps are subject to requirements relating to registering facilities and listing products with the FDA, and stringent requirements for processing, storing, labeling and distributing HCT/Ps, including required labeling information, screening and testing for tissue donor eligibility, record keeping and adverse event reporting, among other applicable requirements and laws. 361 HCT/Ps do not require 510(k) clearance, PMA approval, submission of a Biologics License Application, or other premarket authorization from the FDA before marketing. We believe our HCT/Ps are regulated as 361 HCT/Ps.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Pharmaceutical Products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United States, the FDA regulates pharmaceutical products under the FDCA and its implementing drug regulations. The FDA has determined that the primary mode of action for PARAGARD is the drug component and is therefore regulated by the FDA’s Center for Drug Evaluation and Research as a drug product. The process required by the FDA before a drug may be marketed in the United States generally involves numerous and time-consuming steps, including preclinical laboratory tests, human clinical trials, FDA reviews, inspections and audits and compliance with post-approval requirements.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Any drug products manufactured or distributed by us pursuant to FDA approvals are subject to continuing regulation by the FDA as the FDA may withdraw the approval if compliance with regulatory requirements and standards is not maintained or if problems occur after the product reaches the market. Drug manufacturers and their subcontractors are required to be in compliance with Good Manufacturing Practices, or cGMPs, and other requirements. Accordingly, manufacturers must continue to expend time, money and effort in the area of production and quality control to maintain cGMP compliance. In addition, the FDA closely regulates the marketing, promotion and distribution of pharmaceutical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Foreign Regulation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Health authorities in foreign countries regulate Cooper's clinical studies and medical device sales. Even if the FDA has cleared or approved a product in the United States, the regulatory agencies or notified bodies in other countries must approve or certify new products and product modifications before they may be marketed in those countries. The regulations vary widely from country to country, although there is a trend towards harmonization of quality system standards among the European Union (EU), United States, Canada and various other industrialized countries. Medical devices marketed or sold in the EU must meet the CE mark requirements and maintain certain certifications. CooperVision maintains ISO 13485 certification and CE marks for its products and CooperSurgical maintains ISO 13485 certification and CE marks for medical devices and ISO 15189 certification for the genomics laboratories. The ISO 13485 Quality Management System certification is now also required for registration of products in Asia Pacific and Latin American countries, among many other requirements for registration in these countries. In order to maintain these quality benchmarks, the Company is subjected to rigorous biannual reassessment audits of its quality systems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EU rules below are generally applicable in the European Economic Area (EEA) which consists of the 27 EU member states plus Norway, Liechtenstein and Iceland, while the majority of the United Kingdom now operates under a separate regulatory regime following the United Kingdom's withdrawal from the EU on January 31, 2020.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Medical Device and In Vitro Diagnostic Medical Device Regulation in the EU</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Until May 25, 2021, medical devices sold in the EU were regulated by the Medical Device Directive (the EU MDD), which has been repealed and replaced by the Medical Device Regulation (the EU MDR). Similarly, the EU has adopted the In Vitro Diagnostic Medical Device Regulation (the EU IVDR), which repealed and replaced the In Vitro Diagnostic Medical Device Directive (the EU IVDD) and became applicable on May 26, 2022. The majority of our current certificates have been granted under the EU MDD and the EU IVDD. Devices lawfully placed on the market pursuant to the EU MDD and EU IVDD may generally continue to be made available on the market or put into service provided that the requirements of transitional provisions are fulfilled. Pursuing marketing of medical devices (including IVDs) in the EU will require that our devices be certified under the new regimes set forth in the EU MDR and the EU IVDR.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EU, the safety and performance of medical devices (including IVDs) are evaluated by the designated Notified Bodies via the submission of Technical Dossiers, depending on the product classifications. A Declaration of Conformity to the Medical Device Directive (MDD) or Medical Device Regulation (MDR) is drawn out as a basis for European conformity marking (CE Mark). All medical devices placed on the EU market must meet general safety and performance requirements,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Compliance with the general safety and performance requirements is also a prerequisite for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With certain exceptions, a conformity assessment procedure requires the intervention of notified bodies, which are independent organizations designated by EU member states to assess the conformity of devices before being placed on the market. Typically, satisfactory completion of an audit and examinations of a product’s technical dossiers and the manufacturer’s quality system is required before the issuance of a certificate by the notified body. This certificate, along with the Declaration of Conformity, are then used by the manufacturer as basis for CE mark.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Throughout the term of the certificate, the manufacturer will be subject to periodic surveillance audits to verify continued compliance with the applicable requirements.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all manufacturers placing medical devices on the market in the EU are subject to various other regulations, including compliance with the EU medical device vigilance system, directives and requirements regarding the advertisement and promotion of medical devices and inspections rights of regulatory authorities.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Laboratory Developed Test Regulation in the EU</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the EU, laboratory developed tests (LDTs) are exempt from the regulations that govern medical devices and IVDs under certain conditions. In order to fall within this exemption under the EU IVDD, medical devices, including LDTs, had to be designed and used within such health institutions (which may include hospitals, laboratories and public health institutions that support the healthcare system and/or address patient needs but do not treat or care for patients directly) on a non-industrial scale, without being released into the market. While the legal framework for applying the exemption under the EU IVDD to LDTs was not entirely clear, the EU IVDR may provide greater clarity on the regulation of LDTs.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Our current and future tests will need to be analyzed as to whether any or all of them would qualify for an exemption under EU IVDR; otherwise, we will be required to comply with various certification and documentation criteria, and we may be subject to conformity assessments and inspections.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19"/>
        </w:rPr>
      </w:pPr>
      <w:r>
        <w:rPr>
          <w:rFonts w:ascii="Times New Roman;sans-serif" w:hAnsi="Times New Roman;sans-serif"/>
          <w:b/>
          <w:i/>
          <w:color w:val="000000"/>
          <w:sz w:val="19"/>
        </w:rPr>
        <w:t>Medical Devices and In Vitro Diagnostic Medical Devices Regulations in the United Kingdom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Following the United Kingdom’s withdrawal from the EU, commonly referred to as Brexit, EU laws no longer apply directly in Great Britain (England, Wales and Scotland). Under the terms of the Ireland/Northern Ireland Protocol agreed between the EU and United Kingdom, many EU laws, including those relating to medical devices and IVDs do still apply in Northern Ireland.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Great Britain, the legislative regime currently continues to be based on the requirements set out in the EU MDD, the Active Implantable Medical Devices Directive (EU AIMDD), and the EU IVDD. However, the Government is currently developing substantial reforms to the Great Britain regulatory regime for medical devices and IVDs.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19"/>
        </w:rPr>
      </w:pPr>
      <w:r>
        <w:rPr>
          <w:rFonts w:ascii="Times New Roman;sans-serif" w:hAnsi="Times New Roman;sans-serif"/>
          <w:b/>
          <w:i/>
          <w:color w:val="000000"/>
          <w:sz w:val="19"/>
        </w:rPr>
        <w:t>Medical Device and In Vitro Diagnostic Medical Device Regulation in Asia Pacific</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As in other regions, securing regulatory approvals in Asia Pacific is a critical aspect of commercializing our products. While medical device regulations in the Asia Pacific are based on similar regulatory fundamentals (such as risk-based classification of devices) as other regions, navigating the regulatory landscape in Asia Pacific is extremely complex. Medical device regulation in Asia Pacific differs significantly country by country, requiring specific regulatory affairs expertise in each country, as well as country-based regulatory strategies. The regulatory framework maturity in Asia Pacific is widely varied ranging from well-established to emerging, approval timelines can be lengthy and unpredictable and there is less access to and engagement with regulators compared to other markets. Several key Asia Pacific markets require regulatory approval in other countries prior to registration, increasing the time from completion of product development to product launch. For example, in China, manufacturers must provide proof of home country approval (such as the United States or EU) as part of the regulatory registration/approval process.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National Medical Products Administration (NMPA) regulates medical devices in China. Medical devices in China are classified by risk into Class I (lowest risk), Class II or Class III (highest risk). China requires physical testing (known as ‘type testing’) of medical device samples by in-country testing centers to confirm compliance with specifications and standards, both pre- and post-market. Additionally, NMPA generally requires in-country clinical trials to support new product registrations, rather than relying on foreign clinical data.</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Japan, the primary regulation governing medical devices is the Pharmaceutical and Medical Device Act (PMD Act). The Ministry of Health, Labor and Welfare (MHLW) and the Pharmaceutical and Medical Device Agency (PMDA) regulate medical devices. The PMDA evaluates the safety and effectiveness of medical devices prior to granting marketing authorization or approval, and monitors post-market safety of approved devices. The PMDA is also the Quality Management System (QMS) Inspection Authority. Medical devices are placed into one of four risk classes based on potential risk, with Class I being the lowest potential risk and Class IV being the highest. Contact lenses, for example, are regulated as Class III devices and require premarket approval (registration), an expensive and lengthy process depending on the application category. A novel or new medical device application will generally require local clinical trial data, extending the time to approval. The registration process in Japan requires a QMS application and inspection. Additionally, separate from the registration process, a Foreign Manufacturer Registration is required before a company can import medical devices manufactured outside Japan.</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Japan and Australia participate in the Medical Device Single Audit Program, which allows for the acceptance of QMS audit reports from other participating Regulatory Authorities, including the FDA.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Other Health Care Regulation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subject to various federal, state and foreign laws to prevent fraud and abuse in the healthcare industry and protect personal health-related information, including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state, federal and similar foreign anti-kickback laws, which generally prohibit payments and other forms of remuneration to induce or in return for the purchase, lease, order or arranging for the purchase, lease or order of a product or service;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federal physician self-referral law, known as the Stark Law, which generally prohibits physicians from referring Medicare or Medicaid patients to receive designated health services from an entity which the physician, or a member of the physician's immediate family, has a financial interest in;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the federal False Claims Act, which prohibits any individual or entity from presenting or causing to be presented false claims for payment to the federal government;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federal and state laws that prohibit executing, or attempting to execute, a scheme to obtain money from any healthcare benefit program under false pretenses;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Physician Payments Sunshine Act and similar state and foreign laws that require medical device and pharmaceutical manufacturers to disclose financial relationships with health care professionals and teaching hospitals;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data privacy and security laws and regulations, such as the Health Insurance Portability and Accountability Act of 1996 (HIPAA) and the EU General Data Protection Regulation (GDPR), which are intended to protect the collection, use, access to, confidentiality and security of health-related and other personal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Coverage and Reimbursement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Market acceptance and sales of our CooperSurgical products to our customers, who primarily consist of hospitals and surgical centers, OB/GYN medical offices and fertility clinics, will depend on the availability of payor coverage and the adequacy of reimbursement, for the procedures using our products, by government insurance programs and other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party payors. Payor coverage and reimbursement for procedures using medical devices in the United States and international markets vary significantly by country. With respect to drug coverage and reimbursement, third-party payors are increasingly challenging the price and examining the medical necessity and cost-effectiveness of drugs, in addition to their safety and efficacy. 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Healthcare Reform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the United States and foreign countries,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 We expect that additional state, federal and foreign healthcare reform measures will be adopted in the future, any of which could limit the amounts that state, federal and foreign governments will pay for healthcare products and services, which could result in reduced demand for our products or additional pricing pressures.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Among policy makers and payors in the United States, there is significant interest in promoting changes in healthcare systems with the stated goals of containing healthcare costs, improving quality and/or expanding access. Passed in March 2010, the Patient Protection and Affordable Care Act (the ACA) substantially changed the way healthcare is financed by both governmental and private insurers, and significantly affected the pharmaceutical, medical device and clinical laboratory industries. Additionally, there has recently been heightened scrutiny by governmental authorities, individual hospitals, and third-party payors over product prices, which has resulted in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EU, regulations have been adopted which are intended to boost cooperation among EU member states in assessing health technologies, including certain high-risk medical devices, and providing the basis for cooperation at the EU level for joint clinical assessments in these areas.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Other Laws and Regulations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subject to numerous federal, state, local and foreign environmental laws, including provisions that regulate the discharge of materials into the environment, laws applicable to our facilities, products or manufacturing processes, including evolving regulations regarding the use of hazardous substances or chemicals in our products, and laws related to the protection of the environment, environmental health and safety regulations, Restriction of Hazardous Substances (RoHS) in electrical and electronic equipment in the EU, and Registration, Evaluation, Authorization and Restriction of Chemical substances (REACH).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are subject to various other federal, state and foreign laws related to the manufacturing and distribution of our products and to our international operations, including export control and trade compliance laws.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19"/>
        </w:rPr>
      </w:pPr>
      <w:r>
        <w:rPr>
          <w:rFonts w:ascii="Times New Roman;sans-serif" w:hAnsi="Times New Roman;sans-serif"/>
          <w:b/>
          <w:color w:val="000000"/>
          <w:sz w:val="19"/>
        </w:rPr>
        <w:t>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normal course of business, we may collect and store personal information and other sensitive information, including proprietary and confidential business information, trade secrets, intellectual property, information regarding trial participants in connection with clinical trials, sensitive third-party information and employee information. To protect this information, our existing cybersecurity policies require continuous monitoring and detection programs, network security precautions, and in-depth security assessment of vendors. We maintain various protections designed to safeguard against cyberattacks, including firewalls and virus detection software. We have established and regularly test our disaster recovery plan and we protect against business interruption by backing up our major systems. In addition, we periodically scan our environment for any vulnerabilities, perform penetration testing and engage third parties to assess effectiveness of our data security practices. A third-party security consultant conducts regular network security reviews, scans and audits. In addition, we maintain insurance that includes cybersecurity coverage.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Our cybersecurity program is led by a team of skilled cybersecurity professionals, including dedicated internal cybersecurity resources. The security team currently has CISSP credentials, GIAC/SANS cybersecurity certificates, and other security and network certifications. In addition to our internal security staff, we partner with various third-party security service providers to augment our staffing, expertise, and hours of operation. The program incorporates industry-standard frameworks, policies and practices designed to protect the privacy and security of our sensitive information.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program also includes a suite of security technologies and tools to implement and automate security protections for our networks, employees, and customers. Our cybersecurity team reports to the Audit Committee quarterly on information security and cybersecurity matters, or as needed. Our Audit Committee, which is comprised of several members from our Board of Directors, has oversight responsibility for our data security practices and we believe the committee has the requisite skills and visibility into the design and operation of our data security practices to fulfill this responsibility effectively.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See “Risk Factors – Risks Relating to Our Business” for additional information about the risks to our business associated with a breach or compromise to our information security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RAW MATERIALS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MARKETING AND DISTRIBUTION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 markets our products through our own field sales representatives, distributors and eye care practitioners, including optometrists, ophthalmologists, opticians and optical chains.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CooperVision also invested in tools that allow our customers to offer their patients monthly purchase and delivery subscriptions. In certain smaller countries, CooperVision often uses distributors and leverages our distributors' sales and marketing resources to attract major customers to CooperVision. With the addition of MiSight, CooperVision has expanded the breadth and depth of its sales capabilities by adding myopia management specialists while expanding awareness campaigns to include direct-to-consumer elements including print, internet/social media, radio and television.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social media and collaborative efforts with professional organizations, telemarketing, direct mail and advertising in professional journals. Since the addition of PARAGARD and cord blood and cord tissue storage services, CooperSurgical has also expanded its awareness campaigns to include direct-to-consumer elements including print, internet/social media, radio and television.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CooperSurgical, and other trade names, trademarks or service marks of Cooper and its subsidiaries appearing in this report are the property of Cooper and its subsidiaries. Trade names, trademarks and service marks of the other companies appearing in this report are the property of their respective 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DEPENDENCE ON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 customer accounted for 10% or more of our consolidated net revenue in fiscal 2023 and 2022. See Note 12. Business Segment Information of the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SEASONALITY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and CooperSurgical net sales in the fiscal first quarter, which runs from November 1 through January 31, are typically lower than subsequent quarters, as patient traffic to practitioners' offices, fertility clinics, and hospitals/surgical centers for surgical procedures is less during the holiday season.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HUMAN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As of October 31, 2023, we had a workforce of more than 15,000. Our employees are located around the world, with 53% in Americas, 42% in EMEA and 5% in Asia Pacific. Human capital management areas of focus include a people-focused culture; embedding diversity and inclusion; fostering an environment of health, safety, and well-being; investing in and developing our employees through training and engagement. Our employees are a key differentiator in our overall strategy. We believe we have good relations with our workforce, and we invest in our workforce to meet current and future business objectives, always driving towards our goal of being a global employer of choice.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Chart below shows percentage of employees located in Americas, EMEA and Asia Pacific as of October 31, 2023.</w:t>
      </w:r>
    </w:p>
    <w:p>
      <w:pPr>
        <w:pStyle w:val="TextBody"/>
        <w:bidi w:val="0"/>
        <w:spacing w:before="0" w:after="0"/>
        <w:jc w:val="center"/>
        <w:rPr/>
      </w:pPr>
      <w:r>
        <w:rPr/>
        <w:drawing>
          <wp:inline distT="0" distB="0" distL="0" distR="0">
            <wp:extent cx="2381250" cy="238125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2381250" cy="238125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Diversity and Inclusion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believe that an inclusive work environment that truly appreciates the diversity of employees’ talents, experiences, and ideas leads to more innovation and progress. Through our Diversity &amp; Inclusion (D&amp;I) strategy, we drive a culture where individual qualities and backgrounds are highly valued and respected, and our employees feel a sense of belonging. Our D&amp;I strategy includes initiatives to promote D&amp;I conversations and training to inform and educate our workforce, forming communities of advocates and allies to help advance our culture of inclusion, and completion of various reviews of our programs to minimize the impact of unconscious bias on our reward decisions. Our commitment to D&amp;I starts with our executives and is further executed through local initiatives in order to create sustainable change.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Health, Safety and Well-being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culture of health, safety, and well-being helps our people and businesses thrive. We comply with applicable health and safety laws and regulations and help protect our employees through continuous improvement, education, engagement, and risk management. Our Environmental, Health, and Safety (EHS) Global Policies formalize our commitment to high standards of EHS performance for employees, consultants, contract workers, and temporary staff worldwide. Our employee handbooks specify health and safety expectations, working condition policies, and other relevant topics. We encourage an open reporting culture and require any unsafe conditions or potential hazards be reported immediately. Wellness is an important part of our culture. Our global Mind &amp; Body Well-being Employee Resource Group focuses on enhancing physical wellness and raising the importance of mental health through virtual and in-person events. We offer on- and off-site fitness and wellness facilities and programs, an assortment of team-building activities, and have a robust offering of physical, social, nutritional and mental health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Training, Development and Engagement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empower employees to succeed and grow, reward great thinking, results and hard work, and engage our employees. Across our businesses, we offer job-specific training, certifications, mentoring, developmental assignments, and other opportunities to help our employees develop the skills needed to achieve long-term success.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conduct regular formal and informal surveys to proactively seek out employee feedback, ideas, and collect data on</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employee experience. We encourage candid participation, and these insights help us develop targeted strategies to</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enhance our workplace and culture.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Compensation and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provide competitive compensation and benefits in order to attract and retain talent. We regularly review our pay practices to confirm there are no significant pay disparities across gender or race, and we conduct an annual market assessments to provide consistency in rewards we offer. We have implemented robust processes for setting personal goals, individual development actions and review employees’ performance and pay on an annual basis. We also offer comprehensive and continually evolving benefits to help employees balance their work lives and personal lives.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AVAILABLE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Internet address is https://www.coopercos.com.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https://www.sec.gov. The Company's Corporate Governance Principles, Code of Conduct and charters of each standing committee of the Board of Directors are also posted on the Company's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240" w:after="283"/>
        <w:jc w:val="left"/>
        <w:rPr/>
      </w:pPr>
      <w:r>
        <w:rPr>
          <w:rFonts w:ascii="Times New Roman;sans-serif" w:hAnsi="Times New Roman;sans-serif"/>
          <w:b/>
          <w:color w:val="000000"/>
          <w:sz w:val="19"/>
        </w:rPr>
        <w:t xml:space="preserve">Item 1A. </w:t>
      </w:r>
      <w:r>
        <w:rPr>
          <w:rFonts w:ascii="Times New Roman;sans-serif" w:hAnsi="Times New Roman;sans-serif"/>
          <w:b/>
          <w:i/>
          <w:color w:val="000000"/>
          <w:sz w:val="19"/>
        </w:rPr>
        <w:t>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Risks Relating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Current market conditions and recessionary pressures in one or more of our markets could impact our ability to grow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Over the last few years in the United States and globally, market and economic conditions have been challenging. The United States and foreign countries have experienced recessionary pressures and face continued concerns about the systemic impacts of adverse economic conditions and geopolitical issues. Any negative impact on economic conditions and international markets, continued volatility or deterioration in the debt and equity capital markets, inflation, deflation or other adverse economic conditions may adversely affect our liquidity and financial condition. It may limit our ability to replace maturing liabilities and to access the capital markets to meet liquidity needs,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Ongoing uncertain economic and financial market conditions may also adversely affect the financial condition of our customers, suppliers and other business partners. When our customers’ financial conditions are adversely affected, customers may reduce their purchases of our products or we may not be able to collect accounts receivable, each of which could have a material adverse impact on our business. Our global business has been negatively affected by local economic conditions, including inflation, increasing labor costs, recession, and currency exchange rate fluctuations, which has adversely affected our cost to manufacture and provide our products and services and revenues generated through sales of such products and services. We cannot guarantee that we will be able to fully absorb any such additional costs or revenue declines in the prices for our products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Inflation could materially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operating results could be materially impacted by changes in the overall macroeconomic environment and other economic factors that impact our cost structure and revenue. Changes in economic conditions, supply chain constraints, logistics challenges, labor shortages, the war in Ukraine and other international conflicts, and steps taken by governments and central banks,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rate of inflation.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substantial and expanding international operations are subject to uncertainties which could affect our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More than half of our net sales for the fiscal years ended October 31, 2023 and </w:t>
      </w:r>
      <w:r>
        <w:rPr>
          <w:rFonts w:ascii="Times New Roman;sans-serif" w:hAnsi="Times New Roman;sans-serif"/>
          <w:b w:val="false"/>
          <w:color w:val="000000"/>
          <w:sz w:val="20"/>
        </w:rPr>
        <w:t>2022</w:t>
      </w:r>
      <w:r>
        <w:rPr>
          <w:rFonts w:ascii="Times New Roman;sans-serif" w:hAnsi="Times New Roman;sans-serif"/>
          <w:b w:val="false"/>
          <w:color w:val="000000"/>
          <w:sz w:val="19"/>
        </w:rPr>
        <w:t>,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difficulty managing a large organization spread throughout various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fluctuations in currency exchange rates adversely affecting our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challenges associated with enforcing intellectual property rights in some foreign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difficulty gaining market share in countries such as China because of regulatory restrictions and customer preferences;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difficulty growing our sales in emerging markets such as China, India, Russia, Brazil and other developing nations due to, among other things, customer acceptance, undeveloped and/or unfamiliar distribution channels, regulatory restrictions and changes, and business knowledge of these new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foreign earnings being subject to withholding requirements or the imposition of tariffs, exchange controls or other restrictions, including the tariffs enacted by the Chinese government on certain U.S. goods, the scope and duration of which remain uncertain;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challenges in complying with a variety of international legal, compliance and regulatory requirements such as the Foreign Corrupt Practices Act, the Dodd-Frank Wall Street Reform and Consumer Protection Act, the UK Bribery Act, international data security and privacy laws, EU MDR and EU IVDR. and environmental laws and requirements applicable to our facilities, products or manufacturing processes, including evolving regulations regarding the use of hazardous substances or chemicals in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foreign customers creating longer payment cycles than customers in the United States;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failure to comply with U.S. Department of Commerce and other nations' import-export controls may result in fines and/or penalties;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general economic and political conditions in the countries where we operate having an adverse effect on our operations in those countries or being unfavorable to our growth strategy;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 xml:space="preserve">natural disasters, pandemics,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foreign governments adopting regulations, including those similar to the EU MDR and EU IVDR or take other actions that would have a direct or indirect adverse impact on our business and market opportunities, including but not limited to increased enforcement of potentially conflicting and ambiguous anti-bribery and privacy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challenges enforcing agreements and collecting receivables through some foreign legal systems;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unforeseen economic or political events in certain countries that may have an impact on our customers' ability or preferences to buy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International Conflicts, such as the war between Russia and Ukraine, could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February 24, 2022, Russian military forces launched a military action in Ukraine. The military conflict is ongoing and the length, impact, and outcome is highly unpredictable. It has led and could continue to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war has led to significant sanctions programs imposed by the United States, the EU, the UK, Canada, Switzerland, Japan, and other countries against Russia, Belarus, the Crimea Region of Ukraine, the so-called Donetsk People’s Republic, and the so-called Luhansk People’s Republic.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continues to evolve and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If we are found to be in violation of U.S. sanctions or export control laws, it could result in substantial fines and penalties for us and for individuals working for us. We are actively monitoring the situation in Ukraine and Russia and assessing its impact on our business, including our business partners, employees and customers. To date, we have not experienced any material interruptions in our infrastructure, supplies, technology systems, or networks needed to support our operations. The conflict has caused us to modify our operations in Russia and could lead to additional modifications in Russia. We cannot predict the progress or outcome of the war or its impacts in the territories where we operate. The extent and duration of the military action, sanctions, other consequences, such as Russia imposing restrictions on transactions or banning the export of energy products, including natural gas, and the resulting market disruptions could be significant and could potentially have substantial impact on the global economy and our business for an unknown period of time. Any such disruption may also magnify the impact of other risks described in this section.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Acquisitions and other strategic transactions that we have made and may make in the future involve numerous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have a history of acquiring businesses and products that have significantly contributed to our growth in recent years. As part of our growth strategy, we intend to continue to consider acquiring complementary technologies, products and businesses and establishing joint ventures or other strategic relationships. Future transactions could result in potentially dilutive issuances of equity securities, the incurrence of debt and contingent liabilities and an increase in amortization and/or impairments of goodwill and other intangible assets, which could have a material adverse effect upon our business. In fiscal 2022, CooperVision acquired a private Denmark-based ortho-k contact lens distributor. In fiscal 2022, CooperSurgical acquired a private cryopreservation services company and Generate Life Sciences (Generate), a private provider of donor egg and sperm for fertility treatments, fertility cryopreservation services and newborn stem cell storage (cord blood and cord tissue). Risks we could face with respect to these acquisitions and other strategic transaction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failure to successfully obtain the anticipated revenues, margins and earnings benefits;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difficulties in, and expenses related to, the integration of the operations, technologies, information technology and other enterprise resource planning systems, products and personnel of the acquired company and establishment of appropriate accounting controls and reporting procedures, data protection systems and other regulatory compliance procedures, including but not limited to third-party compliance and due diligence;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increased leverage and the risk of lack of access to available financing, including financing for the acquisition or refinancing of debt owed by us on a timely basis and on reasonable terms;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risks of entering markets in which we have no or limited prior experience;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potential loss of employees;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an inability to identify and consummate future acquisitions on favorable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diversion of management's attention away from other business concerns;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risks of the acquired company’s noncompliance with applicable laws or regulations;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expenses of any undisclosed or potential liabilities, contingent liabilities or indemnification obligations of the acquired company;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expenses, including restructuring expenses, to shut down our own locations or terminate our employees;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application of and compliance with new and unfamiliar regulatory frameworks such as regulation applicable to our newly acquired fertility-related businesses;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failure to successfully obtain or maintain reimbursements under the third-party payor plans, including but not limited to governmental programs, due to complex reporting and payment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our ability to develop satisfactory working arrangements with our strategic partners in joint ventures or other affiliations;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a dilution of earnings per share;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risks inherent in accounting allocations and the risk that we are required to record significant adjustments to the preliminary fair value of assets acquired and liabilities assumed within the measurement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We face risks associated with disruption of our manufacturing, distribution and storage operations, including possible failure to develop necessary manufacturing processes, or constrained, idle or excess capacity, which could adversely affect our business.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manufacture a significant portion of the medical device products we sell. Any prolonged disruption in the operations of our existing manufacturing or distribution facilities or our fertility and stem cell storage facilities, whether due to work stoppages,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Good Manufacturing Practices (cGMP) or similar foreign requirements or other reasons, could have a material adverse effect on our business. In addition, materials such as silicone hydrogel require improvements to our manufacturing processes to make them cost-effective.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manufactures molded contact lenses, which represent the majority of our contact lens revenues, primarily at our facilities in Costa Rica, Hungary, Puerto Rico, the United Kingdom and the United States, with other smaller facilities also existing in multiple locations around the world. CooperSurgical manufactures the majority of its products in Costa Rica, the United Kingdom and the United States, with other smaller locations also existing in multiple locations around the world. We manufacture certain products at only one manufacturing site for certain markets, and certain of our products are approved for manufacturing only at one site. Further, certain media products have limited storage lives, limiting inventory back-up strategies. If there were any prolonged disruption in the operations of the approved facility, it could take a significant amount of time to obtain required regulatory approvals, validate a second site and replace lost product, which could result in lost customers and thereby reduce sales, profitability and market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distributes products out of Belgium, Hungary, the United Kingdom and the United States and various smaller international distribution sites. CooperSurgical primarily distributes products out of its facilities in the United States and the Netherlands and operates fertility and stem cell storage facilities in the United States, Canada and Australia. Any prolonged disruption in the operations of our existing distribution or storage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especially given increased vulnerability of corporate information technology systems as distributed work environments have become prevalent.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we cannot be assured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be assured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We manage our businesses utilizing multiple complex integrated software and hardware information technology operating systems that are regularly maintained and upgraded; an interruption or disruption to these systems could disrupt our business or force us to incur excessive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utilize multiple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be assured that our systems will meet our future business needs or that upgrades will operate as designed. We cannot be assured that there will not be associated excessive costs or disruptions in portions of our business in the course of our maintenance, support and/or upgrade of these 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We cannot be assured that we will successfully implement our new ERP system or that we will avoid these and other negative impacts from our implementation efforts.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Pricing pressure from our competitors, customers and changes in third-party coverage and reimbursement may adversely affect demand for our products and negatively impact our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Competition in our industry has increased as a result of new market entrants, new technologies and as more established companies have intensified competitive pricing pressure. As a result of these competitive forces, we believe there will continue to be pricing pressure in the future. Because our CooperSurgical products are generally purchased by hospitals and surgical centers, OB/GYN medical offices and fertility clinics, and billed to various third-party payors, changes in the purchasing behavior of such customers or the amount such payors are willing to reimburse our customers for procedures using our products, including as a result of healthcare reform initiatives, could create additional pricing pressure on us. In addition to these competitive forces, we continue to see pricing pressure as our customers introduce new pricing structures into their contracts and agreements, including fixed price formulas, capitated pricing and structured pricing intended to contain healthcare costs. Such trends may adversely affect demand for our products and may drive down the prices we are able to charge for our products, both of which would negatively affect our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 Biofinity, Avaira and clariti, are supplied by few or sole suppliers,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supply chain and our cost of goods also may be negatively impacted by unanticipated price increases due to factors such as inflation, including wage inflation, or to supply restrictions beyond our control or the control of our suppliers.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results of operations have been adversely affected, and our results of operations, cash flow and financial condition could be materially adversely affected in the future, by the global COVID-19 pandemic and related economic disruptions.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COVID-19 pandemic has negatively impacted business and healthcare activity globally and has created significant volatility, uncertainty and economic disruption within the markets in which we operate. The pandemic has adversely affected and is likely to further adversely affect nearly all aspects of our business and markets, including our sales, operations, cash flow and workforce and the operations of our customers, suppliers, vendors and business partners.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extent to which the COVID-19 pandemic and related economic disruptions impact our business, results of operations, cash flow and financial condition will depend on future developments, which are highly uncertain, difficult to predict and largely outside of our control. Even after the COVID-19 pandemic has subsided, we may continue to experience materially adverse effects on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If we fail to protect our intellectual property adequately, our business could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 xml:space="preserve">be expensive and time consuming to prosecute or defend;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 xml:space="preserve">result in a finding that we do not have certain intellectual property rights or that such rights lack sufficient scope or strength;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 xml:space="preserve">divert management's attention and resources; or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require us to license our intellectual property.</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have applied for patent protection in the United States, the United Kingdom and other foreign jurisdictions relating to certain existing and proposed processes and products. We cannot be assured that any of our patent applications will be approved. Patent applications in the United States, the United Kingdom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Both CooperVision and CooperSurgical also rely on proprietary technology that is unpatented. It is possible that others will independently develop the same or similar technology or otherwise obtain access to our unpatented technology. To protect our trade secrets and other proprietary information, our employees, consultants, advisors and collaborators enter into confidentiality agreements and assignment agreements, which generally provide that inventions conceived by the party in the course of rendering services to us will be our exclusive property. However, we cannot be assured that these 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be successful in obtaining registrations for our pending or future trademark applications and might have to defend our registered trademark and pending applications against challenge by third parties. Enforcing or defending our registered and unregistered trademarks might result in significant litigation costs and damages, including the inability to continue using certain trademarks.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laws of foreign countries in which we do business or contemplate doing business in the future may not recognize intellectual property rights or protect them to the same extent as do the laws of the United States. Adverse determinations in a judicial or administrative proceeding could prevent us from manufacturing and selling our products or prevent us from stopping others from manufacturing and selling competing products, and thereby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products or processes could be subject to claims of infringement of the intellectual property of others.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competitors in both the United States and foreign countries, some of which have substantially greater resources and have made substantial investments in competing technologies, as well as other third parties, 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materials, processes and business methods. Claims that our products, business methods or processes infringe upon the proprietary rights of others often are not asserted until after commencement of commercial sales of products incorporating our technology.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 xml:space="preserve">be expensive and time consuming to defend;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 xml:space="preserve">cause us to cease making, licensing or selling products that incorporate the challenged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 xml:space="preserve">require us to redesign or re-engineer our products, if feasible;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 xml:space="preserve">divert management's attention and resources; or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require us to enter into royalty or licensing agreements in order to obtain the right to use a necessary product, component or process.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cannot be certain of the outcome of any litigation. A successful claim of infringement against us or our contract manufacturers in connection with the use of our technology, in particular if we are unable to manufacture or sell any of our planned products in any major market, could adversely affect our business.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We could experience losses from product liability claims or legal claims relating to our service offerings, including such claims and other losses resulting from sales of counterfeit and other infringing products.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9"/>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the accuracy and quality of our genomic services, fertility cryopreservation, fertility donor gamete supply, and stem cell storage services.</w:t>
      </w:r>
      <w:r>
        <w:rPr>
          <w:color w:val="000000"/>
        </w:rPr>
        <w:t xml:space="preserve"> </w:t>
      </w:r>
      <w:r>
        <w:rPr>
          <w:rFonts w:ascii="Times New Roman;sans-serif" w:hAnsi="Times New Roman;sans-serif"/>
          <w:b w:val="false"/>
          <w:color w:val="000000"/>
          <w:sz w:val="19"/>
        </w:rPr>
        <w:t>These risks may be heightened due to our direct-to-consumer marketing efforts for some of our products and services (e.g., stem cell storage and Paragard IUDs). Consumers may halt or delay purchases of a product or service that is the subject of a claim or recall or has been counterfeited. We handle some risk with third-party carrier policies that are subject to deductibles and limitations. These insurance policies may become more expensive (or not be available) for new risks we may assume when we acquire new businesses. We cannot be assured that we will not experience material losses due to product liability claims or recalls, legal claims relating to our service offerings, or a decline in sales resulting from sales of counterfeit or other infringing products,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If our products are not accepted by the market, we will not be able to sustain or expand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Certain of our proposed products have not yet been clinically tested or commercially introduced, and some of our existing products are marketed and sold on the basis of potential future medical or therapeutic value (assuming technology advances), and we cannot be sure that any of them will achieve market acceptance or generate revenues or operating profits. The development of a market for our products may be influenced by many factors, some of which are out of our control,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acceptance of our products by eye care and health care practitioners;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the cost competitiveness of our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consumer reluctance to try and use a new product;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regulatory and legislative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adequate coverage and reimbursement by third-party payors;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lack of scientific advancements to validate the medical value of certain products, such as stored cord blood or cord tissue (or scientific advancements in other medical approaches that reduce or eliminate the value of such products);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the earlier release of competitive products, such as new silicone hydrogel products or contraceptive technologies, into the market by our competitors; and the emergence of newer and more competitive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We operate in the highly competitive health care industry, and we cannot be assured that we will be able to compete successfully.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Alcon Inc. and Bausch Health Companies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advantage in marketing their lenses. The market for contact lenses is intensely competitive and is characterized by declining sales volumes for older product lines and growing demand for silicone hydrogel-based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 capabilities and our ability to secure adequate supply of materials used in production at reasonable costs. Our failure to respond to competitive pressures in a timely manner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 a lesser extent, CooperVision also competes with manufacturers of eyeglasses and providers of other forms of vision correction including ophthalmic surgery.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cannot be assured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 to the threats posed by these new and emerging distribution models and Internet driven services may have a material adverse impact on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focuses on selected segments of the family and women's health care market with a diversified portfolio of products and services including fertility products and services, medical devices, cryostorage (such as cord blood and cord tissue storage) and contraception. Competitive factors in these segments in which CooperSurgical competes include technological and scientific advances, product quality and availability, price, customer service including response time and effective communication of product information to physicians, consumers, fertility clinics and hospitals. Competition in the medical device industry is dynamic and involves the search for technological and therapeutic innovations.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competes with a number of manufacturers and service providers in its women’s family health care market areas. Some of these competitors have substantially greater financial and personnel resources and sell a broader range of products, which may give them an advantage in marketing competitive products. In addition, some of CooperSurgical’s markets, such as genomics, contraception and cord blood and cord tissue storage, are characterized by rapid technological advancement. We face the risk that demand for our products will not grow or will decline if our competitors are more successful than us at innovating in these and other areas. There is also risk that emerging technologies or technology advancements could reduce the medical value of certain of our products and services, such as cord blood and cord tissue storage, which could adversely affect our business. In recent years, CooperSurgical has also expanded direct-to-consumer products and services, which requires implementing new competitive strategies and increases the importance of customer service and consumer reputation as competitive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New medical and technological developments may reduce the need for our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Technological developments in the vision, fertility and women’s health, may limit demand for our products and services. For example,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be assured that medical advances and technological developments will not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Product innovations are important in the industry in which we operate, and we face the risk of product obsolescence if we are unable to develop new products or gain regulatory approvals or certifications or if our competitors introduce new products.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Product innovations are important in the contact lens market in which CooperVision competes and in the areas of the health care industry in which CooperSurgical competes. CooperVision, both internally and externally with third parties, invests in new product development, including the development of new silicone hydrogel-based contact lenses. While much of CooperVision’s research and development activities are performed internally, it also uses external research and development investment in collaborations and joint development with third parties. CooperSurgical has historically purchased, leveraged or licensed the technology developments of others. CooperSurgical also has invested in expanding the internal research and development function with the goal of organic growth and to complement our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strategy. Research and development time commitments, higher feasibility risk with longer term projects, greater dependence on, and reduced control over, third-party deliverables, the cost of obtaining necessary regulatory approval or certification and other costs related to product innovations can be substantial. We cannot be assured that we will successfully obtain necessary regulatory approvals, certifications or clearances for our new products or that our new products will successfully compete in the marketplace and, as a result, justify the expense involved in their development and regulatory approval or certification. In addition, our competitors may have developed or may in the future develop new products or technologies. Failure to develop new product offerings and technological changes and to offer products that provide performance that is at least comparable to competing products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We face risks related to environmental, social and governance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and our facilities are subject to a broad range of U.S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Such laws and requirements are constantly changing, are different in every jurisdiction and can impose substantial fines and sanctions for violations. As a manufacturer of various products, we are exposed to some risk of claims with respect to environmental matters, and we cannot be assured that material costs or liabilities will not be incurred in connection with any such claims.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continue to evaluate the necessary steps for compliance with regulations as they are enacted. These regulations include, for example, regulations enacted in the EU such as the Registration, Evaluation, Authorization and Restriction of Chemical Substances, which requires the registration of and regulates use of certain chemicals, the Restriction on the Use of Certain Hazardous Substances in Electrical and Electronic Equipment Directive, which regulates the use of certain hazardous substances in certain products our CooperSurgical division manufactures. These and similar legislation that has been or is in the process of being enacted in Japan, China and various states of the United States may require us to re-design certain products to ensure compliance with the applicable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new disclosure standards and rules related to environmental, social and corporate governance (ESG) matters have been adopted and may continue to be introduced in various states and other jurisdiction. For example, the European Union Corporate Sustainability Reporting Directive (CSRD) became effective in 2023 and applies to both EU and non-EU entities. In October 2023, California adopted new carbon and climate-related reporting requirements for large public and private companies doing business in the state. Further, the SEC is expected to finalize a climate change disclosure proposal in 2023. International ESG disclosure standards have also been produced (and further standards will be produced) under the auspices of the International Sustainability Standards Board (ISSB), which some countries (such as the UK) have indicated they may incorporate into ESG disclosure standards required of certain companies. As the nature, scope and complexity of ESG reporting, diligence and disclosure requirements expand, significant effort and expenses could be required to comply with the evolving requirements. As our disclosure obligations increase, third parties may make claims or bring litigation relating to those disclosures which may be costly.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Environmental, social and corporate governance (ESG) issues, including those related to climate change and sustainability, may have an adverse effect on our business and damage our reputation.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Customers, consumers, investors and other stakeholders are increasingly focusing on environmental issues, including climate change, energy and water use, plastic waste and other sustainability concerns. Concern over climate change or plastics and packaging materials, in particular, may result in new or increased legal and regulatory requirements to reduce or mitigate impacts to the environment. Changing 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regarding the effects of substances present in certain of our products. Complying with these demands or requirements could cause us to incur additional manufacturing, operating or product development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If we do not adapt to or comply with new regulations, or fail to meet evolving investor, industry or stakeholder expectations and concerns regarding ESG issues, investors may reconsider their capital investment in our Company, and customers and consumers may choose to stop purchasing our products, which could have a material adverse effect on our reputation and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If we do not retain our key personnel and attract and retain other highly skilled employees, our business could suffer.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manufacturing engineering and scientific personnel. Competition for these persons in our industry is intense, and we may not be able to successfully recruit, train or retain qualified personnel. We are experiencing increasing challenges in building and retaining our workforce in certain markets, where pressure from inflation and competition have exacerbated turnover and retention trends continuing from the COVID-19 pandemic. Labor shortages and competition for qualified personnel could cause disruptions in our business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Provisions of our governing documents and Delaware law may have anti-takeover effects.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Risks Relating to Government Regulation of Manufacture and Sale of Our Products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Legislative or regulatory reforms in the United States, Europe or other countries may make it more difficult and costly for us to obtain regulatory clearances, approvals or certifications for our products or to manufacture, market or distribute our products after clearance or approval is obtained.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From time to time, legislation is drafted and introduced in Congress that could significantly change the statutory provisions governing the regulation of drugs and medical devices. In addition, the FDA may change its premarket clearance and approval policies for drugs and medical devices, adopt additional regulations or revise existing regulations, or take other actions, which may prevent or delay approval or clearance of our future products under development or impact our ability to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addition to traditional regulatory controls on drugs and medical devices, our business could be affected by emerging laws or regulations limiting our ability to offer certain of our products and services. For example, in the United States, the reversal by the U.S. Supreme Court of Roe v. Wade has raised concerns in the fertility industry that more restrictive laws could limit access to various reproductive services. New and emerging laws may be interpreted to limit access to contraceptive technologies or cryostorage services, which could adversely affect certain aspects of CooperSurgical’s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the EU landscape concerning medical devices (including IVDs) has recently evolved. A new set of two EU regulations have been adopted on April 5, 2017. On May 26, 2021, the EU MDR became applicable and replaced previous directives and established transitional provisions. The EU IVDR became applicable on May 26, 2022. However, on October 14, 2021, the European Commission proposed a “progressive” roll-out of the EU IVDR to prevent disruption in the supply of IVDs. The European Parliament and Council adopted the proposed regulation on December 15, 2021.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EU IVDR fully applies since May 26, 2022, but there is a tiered system extending the grace period for many devices (depending on their risk classification) before they have to be fully compliant with the regulation. Both regulations have been adopted to establish a uniform, transparent, predictable and sustainable regulatory framework across the EU for medical devices (including IVDs) and ensure a high level of safety and health while supporting innovation.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These modifications may have an effect on the way we intend to develop our business in the EU and EEA. For example, as a result of the transition towards the new regimes, notified body review times have lengthened, and product introductions could be delayed or canceled. Additionally, only a few notified bodies have been designated for EU IVDR certification, which could adversely affect our ability to grow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Following the end of the “Brexit” transitional period, from January 1, 2021, the Medicines and Healthcare products Regulatory Agency (MHRA) became the UK’s independent regulatory agency for medical devices. Post-Brexit, amendments have been made to the existing UK medical devices legislation which require medical devices to be registered with the MHRA before being placed on the Great Britain market. Manufacturers based outside of the UK need to appoint a UK Responsible Person to register devices with the MHRA. Following a government consultation on changes to the UK’s medical device regulations, the response to which was published on June 26, 2022, it is anticipated that the core aspects of the future regime will now apply from July 1, 2025 so that medical devices placed on the market in Great Britain (England, Scotland, and Wales) will require a UK Conformity Assessment (UKCA) mark. However, the MHRA has recently confirmed that, subject to certain conditions, general medical devices compliant with the EU medical devices directive (EU MDD) or EU active implantable medical devices directive (EU AIMDD) with a valid declaration and CE marking can be placed on the Great Britain market up until the sooner of expiry of certificate or June 30, 2028. IVDs with valid certification can continue to be placed on the market until the earlier of certificate expiry or June 30, 2030. In advance of the new regime, the government also intends to introduce specific legislation on post-market surveillance, with new provisions expected to apply from mid-2024. However, UKCA marking alone will not be recognized in the EU. The rules for placing medical devices on the Northern Ireland market will differ from those in Great Britain. These modifications may have an effect on the way we intend to conduct our business in these countries.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medical device products are subject to reporting requirements and recalls, even after receiving regulatory clearance, approval or certification, which could harm our reputation and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After a device is placed on the market, numerous regulatory requirements apply, including the FDA's QSR regulations, which require manufacturers to follow, among other things, design, testing, production, control, documentation and other quality assurance procedures during the manufacturing process; labeling regulations;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Medical device manufacturers, such as CooperVision and CooperSurgical, may, under their own initiative, recall a product if a reasonable possibility of serious injury or any material deficiency in a device is found, or withdraw a product to improve device performance or for other reasons. The FDA requires that certain corrections or removals, including recalls, be reported to the FDA within ten working days of initiating the correction or removal. 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If our manufacturing operations fail to comply with applicable regulations, our manufacturing could be delayed or disrupted, our products could be subject to recall, and sales and profitability could suffer.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Our manufacturing operations and processes are required to comply with numerous federal, state and foreign regulatory requirements, including the FDA's cGMP for medical devices, known as the QSR regulations, which govern the procedures related to the design, testing, production processes, controls, quality assurance, labeling, packaging, storage, importing, exporting and shipping of our products. We also are subject to state requirements and licenses applicable to manufacturers of medical devices. In addition, we must engage in extensive recordkeeping and reporting and must make available our manufacturing facilities and records for periodic unscheduled inspections by governmental agencies, including the FDA, state authorities and comparable agencies (as well as audits by notified bodies) in other countries. Failure to comply with QSR requirements and other applicable domestic or international regulatory requirements or to respond to 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February 23, 2022, the FDA issued a proposed rule to amend the QSR regulations to align more closely with the International Organization for Standardization standards. This proposal has not yet been finalized or adopted. Accordingly, it is unclear the extent to which this or any other proposals, if adopted, could impose additional or different regulatory requirements on CooperVision and CooperSurgical that could increase the costs of compliance or otherwise create competition that may negatively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manufacture of pharmaceutical therapeutics, such as Paragard, is complex and requires significant expertise and capital investment. We and our contract manufacturers must comply with cGMP regulations and guidelines. Manufacturers of pharmaceutical therapeutics often encounter difficulties in production, including difficulties with production costs and yields, quality control, quality assurance testing, operator error, shortages of qualified personnel, as well as compliance with strictly enforced federal, state and foreign regulations. Furthermore, if microbial, viral or other contaminations are discovered in our therapeutics or in the manufacturing facilities in which our therapeutics, if approved, are made, such manufacturing facilities may need to be closed for an extended period of time to investigate and remedy the contamination. We cannot be assured that any stability or other issues relating to the manufacture of any of our therapeutics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therapeutic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Any adverse developments affecting clinical or commercial manufacturing of our therapeutics may result in shipment delays, inventory shortages, lot failures, therapeutic withdrawals or recalls, or other interruptions in the supply of our therapeutics or therapeutic candidates. We may also have to take inventory write-offs and incur other charges and expenses for therapeutics or therapeutic candidates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therapeutics or therapeutic candidates and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failure to comply with regulatory requirements or to receive regulatory clearance, approval or certification for our products or operations could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products and operations are subject to rigorous regulation by the FDA, and numerous other federal, state and foreign governmental authorities. In the United States,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approvals, product recalls, termination of distribution or product seizures. In the most egregious cases, criminal sanctions or closure of our manufacturing facilities are possible.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medical devices and pharmaceutical products require clearance or approval by the FDA before they can be commercially distributed in the United States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a medical device, particularly from the FDA, can be costly and time consuming. We cannot be assured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Modifications and enhancements to medical devices also require a new FDA clearance or approval if they could significantly affect its safety or effectiveness or would constitute a major change in its intended use, design or manufacture. The FDA requires every medical device manufacturer to make this determination in the first instance, but the FDA may review any manufacturer's decision. We have made modifications and enhancements to our medical devices that we do not believe require a new clearance or application,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efforts to promote some of our products and services via direct-to-consumer marketing initiatives may subject us to additional scrutiny by the FDA, FTC or other agencies. For example, we promote Paragard and cord blood and cord tissue storage directly to end consumers. Regulatory agencies may scrutinize our practices with respect to effective communication of risk information, benefits or claims with respect to such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Any failure to comply with ongoing regulatory requirements may significantly and adversely affect our ability to commercialize and generate revenue from our products and product candidates. If regulatory sanctions are applied or if regulatory approval is withdrawn, the value of our Company and our operating results may be adversely affected.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We also cannot predict the likelihood, nature or extent of government regulation that may arise from future legislation or administrative or executive action, either in the United States or abroad.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Subject to transitional provisions and in order to sell our products in the EU, our products must respectively comply with general safety and performance requirements of the EU MDR and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 requirements laid down in the Annexes to the EU MDR and EU IVDR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low-risk medical devices (Class I) or general IVDs (Class A), where the manufacturer can self-assess the conformity of its products with the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general safety and performance requirements, the notified body issues an EU certificate, which the manufacturer uses as a basis for its own declaration of conformity. The manufacturer may then apply the CE mark to the device, which allows the device to be placed on the market throughout the EU. If we fail to remain in compliance with applicable EU laws, directives or regulations, we would be unable to continue to affix the CE mark to our products, which would prevent us from selling them within the EU and EEA.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9"/>
        </w:rPr>
        <w:t>The EU regulatory landscape concerning medical devices (including IVDs) has recently evolved and the new requirements may have a significant effect on the way we conduct our business in the EU and the EEA. Following Brexit, the UK regulatory landscape concerning medical devices (including IVDs) is evolving and may have a significant effect on the way we conduct our business in the UK. See Risk Factors –</w:t>
      </w:r>
      <w:r>
        <w:rPr>
          <w:color w:val="000000"/>
        </w:rPr>
        <w:t xml:space="preserve"> “</w:t>
      </w:r>
      <w:r>
        <w:rPr>
          <w:rFonts w:ascii="Times New Roman;sans-serif" w:hAnsi="Times New Roman;sans-serif"/>
          <w:b w:val="false"/>
          <w:i/>
          <w:color w:val="000000"/>
          <w:sz w:val="19"/>
        </w:rPr>
        <w:t>Legislative or regulatory reforms in the United States or Europe may make it more difficult and costly for us to obtain regulatory clearances, approvals or certifications for our products or to manufacture, market or distribute our products after clearance or approval is obtained”.</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Development and marketing of our products are subject to strict governmental regulation by foreign regulatory agencies, and failure to receive, or delay in receiving, foreign qualifications or certifications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anti-gift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duties and tax requirements. Many of the regulations applicable to our devices and products in such countries are similar to those of the FDA.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advertising and promotion of medical devices is subject to some general principles set forth in the EU legislation. Directive 2006/114/EC concerning misleading and comparative advertising and Directive 2005/29/EC on unfair commercial practices, while not specific to the advertising of medical devices, apply to the advertising thereof and contain general rules, for example, requiring that advertisements be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Increased regulatory scrutiny of genetic testing may adversely affect our business through increased costs and risks associated with gaining marketing approvals or certifications and potential decreased demand for our genetic testing services.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offer certain genetic testing services to help identify the likelihood of pregnancy as well as identify possible disorders or diseases of a child prior to birth. Regulatory and legislative proposals addressing oversight of genetic testing have been introduced in the United States, and we expect that new proposals will be introduced from time to time both in the United States and in foreign countries in the future. Although the FDA has statutory authority to assure that medical devices, including IVDs, are safe and effective for their intended uses, the FDA has historically exercised its enforcement discretion and not enforced applicable provisions of the FDCA and regulations with respect to laboratory developed tests (LDTs). The FDA defines LDTs as a type of in vitro diagnostic test that is designed, manufactured, and used within a single laboratory. We believe our tests fall within the definition of an LDT. As a result, we believe our tests are not currently subject to the FDA’s enforcement of its medical device regulations and the applicable FDCA provisions. However, if there are changes in the FDA’s policy, or if the FDA disagrees that our marketed tests are LDTs or that we are marketing our tests outside the scope of the FDA’s current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Legislative proposals addressing the FDA’s oversight of LDTs have been introduced by Congress in the past and new legislative proposals may be introduced from time to time in the future. The likelihood that Congress will pass such legislation and the extent to which such legislation may affect the FDA’s ability to enforce its medical device regulations with respect to certain LDTs is difficult to predict at this time. If the FDA ultimately begins to enforce its medical device requirements with respect to LDTs, our genetic tests may be subject to additional regulatory requirements imposed by the FDA, the nature and extent of which would depend upon applicable final guidance or regulation by the FDA or instruction by Congress. For example, as part of the Spring 2023 Unified Agenda, the FDA published a proposed rule to the Office of Management and Budget to amend FDA regulations to make explicit that LDTs are devices under the FDCA. If the FDA imposes significant changes to the regulation of LDTs it could reduce our revenue or increase our costs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Any new FDA enforcement policies affecting LDTs or new legislation, regulations such as the EU IVDR regulation may result in increased regulatory burdens on our ability to continue marketing our genetic products and to develop and introduce new products in the future, which could reduce our revenue or increase our costs and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changes in the way the EU regulates LDTs could result in additional expenses for offering our current and any future tests or possibly delay or suspend development or commercialization of such tests. In the EU, the regulatory landscape has recently evolved and the general safety and performance requirements set out in the EU Good Manufacturing Practice guidelines are also applicable to devices manufactured and used only within health institutions. Manufacturers of such devices are required to demonstrate conformity with the general safety and performance requirements through performance evaluations and the manufacturer’s quality management system framework. The EU IVDR provides that, with the exception of the relevant general safety and performance requirements, the requirements imposed by the EU IVDR on in vitro diagnostic medical devices do not generally apply to devices manufactured and used only within health institutions established in the EU, provided that certain conditions are met. Under the EU IVDR, health institutions may manufacture, modify and use medical devices within such institutions, thereby addressing the specific needs of target patient groups on a non-industrial scale. Under such circumstances, where the LDTs are manufactured and used strictly within health institutions (which may include hospitals, laboratories, public health institutions that support the healthcare system and/or address patient needs but do not treat or care for patients directly), LDTs would continue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exempt from regulation. However, compared to the EU IVDD, the exemptions for LDTs will, overall, be narrowed, as even in relation to LDTs, health institutions—among others—are required to provide information upon request on the use of such devices to their competent authority and each health institution will have to draw up a declaration which it will make publicly available. If these conditions are not met and/or diagnostic tests are manufactured and used only within health institutions but “on an industrial scale,” such tests will qualify as in vitro diagnostic medical devices with the full applicability of the EU IVDR. LDTs regulated by the EU IVDR will be subject to conformity assessments and inspections by the relevant competent authority, who will also review the declarations and statements made by the health institutions in relation to their LDTs. If our tests do not qualify for an exemption, we may be subject to the full application of the EU IVDR with respect to some or all of our existing, as well as future, tests, and we would be required to expend additional time and resources to complying with the requirements of the EU IVDR.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If we fail to comply with applicable federal, state, local and foreign laboratory licensing requirements, we could lose the ability to perform our genetic tests or experience disruptions to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subject to the Clinical Laboratory Improvement Amendments of 1988 (CLIA),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In addition, we are subject to the UK Human Fertilization &amp; Embryology Association (HFEA) regulating IVF. Our laboratories are located in Japan, the United Kingdom and United States, and we must maintain the requisite licenses in each jurisdiction.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Any sanction imposed under CLIA, its implementing regulations, or state or foreign laws or regulations governing licensure, or our failure to renew a CLIA certificate, a state or foreign license or accreditation, could have a material and adverse effect on our diagnostic testing business, operating results and financial condition. The CMS also has the authority to impose a wide range of sanctions, including revocation of the CLIA certification along with a bar on the ownership or operation of a CLIA-certified laboratory by any owners or operators of the deficient laboratory. If we were to lose our CLIA certification or required state or foreign licensure, we would not be able to operate our clinical laboratory and conduct our tests, worldwide or in particular jurisdictions, which would adversely impact our diagnostic testing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HCT/P products are subject to extensive government regulation and our failure to comply with these requirements could cause our business to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the United States, we provide donor egg and sperm for fertility treatments, in addition to fertility cryopreservation services and newborn stem cell storage (cord blood and cord tissue). Donated reproductive tissues, including eggs and sperm, as well as cord blood and cord tissue, are regulated to by the FDA as human cells, tissues and cellular or tissue-based products (HCT/Ps). In the United States, we are marketing these HCT/Ps pursuant to Section 361 of the Public Health Service Act (PHSA) and 21 C.F.R. Part 1271 of FDA’s regulations. The so-called “361 HCT/Ps” are not currently subject to the FDA requirements to obtain marketing authorizations, so long as they meet certain criteria set forth in FDA regulations. However, HCT/Ps regulated as 361 HCT/Ps are currently subject to requirements relating to registering facilities and listing products with the FDA, as well as stringent requirements relating to processing, storing, labeling and distributing HCT/Ps, including, screening and testing for tissue donor eligibility, providing required labeling information, record keeping and adverse event reporting. If we fail to comply with these requirements, we could be subject to FDA allegations of noncompliance or enforcement action, including, for example, warning letters, fines, injunctions, product recalls or seizures, and, in the most serious cases, criminal penalties. To be regulated as 361 HCT/Ps, these products must meet the FDA’s criteria to be considered “minimally manipulated” and intended for “homologous use,” among other requirements. HCT/Ps that do not meet the criteria to be considered 361 HCT/Ps are subject to the FDA’s regulatory requirements applicable to medical devices, biologics or drugs, including, importantly, the requirement for premarket review and approval or clearance prior to marketing.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believe our HCT/Ps are regulated solely under Section 361 of the PHSA, and therefore, we have not sought or obtained 510(k) clearance, PMA approval, or licensure through a Biologics License Application (BLA) for such HCT/Ps. However, the FDA could disagree with our determination that these human tissue products are 361 HCT/Ps and could determine that these products are biologics requiring a BLA or medical devices requiring 510(k) clearance or PMA approval, and could require that we cease marketing such products and/or recall them pending appropriate clearance, approval or licensure from the FDA, which would adversely affect our business.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the FDA may in the future modify the scope of its enforcement discretion with respect to 361 HCT/Ps or change its position on which current or future products qualify as 361 HCT/Ps, or determine that some or all of our HCT/P products may not be lawfully marketed without a marketing authorization. Any regulatory changes could have adverse consequences for us and make it more difficult or expensive for us to conduct our business by requiring pre-market clearance or approval and compliance with additional post-market regulatory requirements with respect to those products.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ability of the FDA, foreign agencies and notified bodies to review and clear, approve or certify new products can be affected by a variety of factors, including government budget and funding levels, statutory, regulatory, and policy changes, the FDA’s, foreign agencies’ and notified bodies’ ability to hire and retain key personnel and accept the payment of user fees, and other events that may otherwise affect the FDA’s, foreign agencies’ and notified bodies’ ability to perform routine functions. Average review times at the FDA, foreign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agencies and notified bodies and other agencies may also slow the time necessary for new drugs and medical devices or modifications to cleared or approved drugs and medical devices to be reviewed, approved and/or certified by necessary government agencies or notified bodies, which would adversely affect our business. For example, over the last several years, the United States government has shut down several times and certain regulatory agencies, such as the FDA, have had to furlough critical employees and stop critical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Separately, in response to the COVID-19 pandemic, the FDA postponed most inspections of foreign and domestic manufacturing facilities.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have adopted similar restrictions or other policy measures in response to the COVID-19 pandemic. If a prolonged government shutdown occurs, or if global health concerns continue to prevent the FDA, other regulatory authorities, or notified bodies from conducting their regular inspections, reviews, or other regulatory activities, it could significantly impact the ability of the FDA, other regulatory authorities or notified bodies to timely review and process our regulatory submissions, which could have a material adverse effect on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EU, notified bodies must be officially designated to certify products and services in accordance with the EU MDR and EU IVDR. Several notified bodies have been designated under the EU MDR but only a few notified bodies have been designated under the EU IVDR so far. The COVID-19 pandemic has significantly slowed down their designation process and the current designated notified bodies are facing a large amount of requests with the new regulations, as a consequence of which review times may have lengthened. This situation may impact the ability of our notified body to timely review and process our regulatory submissions and perform its audits.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Ethical, legal and social concerns related to the use of genetic information, sperm and egg selection services and stem cells could reduce demand for our service offerings.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Genetic testing, sperm and egg selection services and the use of stem cells have raised ethical, legal and social issues regarding privacy and the appropriate uses of information related to these services. Government authorities could, for social or other purposes, limit or regulate the use of genetic information or genetic testing or prohibit testing for genetic predisposition to certain conditions, particularly for those that have no known cure. They also could limit, regulate or prohibit (1) sperm and egg selection services or (2) the use of stem cells. Ethical, legal or social concerns may lead patients to refuse to use, or physicians to be reluctant to order or recommend, genetic tests, sperm and egg selection services and stem cell storage services even if permissible. These and other ethical, legal and social concerns may limit market acceptance and adoption of our service offerings or reduce the potential markets for our service offerings, either of which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Numerous laws and regulations govern the collection, dissemination, use, privacy, confidentiality, security, availability and integrity of personally identifiable information (PII), including protected health information (PHI). We collect and process PII in multiple ways in our various business lines and are subject to risk associated with compliance with many of these laws and regulations. Some of our businesses expose us to increasingly stringent regulations for handling personal information (where, for example, we collect or process PII deemed to be sensitive by regulatory authorities, such as PHI).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Under U.S. law, HIPAA establishes national privacy and security standards for protection of PHI by covered entities and the business associates with whom such entities contract for services. HIPAA requires both covered entities and business associates to develop and maintain policies and procedures for PHI that is used or disclosed, and to adopt administrative, physical and technical safeguards to protect PHI.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maintain technical, organizational and contractual safeguards that we believe are reasonable and appropriate to protect the privacy and security of PHI and other personally identifiable information consistent with applicable laws and our contractual obligations; however, we may not be able to prevent incidences of inappropriate use or unauthorized access to PHI by our employees, contractors or external factors, despite the safeguards. Any such breaches of our systems or those of our vendors, customers or other third parties could result in exposure to liability under federal and state laws and/or under our contractual arrangements and could adversely impact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also subject to various other laws in the United States such as Section 5(a) of the Federal Trade Commission Act, which requires a company’s data security measures to be reasonable and appropriate in light of the sensitivity and volume of consumer information it holds, the size and complexity of its business, and the cost of available tools to improve security and reduce vulnerabilities and the CCPA,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which went into effect on January 1, 2023, significantly amends the CCPA and imposes additional data protection obligations on covered businesses, including additional consumer rights processes, limitations on data uses, new audit requirements for higher risk processing, and opt outs for certain uses of sensitive data. It also creates a new California data protection agency authorized to issue substantive regulations and could result in increased privacy and information security enforcement. Similar laws have been proposed or enacted in other states and at the federal level, and when passed, such laws may have potentially conflicting requirements that would make compliance challenging.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also subject to laws and regulations in countries other than United States covering data privacy and the protection of health-related and other personal information. EU and EEA member states and other jurisdictions have adopted data protection laws and regulations, which impose significant compliance obligations. For example, the GDPR imposes stringent operational requirements for processors and controllers of personal data in the context of an establishment in the EEA or the processing of personal data of individuals within the EEA and increases the scrutiny of transfer of personal data from the EEA. Following the UK's withdrawal from the EEA and the EU, and the expiry of the transition period, companies will have to comply with the GDPR and the GDPR as incorporated into the UK national law (the UK GDPR). In addition, countries of the EEA may impose further obligations relating to the processing of genetic, biometric or health data, which could further add to our compliance costs and limit how we process this information. Some of the personal data we process in respect of clinical trial participants is special category or sensitive personal data under the GDPR, and subject to additional compliance obligations and to local law derogations. We may be subject to diverging requirements under EU member state laws and UK law. We are also subject to China's Personal Information Protection Law (PIPL), which imposes requirements regarding processing PII, data localization and cross-border transfers of PII, as well as a number of other laws in the Asia Pacific area, As these laws develop, we may need to make operational changes to adapt to these diverging rules, which could increase our costs and adversely affect our business.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9"/>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Any failure or perceived failure by us to comply with privacy or security laws, policies, legal obligations or industry standards or any security incident that results in the unauthorized release or transfer of PII may result in governmental enforcement actions and investigations including by European Data Protection Supervisory Authorities, fines and penalties, litigation, orders to cease or change our data processing activities, enforcement notices, assessment notices for a compulsory audit and/or civil claims</w:t>
      </w:r>
      <w:r>
        <w:rPr>
          <w:color w:val="000000"/>
        </w:rPr>
        <w:t xml:space="preserve"> </w:t>
      </w:r>
      <w:r>
        <w:rPr>
          <w:rFonts w:ascii="Times New Roman;sans-serif" w:hAnsi="Times New Roman;sans-serif"/>
          <w:b w:val="false"/>
          <w:color w:val="000000"/>
          <w:sz w:val="19"/>
        </w:rPr>
        <w:t>(including class actions), adverse publicity and reputational damage.</w:t>
      </w:r>
      <w:r>
        <w:rPr>
          <w:color w:val="000000"/>
        </w:rPr>
        <w:t xml:space="preserve"> </w:t>
      </w:r>
      <w:r>
        <w:rPr>
          <w:rFonts w:ascii="Times New Roman;sans-serif" w:hAnsi="Times New Roman;sans-serif"/>
          <w:b w:val="false"/>
          <w:color w:val="000000"/>
          <w:sz w:val="19"/>
        </w:rPr>
        <w:t>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 could in turn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When we acquire companies or business that engage personal data processing, we may become subject to additional regulation or scrutiny, particularly if such activity is different in nature from what we have done in the past. For example, with the recent addition of cord blood and cord tissue storage (and other cryostorage) businesses, we interact directly with our customers and collect and maintain personal information regarding our customers and donors. Acquisitions like this could subject us to additional regulatory and consumer liability risk and the cost of analyzing and integrating new privacy compliance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Changes in legislation and government regulation of the health care industry both in the United States and internationally, as well as third-party payors' efforts to control the costs of health care could materially adversely affect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ACA made extensive changes to the delivery of health care in the United States. Among the provisions of the ACA, of greatest importance to the medical device industry and pharmaceutical industry are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Establishment of the Patient-Centered Outcomes Research Institute to oversee, identify priorities in, and conduct comparative clinical effectiveness research, along with funding for such research;</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Payment system reforms including a national pilot program on payment bundling to encourage hospitals, physicians and other providers to improve the coordination, quality and efficiency of certain health care services through bundled payment models;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Establishment of a Center for Medicare &amp; Medicaid Innovation at CMS to test innovative payment and service delivery models to lower Medicare and Medicaid spending;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An increase in the statutory minimum rebates a manufacturer must pay under the Medicaid Drug Rebate Program to 23.1% and 13% of the average manufacturer price for most branded and generic drugs,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These measures could result in decreased net revenues or increased expenses from our fertility, office and surgical portfolios and decrease potential returns from our development efforts.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legislative changes have been proposed and adopted since the ACA was enacted. The Budget Control Act of 2011, among other things, included aggregate reductions to Medicare payments to providers. In addition, the Medicare Access and CHIP Reauthorization Act of 2015, among other things, repealed the formula by which Medicare made annual payment adjustments to physicians and replaced the former formula with fixed annual updates and a new system of incentive payments began in 2019 that are based on various performance measures and physicians’ participation in alternative payment models such as accountable care organizations.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legislative changes have been proposed and adopted in the United States since the ACA was enacted. For example, on March 11, 2021, President Biden signed the American Rescue Plan Act of 2021 into law, which eliminates the statutory Medicaid drug rebate cap, currently set at 100% of a drug’s average manufacturer price (AMP), beginning January 1, 2024.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and the impact of the IRA on the pharmaceutical industry cannot yet be fully determined.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foreign countries where we market our products, recent healthcare reform has taken place as well. For instance, in December 2021, the EU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certain high-risk medical devices,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expect that additional state, federal and foreign health care reform measures will be adopted in the future, including those initiatives affecting coverage and reimbursement for our products, any of which could limit the amounts that federal state and foreign governments will pay for health care products and services, which could adversely affect the growth of the market for our products or demand for our products, or result in additional pricing pressures. Also, any adoption of health care reform proposals on a state-by-state basis could require us to develop state-specific marketing and sales approaches. We cannot predict the effect such reforms or the prospect of their enactment may have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addition, third-party payors, whether governmental or commercial, whether inside the United States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Laws pertaining to health care fraud and abuse could materially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may be subject to various federal, state and foreign laws pertaining to health care fraud and abuse, including anti-kickback, physician self-referral false claims and physician payment transparency laws and regulations. These laws may constrain the business or financial arrangements and relationships through which we conduct our operations, including our commercial laboratory operations and how we research, market, sell and distribute any products for which we obtain marketing approval. Such laws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federal physician self-referral prohibitions, commonly known as the Stark Law, which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or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or Stark Law constitutes a false or fraudulent claim for purposes of the civil False Claims Act;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the federal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19"/>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chiropractors), certain non-physician practitioners including physician assistants and nurse practitioners, and teaching hospitals, as well as ownership and investment interests held by physicians and their immediate family members;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and self-pay patients; some state laws that require biotechnology companies to comply with the industry’s voluntary compliance guidelines and the relevant compliance guidance promulgated by the federal government and may require drug and device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of sales representatives.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addition, federal government price reporting laws, among other things,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and potentially limit our ability to offer certain marketplace discounts.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Because of the complex and far-reaching nature of these laws, we cannot be assured that we would not be required to alter one or more of our practices to be in compliance with these laws. 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Risks Relating to Interest and Foreign Exchange Rates, Debt and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Exchange rate fluctuations and foreign currency hedges could adversely affect our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As a result of our international operations, currency exchange rate fluctuations may affect our results of operations and financial position. Our most significant currency exposures are the British pound, Euro and Japanese yen. We expect to generate an increasing portion of our revenue and incur a significant portion of our expenses in currencies other than U.S. dollars. To the extent we are unable to materially offset 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stockholders to understand the relative strengths or weaknesses of the underlying business on a period-over-period comparative basis. Although we may enter into foreign exchange agreements with financial institutions to reduce our net exposure to fluctuations in foreign currency values relative to our non-functional currency obligations or balances, they would not eliminate that risk entirely.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We are vulnerable to interest rate risk with respect to our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are subject to interest rate risk in connection with the issuance of variable and fixed-rate debt. In order to maintain a desired mix of fixed-rate and variable-rate debt, from time to time we may use interest rate swap agreements to fix a portion of our variable-rate debt as further described in Note 13. Financial Derivatives and Hedging of the Consolidated Financial Statements. We may not be successful in structuring such swap agreements to manage our risks effectively, which could adversely affect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Effective February 1, 2023, the Company transitioned its credit agreements from the London Interbank Offered Rate (LIBOR) to the Secured Overnight Financing Rate ("SOFR"). The Company adopted this guidance prospectively on February 1, 2023, and it did not have a material impact on our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Our indebtedness could adversely affect our financial health and prevent us from fulfilling our debt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have now and expect to continue to have a significant amount of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indebtedness could:</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increase our vulnerability to general adverse economic and industry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limit our flexibility in planning for, or reacting to, changes in our business and the industry in which we operate;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place us at a competitive disadvantage compared to our competitors that have less debt;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result in greater interest rate risk and volatility;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19"/>
        </w:rPr>
        <w:t>limit our ability to borrow additional funds;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9"/>
        </w:rPr>
        <w:t>make it more difficult for us to satisfy our obligations with respect to our debt, including our obligation to repay our credit facilities under certain circumstances, or refinance our indebtedness on favorable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19"/>
        </w:rPr>
        <w:t>Volatility in the securities markets, interest rates, and other factors could substantially increase our defined benefit plan costs.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sponsor a defined benefit plan for certain employees in the United States. This defined benefit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plan and cause volatility in the net periodic benefit cost and future funding requirements of the plan. A significant increase in our obligations or future funding requirements could increase our cash requirements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Risks Relating to Taxes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Changes in tax laws, examinations by tax authorities, and changes in our geographic composition of income could adversely affect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and other taxes are based on enacted tax laws and the results of operations in each jurisdiction. Taxes could significantly increase due to changes in tax laws or changes in our interpretation of those laws. Changes in tax laws could result from a framework being developed by the Organisation for Economic Co-operation and Development (OECD), a global policy forum, that, if implemented, includes a global minimum tax rate of 15%. Taxes could also significantly increase due to changes in accounting guidance.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and other taxes could significantly increase based on the resolution of tax authority examinations. Tax authorities could challenge our interpretations of tax laws and estimates we use to calculate taxes. Tax authorities could also challenge our positions related to transfer pricing and intercompany transactions, including the valuation of intangible assets. Tax examinations can result in costly litigation with significant interest and penalties and ultimate settlement can take several years. For example, we have engaged (and expect to continue to engage) with tax authorities over tax positions we have taken in connection with acquisitions, and such examinations could cause us to incur significant expense (and adverse determinations by the tax authority could result in penalties).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Our effective tax rate could fluctuate based on the geographic composition of income, which could significantly change based on our business results and acquisitions. Our effective tax rate could also fluctuate based on changes in estimates, changes in excess tax benefits from share-based compensation, changes in non-deductible expenses, and the valuation of deferred tax assets and liabilities. These fluctuations could have an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19"/>
        </w:rPr>
        <w:t xml:space="preserve">Item 1B. </w:t>
      </w:r>
      <w:r>
        <w:rPr>
          <w:rFonts w:ascii="Times New Roman;sans-serif" w:hAnsi="Times New Roman;sans-serif"/>
          <w:b/>
          <w:i/>
          <w:color w:val="000000"/>
          <w:sz w:val="19"/>
        </w:rPr>
        <w:t>Unresolved Staff Comments</w:t>
      </w:r>
      <w:r>
        <w:rPr>
          <w:rFonts w:ascii="Times New Roman;sans-serif" w:hAnsi="Times New Roman;sans-serif"/>
          <w:b/>
          <w:color w:val="000000"/>
          <w:sz w:val="19"/>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19"/>
        </w:rPr>
        <w:t>Item 2.</w:t>
      </w:r>
      <w:r>
        <w:rPr>
          <w:color w:val="000000"/>
        </w:rPr>
        <w:t xml:space="preserve"> </w:t>
      </w:r>
      <w:r>
        <w:rPr>
          <w:rFonts w:ascii="Times New Roman;sans-serif" w:hAnsi="Times New Roman;sans-serif"/>
          <w:b/>
          <w:i/>
          <w:color w:val="000000"/>
          <w:sz w:val="19"/>
        </w:rPr>
        <w:t>Properties.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following is a summary of Cooper's principal facilities as of October 31, 2023. We generally lease our office and operations facilities but own several manufacturing and research and development facilities, including 303,872 square feet in the United Kingdom, 347,329 square feet in Costa Rica, 115,000 square feet in Puerto Rico, 493,833 square feet in New York, 80,000 square feet in Arizona and 34,453 square feet in Texas. The following table lists those properties that we lease. Our lease agreements expire at various dates through the year 2045. We believe our properties are suitable and adequate for our businesses. </w:t>
      </w:r>
    </w:p>
    <w:tbl>
      <w:tblPr>
        <w:tblW w:w="10205" w:type="dxa"/>
        <w:jc w:val="left"/>
        <w:tblInd w:w="0" w:type="dxa"/>
        <w:tblLayout w:type="fixed"/>
        <w:tblCellMar>
          <w:top w:w="28" w:type="dxa"/>
          <w:left w:w="28" w:type="dxa"/>
          <w:bottom w:w="28" w:type="dxa"/>
          <w:right w:w="28" w:type="dxa"/>
        </w:tblCellMar>
      </w:tblPr>
      <w:tblGrid>
        <w:gridCol w:w="542"/>
        <w:gridCol w:w="477"/>
        <w:gridCol w:w="465"/>
        <w:gridCol w:w="500"/>
        <w:gridCol w:w="497"/>
        <w:gridCol w:w="498"/>
        <w:gridCol w:w="109"/>
        <w:gridCol w:w="109"/>
        <w:gridCol w:w="109"/>
        <w:gridCol w:w="2017"/>
        <w:gridCol w:w="2017"/>
        <w:gridCol w:w="2865"/>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Location</w:t>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u w:val="single"/>
              </w:rPr>
            </w:pPr>
            <w:r>
              <w:rPr>
                <w:rFonts w:ascii="Times New Roman;sans-serif" w:hAnsi="Times New Roman;sans-serif"/>
                <w:b/>
                <w:color w:val="000000"/>
                <w:sz w:val="19"/>
                <w:u w:val="single"/>
              </w:rPr>
              <w:t>Approximate Leased</w:t>
            </w:r>
          </w:p>
          <w:p>
            <w:pPr>
              <w:pStyle w:val="TableContents"/>
              <w:bidi w:val="0"/>
              <w:spacing w:lineRule="auto" w:line="240" w:before="0" w:after="0"/>
              <w:jc w:val="center"/>
              <w:rPr>
                <w:rFonts w:ascii="Times New Roman;sans-serif" w:hAnsi="Times New Roman;sans-serif"/>
                <w:b/>
                <w:color w:val="000000"/>
                <w:sz w:val="19"/>
                <w:u w:val="single"/>
              </w:rPr>
            </w:pPr>
            <w:r>
              <w:rPr>
                <w:rFonts w:ascii="Times New Roman;sans-serif" w:hAnsi="Times New Roman;sans-serif"/>
                <w:b/>
                <w:color w:val="000000"/>
                <w:sz w:val="19"/>
                <w:u w:val="single"/>
              </w:rPr>
              <w:t>Square Feet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Operations</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AMERICAS</w:t>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 xml:space="preserve">California </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200,140 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Executive offices; CooperVision manufacturing, research &amp; development and administrative offices; CooperSurgical research &amp; development, distribution and administrative offices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New York</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132,813 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and CooperSurgical distribution and administrative offices</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New Jersey</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37,700 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research and development, distribution and administrative offices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Connecticut</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275,337 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distribution and administrative offices</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Arizona</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45,000 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 and distribution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Puerto Rico</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740,954 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 research and development and distribution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Canada</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63,836 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 and administrative office; CooperSurgical research &amp; development, distribution and administrative offices</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Brazil</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22,048 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and administrative office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Americas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58,365 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and administrative offices; CooperSurgical research &amp; development, distribution and administrative offices</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EMEA</w:t>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667,384 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 distribution, research &amp; development and administrative offices; CooperSurgical research &amp; development, administrative offices</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Hungary</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330,245 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Belgium</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282,108 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Spain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181,145 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and administrative office; CooperSurgical administrative office</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Netherlands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279,288 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administrative offices; CooperSurgical research &amp; development and distribution</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EMEA</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148,980 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and administrative offices; CooperSurgical administrative offices</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ASIA PACIFIC</w:t>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Japan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109,163 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and administrative offices; CooperSurgical laboratory/research &amp; development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40,139 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marketing and distribution; CooperSurgical research &amp; development and distribution</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Asia Pacific</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92,517 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marketing and administrative offices; CooperSurgical marketing and administrative office</w:t>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180" w:after="283"/>
        <w:jc w:val="both"/>
        <w:rPr/>
      </w:pPr>
      <w:r>
        <w:rPr>
          <w:rFonts w:ascii="Times New Roman;sans-serif" w:hAnsi="Times New Roman;sans-serif"/>
          <w:b/>
          <w:color w:val="000000"/>
          <w:sz w:val="19"/>
        </w:rPr>
        <w:t xml:space="preserve">Item 3. </w:t>
      </w:r>
      <w:r>
        <w:rPr>
          <w:rFonts w:ascii="Times New Roman;sans-serif" w:hAnsi="Times New Roman;sans-serif"/>
          <w:b/>
          <w:i/>
          <w:color w:val="000000"/>
          <w:sz w:val="19"/>
        </w:rPr>
        <w:t>Legal Proceedings.</w:t>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legal proceedings is included in Note 11. Contingencies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19"/>
        </w:rPr>
        <w:t xml:space="preserve">Item 4. </w:t>
      </w:r>
      <w:r>
        <w:rPr>
          <w:rFonts w:ascii="Times New Roman;sans-serif" w:hAnsi="Times New Roman;sans-serif"/>
          <w:b/>
          <w:i/>
          <w:color w:val="000000"/>
          <w:sz w:val="19"/>
        </w:rPr>
        <w:t>Mine Safety Disclosures.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5. </w:t>
      </w:r>
      <w:r>
        <w:rPr>
          <w:rFonts w:ascii="Times New Roman;sans-serif" w:hAnsi="Times New Roman;sans-serif"/>
          <w:b/>
          <w:i/>
          <w:color w:val="000000"/>
          <w:sz w:val="19"/>
        </w:rPr>
        <w:t>Market for Registrant's Common Equity, Related Stockholder Matters and Issuer Purchases of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 common stock, par value $0.10 per share, is traded on the Nasdaq under the symbol “COO.” Prior to September 26, 2023, Cooper's common stock traded on the New York Stock Exchange under the symbol "COO". At December 1, 2023, there were 256 common stockholders of record.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Dividend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the past, we have paid annual cash dividends on our common stock of $0.06 per share, in two semiannual payments of $0.03 per share each. In dollar terms, we paid cash for dividends of $3.0 million in each of fiscal 2023 and 2022. Dividends are paid when, as and if declared at the discretion of our Board of Directors from funds legally available for that purpose. Our Board of Directors considers the Company's earnings, financial condition, liquidity needs, business plans and opportunities and other factors in determining whether to declare a dividend. In December 2023, our Board of Directors decided to end the declaration of the semiannual dividend.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Performance Graph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following graph compares the cumulative total return on Cooper's common stock with the cumulative total return of the Standard &amp; Poor 500 and the Standard &amp; Poor's Health Care Equipment Index for the five-year period ended October 31, 2023. The graph assumes that the value of the investment in Cooper and in each index was $100 on October 31, 2018, and assumes that all dividends were reinvested.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COMPARISON OF 5 YEAR CUMULATIVE TOTAL RETURN*</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 xml:space="preserve">Among The Cooper Companies, Inc., </w:t>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S&amp;P 500 Index and the S&amp;P Health Care Equipment Index</w:t>
      </w:r>
    </w:p>
    <w:p>
      <w:pPr>
        <w:pStyle w:val="TextBody"/>
        <w:bidi w:val="0"/>
        <w:spacing w:before="0" w:after="0"/>
        <w:jc w:val="both"/>
        <w:rPr/>
      </w:pPr>
      <w:r>
        <w:rPr/>
      </w:r>
    </w:p>
    <w:p>
      <w:pPr>
        <w:pStyle w:val="TextBody"/>
        <w:bidi w:val="0"/>
        <w:spacing w:before="0" w:after="0"/>
        <w:jc w:val="left"/>
        <w:rPr/>
      </w:pPr>
      <w:r>
        <w:rPr/>
        <w:drawing>
          <wp:inline distT="0" distB="0" distL="0" distR="0">
            <wp:extent cx="5715000" cy="3429000"/>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3"/>
                    <a:stretch>
                      <a:fillRect/>
                    </a:stretch>
                  </pic:blipFill>
                  <pic:spPr bwMode="auto">
                    <a:xfrm>
                      <a:off x="0" y="0"/>
                      <a:ext cx="5715000" cy="342900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*$100 invested on October 31, 2018, in stock or index, including reinvestment of dividends.</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Fiscal year ending October 31.</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Copyright© 2023 Standard &amp; Poor's, a division of S&amp;P Global. All rights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Issuer Purchases of Equity Securities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There was no share repurchase activity during the three-month period ended October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Equity Compensation Plan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table sets forth certain information as of October 31, 2023, concerning the shares of our Common Stock that may be issued under any form of award granted under our equity compensation plans in effect as of October 31, 2023:</w:t>
      </w:r>
    </w:p>
    <w:tbl>
      <w:tblPr>
        <w:tblW w:w="10205" w:type="dxa"/>
        <w:jc w:val="left"/>
        <w:tblInd w:w="0" w:type="dxa"/>
        <w:tblLayout w:type="fixed"/>
        <w:tblCellMar>
          <w:top w:w="28" w:type="dxa"/>
          <w:left w:w="28" w:type="dxa"/>
          <w:bottom w:w="28" w:type="dxa"/>
          <w:right w:w="28" w:type="dxa"/>
        </w:tblCellMar>
      </w:tblPr>
      <w:tblGrid>
        <w:gridCol w:w="679"/>
        <w:gridCol w:w="596"/>
        <w:gridCol w:w="524"/>
        <w:gridCol w:w="738"/>
        <w:gridCol w:w="738"/>
        <w:gridCol w:w="740"/>
        <w:gridCol w:w="109"/>
        <w:gridCol w:w="109"/>
        <w:gridCol w:w="109"/>
        <w:gridCol w:w="834"/>
        <w:gridCol w:w="834"/>
        <w:gridCol w:w="835"/>
        <w:gridCol w:w="109"/>
        <w:gridCol w:w="109"/>
        <w:gridCol w:w="109"/>
        <w:gridCol w:w="887"/>
        <w:gridCol w:w="887"/>
        <w:gridCol w:w="1259"/>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Plan Category</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Number of Securities to be Issued Upon Exercise of Outstanding Options, Warrants and Rights</w:t>
            </w:r>
            <w:r>
              <w:rPr>
                <w:rFonts w:ascii="Times New Roman;sans-serif" w:hAnsi="Times New Roman;sans-serif"/>
                <w:b/>
                <w:color w:val="000000"/>
                <w:sz w:val="12"/>
              </w:rPr>
              <w:t>(1)</w:t>
            </w:r>
          </w:p>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9"/>
              </w:rPr>
              <w:t>Weighted-Average Exercise Price of Outstanding Options, Warrants and Rights</w:t>
            </w:r>
            <w:r>
              <w:rPr>
                <w:rFonts w:ascii="Times New Roman;sans-serif" w:hAnsi="Times New Roman;sans-serif"/>
                <w:b/>
                <w:color w:val="000000"/>
                <w:sz w:val="12"/>
              </w:rPr>
              <w:t>(2)</w:t>
            </w:r>
          </w:p>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Number of Securities Remaining Available for Future Issuance Under Equity Compensation Plans (Excluding Securities Reflected in Column A)</w:t>
              <w:br/>
              <w:t>(C)</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Equity compensation plans approved by shareholders</w:t>
            </w:r>
            <w:r>
              <w:rPr>
                <w:rFonts w:ascii="Times New Roman;sans-serif" w:hAnsi="Times New Roman;sans-serif"/>
                <w:b w:val="false"/>
                <w:color w:val="000000"/>
                <w:sz w:val="12"/>
              </w:rPr>
              <w:t>(3)</w:t>
            </w:r>
          </w:p>
        </w:tc>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1,505,841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$277.29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2,325,881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compensation plans not approved by shareholders</w:t>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1,505,841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$277.29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2,325,881</w:t>
            </w:r>
          </w:p>
        </w:tc>
      </w:tr>
    </w:tbl>
    <w:p>
      <w:pPr>
        <w:pStyle w:val="TextBody"/>
        <w:bidi w:val="0"/>
        <w:spacing w:before="0" w:after="0"/>
        <w:jc w:val="both"/>
        <w:rPr/>
      </w:pPr>
      <w:r>
        <w:rPr/>
      </w:r>
    </w:p>
    <w:p>
      <w:pPr>
        <w:pStyle w:val="TextBody"/>
        <w:bidi w:val="0"/>
        <w:spacing w:lineRule="auto" w:line="288" w:before="0" w:after="0"/>
        <w:ind w:left="0" w:right="0" w:hanging="27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9"/>
        </w:rPr>
        <w:t xml:space="preserve">Includes (i) 290,029 shares subject to outstanding Restricted Stock Units (RSU), (ii) 138,256 shares subject to Performance Share Units (PSU), calculated at the maximum potential payout and (iii) 1,077,556 shares subject to outstanding options. Does not include rights to purchase shares under the 2019 Employee Stock Purchase Plan (2019 ESPP). </w:t>
      </w:r>
    </w:p>
    <w:p>
      <w:pPr>
        <w:pStyle w:val="TextBody"/>
        <w:bidi w:val="0"/>
        <w:spacing w:before="0" w:after="0"/>
        <w:ind w:left="0" w:right="0" w:hanging="270"/>
        <w:jc w:val="left"/>
        <w:rPr/>
      </w:pPr>
      <w:r>
        <w:rPr/>
      </w:r>
    </w:p>
    <w:p>
      <w:pPr>
        <w:pStyle w:val="TextBody"/>
        <w:bidi w:val="0"/>
        <w:spacing w:lineRule="auto" w:line="288" w:before="0" w:after="0"/>
        <w:ind w:left="0" w:right="0" w:hanging="27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9"/>
        </w:rPr>
        <w:t>The weighted-average exercise price is calculated based solely on the exercise prices of outstanding options and do not reflect shares to be issued upon the vesting of RSUs and PSUs, which have no exercise price.</w:t>
      </w:r>
    </w:p>
    <w:p>
      <w:pPr>
        <w:pStyle w:val="TextBody"/>
        <w:bidi w:val="0"/>
        <w:spacing w:before="0" w:after="0"/>
        <w:jc w:val="left"/>
        <w:rPr/>
      </w:pPr>
      <w:r>
        <w:rPr/>
      </w:r>
    </w:p>
    <w:p>
      <w:pPr>
        <w:pStyle w:val="TextBody"/>
        <w:bidi w:val="0"/>
        <w:spacing w:lineRule="auto" w:line="268" w:before="0" w:after="0"/>
        <w:ind w:left="0" w:right="0" w:hanging="27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9"/>
        </w:rPr>
        <w:t>Includes information with respect to the Third Amended and Restated 2007 Long Term Incentive Plan for Employees (2007 Plan), the 2023 Long-Term Incentive Plan (2023 Plan), which replaces the 2007 Plan, and the 2019 ESPP, as discussed in Note 9. Stock Plans of the Consolidated Financial Statements. Also includes information from the 2020 Long Term Incentive Plan for Non-Employee Directors (2020 Directors' Plan). As of October 31, 2023, up to 1,376,240 shares of Common Stock may be issued pursuant to the 2023 Plan, up to</w:t>
      </w:r>
      <w:r>
        <w:rPr>
          <w:color w:val="000000"/>
          <w:shd w:fill="FFFFFF" w:val="clear"/>
        </w:rPr>
        <w:t xml:space="preserve"> </w:t>
      </w:r>
      <w:r>
        <w:rPr>
          <w:rFonts w:ascii="Times New Roman;sans-serif" w:hAnsi="Times New Roman;sans-serif"/>
          <w:b w:val="false"/>
          <w:color w:val="000000"/>
          <w:sz w:val="19"/>
        </w:rPr>
        <w:t>921,974</w:t>
      </w:r>
      <w:r>
        <w:rPr>
          <w:color w:val="000000"/>
          <w:shd w:fill="FFFFFF" w:val="clear"/>
        </w:rPr>
        <w:t xml:space="preserve"> </w:t>
      </w:r>
      <w:r>
        <w:rPr>
          <w:rFonts w:ascii="Times New Roman;sans-serif" w:hAnsi="Times New Roman;sans-serif"/>
          <w:b w:val="false"/>
          <w:color w:val="000000"/>
          <w:sz w:val="19"/>
          <w:shd w:fill="FFFFFF" w:val="clear"/>
        </w:rPr>
        <w:t>s</w:t>
      </w:r>
      <w:r>
        <w:rPr>
          <w:rFonts w:ascii="Times New Roman;sans-serif" w:hAnsi="Times New Roman;sans-serif"/>
          <w:b w:val="false"/>
          <w:color w:val="000000"/>
          <w:sz w:val="19"/>
        </w:rPr>
        <w:t>hares of Common Stock may be issued pursuant to the 2019 ESPP and up to</w:t>
      </w:r>
      <w:r>
        <w:rPr>
          <w:color w:val="000000"/>
          <w:shd w:fill="FFFFFF" w:val="clear"/>
        </w:rPr>
        <w:t xml:space="preserve"> </w:t>
      </w:r>
      <w:r>
        <w:rPr>
          <w:rFonts w:ascii="Times New Roman;sans-serif" w:hAnsi="Times New Roman;sans-serif"/>
          <w:b w:val="false"/>
          <w:color w:val="000000"/>
          <w:sz w:val="19"/>
        </w:rPr>
        <w:t>27,667</w:t>
      </w:r>
      <w:r>
        <w:rPr>
          <w:color w:val="000000"/>
          <w:shd w:fill="FFFFFF" w:val="clear"/>
        </w:rPr>
        <w:t xml:space="preserve"> </w:t>
      </w:r>
      <w:r>
        <w:rPr>
          <w:rFonts w:ascii="Times New Roman;sans-serif" w:hAnsi="Times New Roman;sans-serif"/>
          <w:b w:val="false"/>
          <w:color w:val="000000"/>
          <w:sz w:val="19"/>
        </w:rPr>
        <w:t xml:space="preserve">shares of Common Stock may be issued pursuant to the 2020 Directors'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19"/>
        </w:rPr>
        <w:t>Item 6.</w:t>
      </w:r>
      <w:r>
        <w:rPr>
          <w:color w:val="000000"/>
        </w:rPr>
        <w:t xml:space="preserve"> </w:t>
      </w:r>
      <w:r>
        <w:rPr>
          <w:rFonts w:ascii="Times New Roman;sans-serif" w:hAnsi="Times New Roman;sans-serif"/>
          <w:b/>
          <w:i/>
          <w:color w:val="000000"/>
          <w:sz w:val="19"/>
        </w:rPr>
        <w:t>Reserved</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19"/>
        </w:rPr>
        <w:t>Item 7.</w:t>
      </w:r>
      <w:r>
        <w:rPr>
          <w:color w:val="000000"/>
        </w:rPr>
        <w:t xml:space="preserve"> </w:t>
      </w:r>
      <w:r>
        <w:rPr>
          <w:rFonts w:ascii="Times New Roman;sans-serif" w:hAnsi="Times New Roman;sans-serif"/>
          <w:b/>
          <w:i/>
          <w:color w:val="000000"/>
          <w:sz w:val="19"/>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 numbers refer to “Notes to Consolidated Financial Statements” in 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this section, we discuss the results of our operations for fiscal 2023 compared with fiscal 2022. We discuss our cash flows and current financial condition under “Capital Resources and Liquidity.” For a discussion related to fiscal 2022 compared with fiscal 2021, please refer to Item 7 of Part II, “Management’s Discussion and Analysis of Financial Condition and Results of Operations” in our Annual Report on Form 10-K for the year ended October 31, 2022, which was filed with the United States Securities and Exchange Commission (SEC) on December 9, 2022, and is available on the SEC's website at www.sec.gov and our Investor Relations website at investor.coopercos.com.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Within the tables presented, percentages are calculated based on the underlying whole-dollar amounts and, therefore, may not recalculate exactly from the rounded numbers used for disclosure purposes.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Outlook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“Risk Factors” section in Part I, Item 1A of this filing.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These risks and uncertainties have adversely affected our sales, cash flow and performance in the past and could further adversely affect our future sales, cash flow and performance.</w:t>
      </w:r>
    </w:p>
    <w:p>
      <w:pPr>
        <w:pStyle w:val="TextBody"/>
        <w:bidi w:val="0"/>
        <w:spacing w:lineRule="auto" w:line="288" w:before="180" w:after="283"/>
        <w:jc w:val="left"/>
        <w:rPr/>
      </w:pPr>
      <w:r>
        <w:rPr>
          <w:rFonts w:ascii="Times New Roman;sans-serif" w:hAnsi="Times New Roman;sans-serif"/>
          <w:b w:val="false"/>
          <w:i/>
          <w:color w:val="000000"/>
          <w:sz w:val="19"/>
        </w:rPr>
        <w:t>CooperVision</w:t>
      </w:r>
      <w:r>
        <w:rPr>
          <w:color w:val="000000"/>
        </w:rPr>
        <w:t xml:space="preserve"> </w:t>
      </w:r>
      <w:r>
        <w:rPr>
          <w:rFonts w:ascii="Times New Roman;sans-serif" w:hAnsi="Times New Roman;sans-serif"/>
          <w:b w:val="false"/>
          <w:color w:val="000000"/>
          <w:sz w:val="19"/>
        </w:rPr>
        <w:t xml:space="preserve">- We compete in the worldwide contact lens market with our spherical, toric, multifocal and toric multifocal contact lenses offered in materials like 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FDA approval for its MiSight 1 day lens, which is the first and only FDA-approved product indicated to slow the progression of myopia in children with treatment initiated between the ages of 8-12. Further, CooperVision has Chinese NMPA approval for its MiSight 1 day lens for use in China. CooperVision is focused on greater worldwide market penetration using recently introduced products, and we continue to expand our presence in existing and emerging markets, including through acquisitions.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 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pStyle w:val="TextBody"/>
        <w:bidi w:val="0"/>
        <w:spacing w:lineRule="auto" w:line="288" w:before="180" w:after="283"/>
        <w:jc w:val="left"/>
        <w:rPr/>
      </w:pPr>
      <w:r>
        <w:rPr>
          <w:rFonts w:ascii="Times New Roman;sans-serif" w:hAnsi="Times New Roman;sans-serif"/>
          <w:b w:val="false"/>
          <w:i/>
          <w:color w:val="000000"/>
          <w:sz w:val="19"/>
        </w:rPr>
        <w:t>CooperSurgical -</w:t>
      </w:r>
      <w:r>
        <w:rPr>
          <w:color w:val="000000"/>
        </w:rPr>
        <w:t xml:space="preserve"> </w:t>
      </w:r>
      <w:r>
        <w:rPr>
          <w:rFonts w:ascii="Times New Roman;sans-serif" w:hAnsi="Times New Roman;sans-serif"/>
          <w:b w:val="false"/>
          <w:color w:val="000000"/>
          <w:sz w:val="19"/>
        </w:rPr>
        <w:t xml:space="preserve">Our CooperSurgical business competes in the fertility and women's health care market through its diversified portfolio of products and services, 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 </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Net Sales</w:t>
      </w:r>
    </w:p>
    <w:p>
      <w:pPr>
        <w:pStyle w:val="TextBody"/>
        <w:bidi w:val="0"/>
        <w:spacing w:before="180" w:after="283"/>
        <w:jc w:val="center"/>
        <w:rPr/>
      </w:pPr>
      <w:r>
        <w:rPr/>
        <w:drawing>
          <wp:inline distT="0" distB="0" distL="0" distR="0">
            <wp:extent cx="3676650" cy="241935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4"/>
                    <a:stretch>
                      <a:fillRect/>
                    </a:stretch>
                  </pic:blipFill>
                  <pic:spPr bwMode="auto">
                    <a:xfrm>
                      <a:off x="0" y="0"/>
                      <a:ext cx="3676650" cy="241935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contact lens market has two major product categories: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Spherical lenses including lenses that correct near- and farsightedness uncomplicated by more complex visual defects;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 by Category</w:t>
      </w:r>
    </w:p>
    <w:p>
      <w:pPr>
        <w:pStyle w:val="TextBody"/>
        <w:bidi w:val="0"/>
        <w:spacing w:before="180" w:after="283"/>
        <w:jc w:val="center"/>
        <w:rPr/>
      </w:pPr>
      <w:r>
        <w:rPr/>
        <w:drawing>
          <wp:inline distT="0" distB="0" distL="0" distR="0">
            <wp:extent cx="2857500" cy="2743200"/>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5"/>
                    <a:stretch>
                      <a:fillRect/>
                    </a:stretch>
                  </pic:blipFill>
                  <pic:spPr bwMode="auto">
                    <a:xfrm>
                      <a:off x="0" y="0"/>
                      <a:ext cx="2857500" cy="2743200"/>
                    </a:xfrm>
                    <a:prstGeom prst="rect">
                      <a:avLst/>
                    </a:prstGeom>
                  </pic:spPr>
                </pic:pic>
              </a:graphicData>
            </a:graphic>
          </wp:inline>
        </w:drawing>
      </w:r>
      <w:r>
        <w:rPr/>
        <w:drawing>
          <wp:inline distT="0" distB="0" distL="0" distR="0">
            <wp:extent cx="2857500" cy="2724150"/>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2857500" cy="2724150"/>
                    </a:xfrm>
                    <a:prstGeom prst="rect">
                      <a:avLst/>
                    </a:prstGeom>
                  </pic:spPr>
                </pic:pic>
              </a:graphicData>
            </a:graphic>
          </wp:inline>
        </w:drawing>
      </w:r>
    </w:p>
    <w:p>
      <w:pPr>
        <w:pStyle w:val="TextBody"/>
        <w:bidi w:val="0"/>
        <w:spacing w:lineRule="auto" w:line="288" w:before="100" w:after="283"/>
        <w:jc w:val="left"/>
        <w:rPr/>
      </w:pPr>
      <w:r>
        <w:rPr>
          <w:rFonts w:ascii="Times New Roman;sans-serif" w:hAnsi="Times New Roman;sans-serif"/>
          <w:b/>
          <w:color w:val="000000"/>
          <w:sz w:val="19"/>
        </w:rPr>
        <w:t>Single-use spheres</w:t>
      </w:r>
      <w:r>
        <w:rPr>
          <w:color w:val="000000"/>
        </w:rPr>
        <w:t xml:space="preserve"> – </w:t>
      </w:r>
      <w:r>
        <w:rPr>
          <w:rFonts w:ascii="Times New Roman;sans-serif" w:hAnsi="Times New Roman;sans-serif"/>
          <w:b w:val="false"/>
          <w:color w:val="000000"/>
          <w:sz w:val="19"/>
        </w:rPr>
        <w:t>This includes Biomedics 1 day, clariti 1 day, MiSight, MyDay, and Proclear 1 day</w:t>
      </w:r>
    </w:p>
    <w:p>
      <w:pPr>
        <w:pStyle w:val="TextBody"/>
        <w:bidi w:val="0"/>
        <w:spacing w:lineRule="auto" w:line="288" w:before="0" w:after="0"/>
        <w:jc w:val="left"/>
        <w:rPr/>
      </w:pPr>
      <w:r>
        <w:rPr>
          <w:rFonts w:ascii="Times New Roman;sans-serif" w:hAnsi="Times New Roman;sans-serif"/>
          <w:b/>
          <w:color w:val="000000"/>
          <w:sz w:val="19"/>
        </w:rPr>
        <w:t>Toric</w:t>
      </w:r>
      <w:r>
        <w:rPr>
          <w:color w:val="000000"/>
        </w:rPr>
        <w:t xml:space="preserve"> – </w:t>
      </w:r>
      <w:r>
        <w:rPr>
          <w:rFonts w:ascii="Times New Roman;sans-serif" w:hAnsi="Times New Roman;sans-serif"/>
          <w:b w:val="false"/>
          <w:color w:val="000000"/>
          <w:sz w:val="19"/>
        </w:rPr>
        <w:t>This includes Avaira Vitality toric, Biofinity toric, Biomedics toric, clariti 1 day toric, MyDay toric and Proclear toric</w:t>
      </w:r>
    </w:p>
    <w:p>
      <w:pPr>
        <w:pStyle w:val="TextBody"/>
        <w:bidi w:val="0"/>
        <w:spacing w:lineRule="auto" w:line="288" w:before="0" w:after="0"/>
        <w:jc w:val="left"/>
        <w:rPr/>
      </w:pPr>
      <w:r>
        <w:rPr>
          <w:rFonts w:ascii="Times New Roman;sans-serif" w:hAnsi="Times New Roman;sans-serif"/>
          <w:b/>
          <w:color w:val="000000"/>
          <w:sz w:val="19"/>
        </w:rPr>
        <w:t>Multifocal</w:t>
      </w:r>
      <w:r>
        <w:rPr>
          <w:color w:val="000000"/>
        </w:rPr>
        <w:t xml:space="preserve"> – </w:t>
      </w:r>
      <w:r>
        <w:rPr>
          <w:rFonts w:ascii="Times New Roman;sans-serif" w:hAnsi="Times New Roman;sans-serif"/>
          <w:b w:val="false"/>
          <w:color w:val="000000"/>
          <w:sz w:val="19"/>
        </w:rPr>
        <w:t>This includes Biofinity multifocal, Biofinity toric multifocal, clariti 1 day multifocal, MyDay multifocal and Proclear 1 day multifocal</w:t>
      </w:r>
    </w:p>
    <w:p>
      <w:pPr>
        <w:pStyle w:val="TextBody"/>
        <w:bidi w:val="0"/>
        <w:spacing w:lineRule="auto" w:line="268" w:before="0" w:after="0"/>
        <w:jc w:val="left"/>
        <w:rPr/>
      </w:pPr>
      <w:r>
        <w:rPr>
          <w:rFonts w:ascii="Times New Roman;sans-serif" w:hAnsi="Times New Roman;sans-serif"/>
          <w:b/>
          <w:color w:val="000000"/>
          <w:sz w:val="19"/>
        </w:rPr>
        <w:t>Non single-use sphere, other</w:t>
      </w:r>
      <w:r>
        <w:rPr>
          <w:color w:val="000000"/>
        </w:rPr>
        <w:t xml:space="preserve"> – </w:t>
      </w:r>
      <w:r>
        <w:rPr>
          <w:rFonts w:ascii="Times New Roman;sans-serif" w:hAnsi="Times New Roman;sans-serif"/>
          <w:b w:val="false"/>
          <w:color w:val="000000"/>
          <w:sz w:val="19"/>
        </w:rPr>
        <w:t>This includes our frequent replacement product (FRP) lens portfolio (Avaira Vitality spheres, Biofinity spheres, Biofinity Energys spheres, Biomedics spheres, clariti spheres, Proclear spheres), specialty lenses (custom, ortho-k, and scleral lenses)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7912" w:type="dxa"/>
        <w:jc w:val="center"/>
        <w:tblInd w:w="0" w:type="dxa"/>
        <w:tblLayout w:type="fixed"/>
        <w:tblCellMar>
          <w:top w:w="28" w:type="dxa"/>
          <w:left w:w="28" w:type="dxa"/>
          <w:bottom w:w="28" w:type="dxa"/>
          <w:right w:w="28" w:type="dxa"/>
        </w:tblCellMar>
      </w:tblPr>
      <w:tblGrid>
        <w:gridCol w:w="876"/>
        <w:gridCol w:w="768"/>
        <w:gridCol w:w="771"/>
        <w:gridCol w:w="211"/>
        <w:gridCol w:w="766"/>
        <w:gridCol w:w="109"/>
        <w:gridCol w:w="109"/>
        <w:gridCol w:w="109"/>
        <w:gridCol w:w="109"/>
        <w:gridCol w:w="109"/>
        <w:gridCol w:w="109"/>
        <w:gridCol w:w="211"/>
        <w:gridCol w:w="766"/>
        <w:gridCol w:w="109"/>
        <w:gridCol w:w="109"/>
        <w:gridCol w:w="109"/>
        <w:gridCol w:w="109"/>
        <w:gridCol w:w="109"/>
        <w:gridCol w:w="109"/>
        <w:gridCol w:w="455"/>
        <w:gridCol w:w="455"/>
        <w:gridCol w:w="1325"/>
      </w:tblGrid>
      <w:tr>
        <w:trPr/>
        <w:tc>
          <w:tcPr>
            <w:tcW w:w="8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 vs. 2022 % Change</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Multifocal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Single-use spheres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 single-use sphere,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fiscal year ended October 31, 2023, the growth experienced across all categories was partially offset by unfavorable foreign exchange rate fluctuations, which approximated $61.0 million.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lenses grew primarily through the success of MyDay and Biofinity.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Single-use sphere lenses grew primarily through MyDay, MiSight, and clariti lenses.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Non single-use sphere lenses grew primarily through specialty lenses.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19"/>
        </w:rPr>
        <w:t>"Other" products represented approximately 1% of net sales in fiscal 2023 and 2022.</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 by Geography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competes in the worldwide soft contact lens market and services in three primary regions: the Americas, EMEA (Europe, Middle East and Africa) and Asia Pacific.</w:t>
      </w:r>
    </w:p>
    <w:tbl>
      <w:tblPr>
        <w:tblW w:w="6460" w:type="dxa"/>
        <w:jc w:val="left"/>
        <w:tblInd w:w="0" w:type="dxa"/>
        <w:tblLayout w:type="fixed"/>
        <w:tblCellMar>
          <w:top w:w="28" w:type="dxa"/>
          <w:left w:w="28" w:type="dxa"/>
          <w:bottom w:w="28" w:type="dxa"/>
          <w:right w:w="28" w:type="dxa"/>
        </w:tblCellMar>
      </w:tblPr>
      <w:tblGrid>
        <w:gridCol w:w="468"/>
        <w:gridCol w:w="410"/>
        <w:gridCol w:w="412"/>
        <w:gridCol w:w="109"/>
        <w:gridCol w:w="211"/>
        <w:gridCol w:w="766"/>
        <w:gridCol w:w="109"/>
        <w:gridCol w:w="109"/>
        <w:gridCol w:w="109"/>
        <w:gridCol w:w="109"/>
        <w:gridCol w:w="211"/>
        <w:gridCol w:w="766"/>
        <w:gridCol w:w="109"/>
        <w:gridCol w:w="109"/>
        <w:gridCol w:w="109"/>
        <w:gridCol w:w="109"/>
        <w:gridCol w:w="455"/>
        <w:gridCol w:w="455"/>
        <w:gridCol w:w="1325"/>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 vs. 2022 % Change</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Americas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EMEA</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Asia Pacific</w:t>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growth in net sales across all regions was primarily attributable to market gains of silicone hydrogel contact lenses. Refer to CooperVision Net Sales by Category above for further discussion.</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CooperSurgical Net Sales by Category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supplies the fertility and women's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chart below shows the percentage of net sales of office and surgical and fertility.</w:t>
      </w:r>
    </w:p>
    <w:p>
      <w:pPr>
        <w:pStyle w:val="TextBody"/>
        <w:bidi w:val="0"/>
        <w:spacing w:before="180" w:after="283"/>
        <w:jc w:val="center"/>
        <w:rPr/>
      </w:pPr>
      <w:r>
        <w:rPr/>
        <w:drawing>
          <wp:inline distT="0" distB="0" distL="0" distR="0">
            <wp:extent cx="2857500" cy="2743200"/>
            <wp:effectExtent l="0" t="0" r="0" b="0"/>
            <wp:docPr id="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6" descr=""/>
                    <pic:cNvPicPr>
                      <a:picLocks noChangeAspect="1" noChangeArrowheads="1"/>
                    </pic:cNvPicPr>
                  </pic:nvPicPr>
                  <pic:blipFill>
                    <a:blip r:embed="rId7"/>
                    <a:stretch>
                      <a:fillRect/>
                    </a:stretch>
                  </pic:blipFill>
                  <pic:spPr bwMode="auto">
                    <a:xfrm>
                      <a:off x="0" y="0"/>
                      <a:ext cx="2857500" cy="2743200"/>
                    </a:xfrm>
                    <a:prstGeom prst="rect">
                      <a:avLst/>
                    </a:prstGeom>
                  </pic:spPr>
                </pic:pic>
              </a:graphicData>
            </a:graphic>
          </wp:inline>
        </w:drawing>
      </w:r>
      <w:r>
        <w:rPr/>
        <w:drawing>
          <wp:inline distT="0" distB="0" distL="0" distR="0">
            <wp:extent cx="2857500" cy="2724150"/>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8"/>
                    <a:stretch>
                      <a:fillRect/>
                    </a:stretch>
                  </pic:blipFill>
                  <pic:spPr bwMode="auto">
                    <a:xfrm>
                      <a:off x="0" y="0"/>
                      <a:ext cx="2857500" cy="2724150"/>
                    </a:xfrm>
                    <a:prstGeom prst="rect">
                      <a:avLst/>
                    </a:prstGeom>
                  </pic:spPr>
                </pic:pic>
              </a:graphicData>
            </a:graphic>
          </wp:inline>
        </w:drawing>
      </w:r>
    </w:p>
    <w:p>
      <w:pPr>
        <w:pStyle w:val="TextBody"/>
        <w:bidi w:val="0"/>
        <w:spacing w:lineRule="auto" w:line="268" w:before="0" w:after="0"/>
        <w:jc w:val="left"/>
        <w:rPr/>
      </w:pPr>
      <w:r>
        <w:rPr>
          <w:rFonts w:ascii="Times New Roman;sans-serif" w:hAnsi="Times New Roman;sans-serif"/>
          <w:b/>
          <w:color w:val="000000"/>
          <w:sz w:val="19"/>
        </w:rPr>
        <w:t>Office/Surgical</w:t>
      </w:r>
      <w:r>
        <w:rPr>
          <w:color w:val="000000"/>
        </w:rPr>
        <w:t xml:space="preserve"> – </w:t>
      </w:r>
      <w:r>
        <w:rPr>
          <w:rFonts w:ascii="Times New Roman;sans-serif" w:hAnsi="Times New Roman;sans-serif"/>
          <w:b w:val="false"/>
          <w:color w:val="000000"/>
          <w:sz w:val="19"/>
        </w:rPr>
        <w:t>This includes Endosee endometrial imaging products, Fetal Pillow cephalic elevation devices for use in Cesarean sections, illuminated speculum products, Lone Star retractor systems, loop electrosurgical excision procedure (LEEP) products, Mara water ablation systems, cryostorage (such as cord blood and cord tissue storage), Paragard contraceptive IUDs, point-of-care products and uterine positioning products.</w:t>
      </w:r>
    </w:p>
    <w:p>
      <w:pPr>
        <w:pStyle w:val="TextBody"/>
        <w:bidi w:val="0"/>
        <w:spacing w:lineRule="auto" w:line="268" w:before="0" w:after="0"/>
        <w:jc w:val="left"/>
        <w:rPr/>
      </w:pPr>
      <w:r>
        <w:rPr>
          <w:rFonts w:ascii="Times New Roman;sans-serif" w:hAnsi="Times New Roman;sans-serif"/>
          <w:b/>
          <w:color w:val="000000"/>
          <w:sz w:val="19"/>
        </w:rPr>
        <w:t>Fertility</w:t>
      </w:r>
      <w:r>
        <w:rPr>
          <w:color w:val="000000"/>
        </w:rPr>
        <w:t xml:space="preserve"> – </w:t>
      </w:r>
      <w:r>
        <w:rPr>
          <w:rFonts w:ascii="Times New Roman;sans-serif" w:hAnsi="Times New Roman;sans-serif"/>
          <w:b w:val="false"/>
          <w:color w:val="000000"/>
          <w:sz w:val="19"/>
        </w:rPr>
        <w:t>This includes fertility consumables and equipment, donor gamete services, and genomic services (including genetic testing).</w:t>
      </w:r>
    </w:p>
    <w:tbl>
      <w:tblPr>
        <w:tblW w:w="7146" w:type="dxa"/>
        <w:jc w:val="left"/>
        <w:tblInd w:w="0" w:type="dxa"/>
        <w:tblLayout w:type="fixed"/>
        <w:tblCellMar>
          <w:top w:w="28" w:type="dxa"/>
          <w:left w:w="28" w:type="dxa"/>
          <w:bottom w:w="28" w:type="dxa"/>
          <w:right w:w="28" w:type="dxa"/>
        </w:tblCellMar>
      </w:tblPr>
      <w:tblGrid>
        <w:gridCol w:w="598"/>
        <w:gridCol w:w="524"/>
        <w:gridCol w:w="527"/>
        <w:gridCol w:w="109"/>
        <w:gridCol w:w="109"/>
        <w:gridCol w:w="109"/>
        <w:gridCol w:w="211"/>
        <w:gridCol w:w="766"/>
        <w:gridCol w:w="109"/>
        <w:gridCol w:w="109"/>
        <w:gridCol w:w="109"/>
        <w:gridCol w:w="109"/>
        <w:gridCol w:w="211"/>
        <w:gridCol w:w="766"/>
        <w:gridCol w:w="109"/>
        <w:gridCol w:w="109"/>
        <w:gridCol w:w="109"/>
        <w:gridCol w:w="109"/>
        <w:gridCol w:w="109"/>
        <w:gridCol w:w="455"/>
        <w:gridCol w:w="455"/>
        <w:gridCol w:w="1325"/>
      </w:tblGrid>
      <w:tr>
        <w:trPr/>
        <w:tc>
          <w:tcPr>
            <w:tcW w:w="5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sz w:val="19"/>
              </w:rPr>
              <w:br/>
            </w:r>
            <w:r>
              <w:rPr>
                <w:rFonts w:ascii="Times New Roman;sans-serif" w:hAnsi="Times New Roman;sans-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 vs. 2022 % Change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shd w:fill="FFFFFF" w:val="clear"/>
        </w:rPr>
        <w:t>In th</w:t>
      </w:r>
      <w:r>
        <w:rPr>
          <w:rFonts w:ascii="Times New Roman;sans-serif" w:hAnsi="Times New Roman;sans-serif"/>
          <w:b w:val="false"/>
          <w:color w:val="000000"/>
          <w:sz w:val="19"/>
        </w:rPr>
        <w:t>e fiscal year ended October 31, 2023, the net sales increase in both categories was partially due to the addition of Generate Life Sciences (Generate) on December 17, 2021. Additionally, office and surgical net sales increased due to an increase in sales from products such as Uterine Manipulators, Fetal Pillow and Surgical Retractors, and fertility net sales increased due to an increase in revenue from consumable products and genomic services. The increase was partially offset by unfavorable foreign exchange rate fluctuations, which approximated $15.1 million.</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Gross Margin</w:t>
      </w:r>
    </w:p>
    <w:p>
      <w:pPr>
        <w:pStyle w:val="TextBody"/>
        <w:bidi w:val="0"/>
        <w:spacing w:lineRule="auto" w:line="288" w:before="10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Gross Margin was relatively flat at 66% in fiscal 2023 compared to 65% in fiscal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Selling, General and Administrative (SGA) Expenses</w:t>
      </w:r>
    </w:p>
    <w:tbl>
      <w:tblPr>
        <w:tblW w:w="7740" w:type="dxa"/>
        <w:jc w:val="left"/>
        <w:tblInd w:w="0" w:type="dxa"/>
        <w:tblLayout w:type="fixed"/>
        <w:tblCellMar>
          <w:top w:w="28" w:type="dxa"/>
          <w:left w:w="28" w:type="dxa"/>
          <w:bottom w:w="28" w:type="dxa"/>
          <w:right w:w="28" w:type="dxa"/>
        </w:tblCellMar>
      </w:tblPr>
      <w:tblGrid>
        <w:gridCol w:w="518"/>
        <w:gridCol w:w="453"/>
        <w:gridCol w:w="425"/>
        <w:gridCol w:w="211"/>
        <w:gridCol w:w="766"/>
        <w:gridCol w:w="109"/>
        <w:gridCol w:w="109"/>
        <w:gridCol w:w="109"/>
        <w:gridCol w:w="109"/>
        <w:gridCol w:w="202"/>
        <w:gridCol w:w="204"/>
        <w:gridCol w:w="351"/>
        <w:gridCol w:w="109"/>
        <w:gridCol w:w="109"/>
        <w:gridCol w:w="109"/>
        <w:gridCol w:w="211"/>
        <w:gridCol w:w="766"/>
        <w:gridCol w:w="109"/>
        <w:gridCol w:w="109"/>
        <w:gridCol w:w="109"/>
        <w:gridCol w:w="109"/>
        <w:gridCol w:w="202"/>
        <w:gridCol w:w="204"/>
        <w:gridCol w:w="351"/>
        <w:gridCol w:w="109"/>
        <w:gridCol w:w="109"/>
        <w:gridCol w:w="109"/>
        <w:gridCol w:w="275"/>
        <w:gridCol w:w="275"/>
        <w:gridCol w:w="800"/>
      </w:tblGrid>
      <w:tr>
        <w:trPr/>
        <w:tc>
          <w:tcPr>
            <w:tcW w:w="5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2023 vs. 2022 </w:t>
              <w:br/>
              <w:t>% 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SGA expenses increased in fiscal 2023 compared to fiscal 2022 primarily due to an increase in selling and marketing activities, distribution costs, and an intangible assets impairment charge associated with the discontinuation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certain products, partially offset by $31.8 million release of contingent consideration liability associated with SightGlass Vision's regulatory approval milestone.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CooperSurgical's SGA expenses increased in fiscal 2023 compared to fiscal 2022 primarily due to an increase in selling and marketing activities and the payment of a $45.0 million termination fee under an asset purchase agreement related to Cook Medical’s reproductive health business. See Note 3. Acquisitions and Joint Venture for further information on the termination fee.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SGA expenses increased in fiscal 2023 compared to fiscal 2022 primarily due to share-based compensation related expenses.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Research and Development (R&amp;D) Expenses </w:t>
      </w:r>
    </w:p>
    <w:tbl>
      <w:tblPr>
        <w:tblW w:w="7188" w:type="dxa"/>
        <w:jc w:val="left"/>
        <w:tblInd w:w="0" w:type="dxa"/>
        <w:tblLayout w:type="fixed"/>
        <w:tblCellMar>
          <w:top w:w="28" w:type="dxa"/>
          <w:left w:w="28" w:type="dxa"/>
          <w:bottom w:w="28" w:type="dxa"/>
          <w:right w:w="28" w:type="dxa"/>
        </w:tblCellMar>
      </w:tblPr>
      <w:tblGrid>
        <w:gridCol w:w="518"/>
        <w:gridCol w:w="453"/>
        <w:gridCol w:w="425"/>
        <w:gridCol w:w="211"/>
        <w:gridCol w:w="616"/>
        <w:gridCol w:w="109"/>
        <w:gridCol w:w="109"/>
        <w:gridCol w:w="109"/>
        <w:gridCol w:w="109"/>
        <w:gridCol w:w="140"/>
        <w:gridCol w:w="140"/>
        <w:gridCol w:w="351"/>
        <w:gridCol w:w="109"/>
        <w:gridCol w:w="109"/>
        <w:gridCol w:w="109"/>
        <w:gridCol w:w="211"/>
        <w:gridCol w:w="616"/>
        <w:gridCol w:w="109"/>
        <w:gridCol w:w="109"/>
        <w:gridCol w:w="109"/>
        <w:gridCol w:w="109"/>
        <w:gridCol w:w="140"/>
        <w:gridCol w:w="140"/>
        <w:gridCol w:w="351"/>
        <w:gridCol w:w="109"/>
        <w:gridCol w:w="109"/>
        <w:gridCol w:w="109"/>
        <w:gridCol w:w="275"/>
        <w:gridCol w:w="275"/>
        <w:gridCol w:w="800"/>
      </w:tblGrid>
      <w:tr>
        <w:trPr/>
        <w:tc>
          <w:tcPr>
            <w:tcW w:w="5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2023 vs. 2022 </w:t>
              <w:br/>
              <w:t>% 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R&amp;D expenses increased in fiscal 2023 compared to fiscal 2022 primarily due to European Medical Device Regulation costs and myopia management programs, and timing of R&amp;D projects. CooperVision's R&amp;D activities are primarily focused on the development of contact lenses, manufacturing technology and process enhancements.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R&amp;D expenses increased in fiscal 2023 compared to fiscal 2022 mainly due to European Medical Device Regulation costs. CooperSurgical's R&amp;D activities are focused on developing and refining diagnostic and therapeutic products including medical interventions, surgical devices and fertility solutions.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Amortization Expense</w:t>
      </w:r>
    </w:p>
    <w:tbl>
      <w:tblPr>
        <w:tblW w:w="7350" w:type="dxa"/>
        <w:jc w:val="left"/>
        <w:tblInd w:w="0" w:type="dxa"/>
        <w:tblLayout w:type="fixed"/>
        <w:tblCellMar>
          <w:top w:w="28" w:type="dxa"/>
          <w:left w:w="28" w:type="dxa"/>
          <w:bottom w:w="28" w:type="dxa"/>
          <w:right w:w="28" w:type="dxa"/>
        </w:tblCellMar>
      </w:tblPr>
      <w:tblGrid>
        <w:gridCol w:w="518"/>
        <w:gridCol w:w="453"/>
        <w:gridCol w:w="425"/>
        <w:gridCol w:w="211"/>
        <w:gridCol w:w="616"/>
        <w:gridCol w:w="109"/>
        <w:gridCol w:w="109"/>
        <w:gridCol w:w="109"/>
        <w:gridCol w:w="109"/>
        <w:gridCol w:w="180"/>
        <w:gridCol w:w="181"/>
        <w:gridCol w:w="351"/>
        <w:gridCol w:w="109"/>
        <w:gridCol w:w="109"/>
        <w:gridCol w:w="109"/>
        <w:gridCol w:w="211"/>
        <w:gridCol w:w="616"/>
        <w:gridCol w:w="109"/>
        <w:gridCol w:w="109"/>
        <w:gridCol w:w="109"/>
        <w:gridCol w:w="109"/>
        <w:gridCol w:w="180"/>
        <w:gridCol w:w="181"/>
        <w:gridCol w:w="351"/>
        <w:gridCol w:w="109"/>
        <w:gridCol w:w="109"/>
        <w:gridCol w:w="109"/>
        <w:gridCol w:w="275"/>
        <w:gridCol w:w="275"/>
        <w:gridCol w:w="800"/>
      </w:tblGrid>
      <w:tr>
        <w:trPr/>
        <w:tc>
          <w:tcPr>
            <w:tcW w:w="5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2023 vs. 2022 </w:t>
              <w:br/>
              <w:t>% 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amortization expense for fiscal 2023 compared to fiscal 2022 remained relatively flat year over year.</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amortization expense increased in fiscal 2023 compared to fiscal 2022, primarily due to the amortization of intangible assets recently acquired through acquisitions.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 xml:space="preserve">Operating Income </w:t>
      </w:r>
    </w:p>
    <w:tbl>
      <w:tblPr>
        <w:tblW w:w="7440" w:type="dxa"/>
        <w:jc w:val="left"/>
        <w:tblInd w:w="0" w:type="dxa"/>
        <w:tblLayout w:type="fixed"/>
        <w:tblCellMar>
          <w:top w:w="28" w:type="dxa"/>
          <w:left w:w="28" w:type="dxa"/>
          <w:bottom w:w="28" w:type="dxa"/>
          <w:right w:w="28" w:type="dxa"/>
        </w:tblCellMar>
      </w:tblPr>
      <w:tblGrid>
        <w:gridCol w:w="518"/>
        <w:gridCol w:w="453"/>
        <w:gridCol w:w="425"/>
        <w:gridCol w:w="211"/>
        <w:gridCol w:w="616"/>
        <w:gridCol w:w="109"/>
        <w:gridCol w:w="109"/>
        <w:gridCol w:w="109"/>
        <w:gridCol w:w="109"/>
        <w:gridCol w:w="202"/>
        <w:gridCol w:w="204"/>
        <w:gridCol w:w="351"/>
        <w:gridCol w:w="109"/>
        <w:gridCol w:w="109"/>
        <w:gridCol w:w="109"/>
        <w:gridCol w:w="211"/>
        <w:gridCol w:w="616"/>
        <w:gridCol w:w="109"/>
        <w:gridCol w:w="109"/>
        <w:gridCol w:w="109"/>
        <w:gridCol w:w="109"/>
        <w:gridCol w:w="202"/>
        <w:gridCol w:w="204"/>
        <w:gridCol w:w="351"/>
        <w:gridCol w:w="109"/>
        <w:gridCol w:w="109"/>
        <w:gridCol w:w="109"/>
        <w:gridCol w:w="275"/>
        <w:gridCol w:w="275"/>
        <w:gridCol w:w="800"/>
      </w:tblGrid>
      <w:tr>
        <w:trPr/>
        <w:tc>
          <w:tcPr>
            <w:tcW w:w="5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2023 vs. 2022 </w:t>
              <w:br/>
              <w:t>% 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operating income increased in fiscal 2023 compared to fiscal 2022, primarily due to an increase in net sales partially offset by net changes in operating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operating income decreased in fiscal 2023 compared to fiscal 2022, primarily due to an increase in SGA and R&amp;D expenses, partially offset by an increase in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Corporate operating loss increased in fiscal 2023 compared to fiscal 2022, primarily due to higher share-based compensation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Interest Expense</w:t>
      </w:r>
    </w:p>
    <w:tbl>
      <w:tblPr>
        <w:tblW w:w="7112" w:type="dxa"/>
        <w:jc w:val="left"/>
        <w:tblInd w:w="0" w:type="dxa"/>
        <w:tblLayout w:type="fixed"/>
        <w:tblCellMar>
          <w:top w:w="28" w:type="dxa"/>
          <w:left w:w="28" w:type="dxa"/>
          <w:bottom w:w="28" w:type="dxa"/>
          <w:right w:w="28" w:type="dxa"/>
        </w:tblCellMar>
      </w:tblPr>
      <w:tblGrid>
        <w:gridCol w:w="517"/>
        <w:gridCol w:w="453"/>
        <w:gridCol w:w="455"/>
        <w:gridCol w:w="211"/>
        <w:gridCol w:w="616"/>
        <w:gridCol w:w="109"/>
        <w:gridCol w:w="109"/>
        <w:gridCol w:w="109"/>
        <w:gridCol w:w="109"/>
        <w:gridCol w:w="140"/>
        <w:gridCol w:w="140"/>
        <w:gridCol w:w="351"/>
        <w:gridCol w:w="109"/>
        <w:gridCol w:w="109"/>
        <w:gridCol w:w="109"/>
        <w:gridCol w:w="211"/>
        <w:gridCol w:w="511"/>
        <w:gridCol w:w="109"/>
        <w:gridCol w:w="109"/>
        <w:gridCol w:w="109"/>
        <w:gridCol w:w="109"/>
        <w:gridCol w:w="140"/>
        <w:gridCol w:w="140"/>
        <w:gridCol w:w="351"/>
        <w:gridCol w:w="109"/>
        <w:gridCol w:w="109"/>
        <w:gridCol w:w="109"/>
        <w:gridCol w:w="275"/>
        <w:gridCol w:w="275"/>
        <w:gridCol w:w="800"/>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xml:space="preserve">2023 vs. 2022 </w:t>
              <w:br/>
              <w:t>% Change</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increased during fiscal 2023 compared to the prior year, primarily due to higher interest rates.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Other Expense (Income), Net</w:t>
      </w:r>
    </w:p>
    <w:tbl>
      <w:tblPr>
        <w:tblW w:w="4494" w:type="dxa"/>
        <w:jc w:val="left"/>
        <w:tblInd w:w="0" w:type="dxa"/>
        <w:tblLayout w:type="fixed"/>
        <w:tblCellMar>
          <w:top w:w="28" w:type="dxa"/>
          <w:left w:w="28" w:type="dxa"/>
          <w:bottom w:w="28" w:type="dxa"/>
          <w:right w:w="28" w:type="dxa"/>
        </w:tblCellMar>
      </w:tblPr>
      <w:tblGrid>
        <w:gridCol w:w="865"/>
        <w:gridCol w:w="758"/>
        <w:gridCol w:w="762"/>
        <w:gridCol w:w="211"/>
        <w:gridCol w:w="511"/>
        <w:gridCol w:w="109"/>
        <w:gridCol w:w="109"/>
        <w:gridCol w:w="109"/>
        <w:gridCol w:w="109"/>
        <w:gridCol w:w="211"/>
        <w:gridCol w:w="586"/>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gain in fiscal 2022 primarily consists of a gain on remeasurement of the fair value of retained equity investment in SGV as a result of deconsolidation.</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 is primarily associated with the weakening of the U.S. dollar against foreign currencies and the effect on intercompany receivables.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expenses (income), net increased in fiscal 2023, primarily due to a loss on minority investments, partially offset by defined benefit plan related income.</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Provision for Income Taxes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9"/>
        </w:rPr>
        <w:t xml:space="preserve">The effective tax rates for fiscal 2023 and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9"/>
        </w:rPr>
        <w:t>were 28.7% and 18.8%, respectively. The increase was primarily due to changes in the geographic composition of pre-tax earnings, an increase in the UK statutory tax rate from 19% to 25%, capitalization of research and experimental expenditures for fiscal 2023 as required by the 2017 Tax Cuts and Jobs Act, and changes in unrecognized tax benefits.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9"/>
        </w:rPr>
        <w:t xml:space="preserve">The effective tax rate for fiscal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color w:val="000000"/>
          <w:sz w:val="19"/>
        </w:rPr>
        <w:t xml:space="preserve">was higher than the US federal statutory rate primarily due to foreign earnings subject to US tax. The effective tax rate for fiscal 2022 was lower than the US federal statutory rate primarily due to foreign earnings in jurisdictions with lower tax rates and changes in unrecognized tax benefits, partially offset by foreign earnings subject to US tax.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See Note 6. Income Taxes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CAPITAL RESOURCES AND LIQUIDITY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Working capital at October 31, 2023 and October 31, 2022, was $735.9 million and $253.4 million, respectively. The increase in working capital was primarily due to repayment of the 364-day term loan during fiscal 2023 and an increase in inventories. See Note 5. Financing Arrangements for further information.</w:t>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Cash Flow</w:t>
      </w:r>
    </w:p>
    <w:tbl>
      <w:tblPr>
        <w:tblW w:w="9145" w:type="dxa"/>
        <w:jc w:val="left"/>
        <w:tblInd w:w="0" w:type="dxa"/>
        <w:tblLayout w:type="fixed"/>
        <w:tblCellMar>
          <w:top w:w="28" w:type="dxa"/>
          <w:left w:w="28" w:type="dxa"/>
          <w:bottom w:w="28" w:type="dxa"/>
          <w:right w:w="28" w:type="dxa"/>
        </w:tblCellMar>
      </w:tblPr>
      <w:tblGrid>
        <w:gridCol w:w="2040"/>
        <w:gridCol w:w="1788"/>
        <w:gridCol w:w="1797"/>
        <w:gridCol w:w="211"/>
        <w:gridCol w:w="616"/>
        <w:gridCol w:w="109"/>
        <w:gridCol w:w="109"/>
        <w:gridCol w:w="109"/>
        <w:gridCol w:w="109"/>
        <w:gridCol w:w="214"/>
        <w:gridCol w:w="626"/>
        <w:gridCol w:w="109"/>
        <w:gridCol w:w="109"/>
        <w:gridCol w:w="109"/>
        <w:gridCol w:w="109"/>
        <w:gridCol w:w="211"/>
        <w:gridCol w:w="616"/>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restricted</w:t>
              <w:br/>
              <w:t>cash and restricted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(Decrease) increase in cash, cash equivalents, restricted cash and</w:t>
            </w:r>
          </w:p>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 equivalents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Operating Cash Flow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 in fiscal 2023 decreased compared to fiscal 2022, primarily due to the payment of a $45 million termination fee under an asset purchase agreement and net changes in operating capital, partially offset by net changes in other non-cash items.</w:t>
      </w:r>
    </w:p>
    <w:p>
      <w:pPr>
        <w:pStyle w:val="TextBody"/>
        <w:bidi w:val="0"/>
        <w:spacing w:lineRule="auto" w:line="256"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$45.0 million termination fee under an asset purchase agreement related to Cook Medical’s reproductive health business was accrued for during the second quarter of fiscal 2023 and paid on August 9, 2023. See Note 3. Acquisitions and Joint Venture for further information on the termination fee.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Investing Cash Flow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used in investing activities in fiscal 2023 was lower than cash used in investing activities in fiscal 2022, primarily attributable to $1.6 billion cash paid, net of cash acquired, for the Generate acquisition in fiscal 2022. The decrease in cash used for acquisitions was partially offset by an increase in purchases of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Financing Cash Flow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financing activities in fiscal 2023 was primarily due to repayments of $338.0 million on the 2021 364-day term loan, partially offset by $172.6 million of funds drawn on the 2020 Revolving Credit.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provided by financing activities in fiscal 2022 was primarily due to funds received from the 2021 term loan facility ($1.5 billion) and the 2021 364-day term loan facility ($840.0 million), partially offset by $561.5 million repayments of the 2020 Revolving Credit, $502.0 million repayments of the 2021 364-day term loan facility, and $78.5 million repurchases of common stock.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is a summary of the maximum commitments and the net amounts available to us under different credit facilities as of October 31, 2023:</w:t>
      </w:r>
    </w:p>
    <w:tbl>
      <w:tblPr>
        <w:tblW w:w="10205" w:type="dxa"/>
        <w:jc w:val="center"/>
        <w:tblInd w:w="0" w:type="dxa"/>
        <w:tblLayout w:type="fixed"/>
        <w:tblCellMar>
          <w:top w:w="28" w:type="dxa"/>
          <w:left w:w="28" w:type="dxa"/>
          <w:bottom w:w="28" w:type="dxa"/>
          <w:right w:w="28" w:type="dxa"/>
        </w:tblCellMar>
      </w:tblPr>
      <w:tblGrid>
        <w:gridCol w:w="539"/>
        <w:gridCol w:w="439"/>
        <w:gridCol w:w="408"/>
        <w:gridCol w:w="109"/>
        <w:gridCol w:w="109"/>
        <w:gridCol w:w="109"/>
        <w:gridCol w:w="226"/>
        <w:gridCol w:w="822"/>
        <w:gridCol w:w="116"/>
        <w:gridCol w:w="109"/>
        <w:gridCol w:w="109"/>
        <w:gridCol w:w="109"/>
        <w:gridCol w:w="300"/>
        <w:gridCol w:w="1092"/>
        <w:gridCol w:w="157"/>
        <w:gridCol w:w="109"/>
        <w:gridCol w:w="109"/>
        <w:gridCol w:w="109"/>
        <w:gridCol w:w="493"/>
        <w:gridCol w:w="952"/>
        <w:gridCol w:w="256"/>
        <w:gridCol w:w="109"/>
        <w:gridCol w:w="109"/>
        <w:gridCol w:w="109"/>
        <w:gridCol w:w="292"/>
        <w:gridCol w:w="1061"/>
        <w:gridCol w:w="150"/>
        <w:gridCol w:w="109"/>
        <w:gridCol w:w="109"/>
        <w:gridCol w:w="109"/>
        <w:gridCol w:w="387"/>
        <w:gridCol w:w="360"/>
        <w:gridCol w:w="520"/>
      </w:tblGrid>
      <w:tr>
        <w:trPr/>
        <w:tc>
          <w:tcPr>
            <w:tcW w:w="5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Facility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Amount 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 Date</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2020 Revolving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April 1, 2025</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2020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April 1, 2025</w:t>
            </w:r>
          </w:p>
        </w:tc>
      </w:tr>
      <w:tr>
        <w:trPr/>
        <w:tc>
          <w:tcPr>
            <w:tcW w:w="13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2021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December 17, 2026</w:t>
            </w:r>
          </w:p>
        </w:tc>
      </w:tr>
      <w:tr>
        <w:trPr/>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2,522.6 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1,115.3 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of October 31, 2023, the Company was in compliance with all debt covenants. See Note 5. Financing Arrangements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Considering recent market conditions,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Financial Statements included in this annual report. To the extent additional funds are necessary to meet our liquidity needs such as that for acquisitions, share repurchases, cash dividends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Share Repurchases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December 2011, the Company's Board of Directors authorized the 2012 Share Repurchase Program ("2012 Program") and through subsequent amendments, the most recent in March 2017, the total repurchase authorization was increased from $500.0 million to $1.0 billion of the Company's common stock. The program has no expiration date and may be discontinued at any time. Purchases under the 2012 Program are subject to a review of the circumstances in place at the time and may be made from time to time as permitted by securities laws and other legal requirements.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fiscal 2023, there were no share repurchases under the 2012 Program. At October 31, 2023, $256.4 million remained authorized for repurchase under the program. See Note 8. Stockholders’ Equity for additional information.</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Dividends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fiscal 2023 and 2022, the Company declared regular dividends of 6 cents per share (a semiannual dividend of 3 cents per share) and paid a total of $3.0 million in each fiscal year. In December 2023, our Board of Directors decided to end the declaration of the semiannual dividend.</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Contractual Obligations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As of October 31, 2023, we had the following contractual obligations: </w:t>
      </w:r>
    </w:p>
    <w:tbl>
      <w:tblPr>
        <w:tblW w:w="10205" w:type="dxa"/>
        <w:jc w:val="left"/>
        <w:tblInd w:w="0" w:type="dxa"/>
        <w:tblLayout w:type="fixed"/>
        <w:tblCellMar>
          <w:top w:w="28" w:type="dxa"/>
          <w:left w:w="28" w:type="dxa"/>
          <w:bottom w:w="28" w:type="dxa"/>
          <w:right w:w="28" w:type="dxa"/>
        </w:tblCellMar>
      </w:tblPr>
      <w:tblGrid>
        <w:gridCol w:w="1305"/>
        <w:gridCol w:w="1116"/>
        <w:gridCol w:w="1123"/>
        <w:gridCol w:w="211"/>
        <w:gridCol w:w="616"/>
        <w:gridCol w:w="109"/>
        <w:gridCol w:w="109"/>
        <w:gridCol w:w="109"/>
        <w:gridCol w:w="109"/>
        <w:gridCol w:w="211"/>
        <w:gridCol w:w="616"/>
        <w:gridCol w:w="109"/>
        <w:gridCol w:w="109"/>
        <w:gridCol w:w="109"/>
        <w:gridCol w:w="109"/>
        <w:gridCol w:w="249"/>
        <w:gridCol w:w="728"/>
        <w:gridCol w:w="128"/>
        <w:gridCol w:w="109"/>
        <w:gridCol w:w="109"/>
        <w:gridCol w:w="109"/>
        <w:gridCol w:w="270"/>
        <w:gridCol w:w="657"/>
        <w:gridCol w:w="139"/>
        <w:gridCol w:w="109"/>
        <w:gridCol w:w="109"/>
        <w:gridCol w:w="109"/>
        <w:gridCol w:w="356"/>
        <w:gridCol w:w="686"/>
        <w:gridCol w:w="268"/>
      </w:tblGrid>
      <w:tr>
        <w:trPr/>
        <w:tc>
          <w:tcPr>
            <w:tcW w:w="13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5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Payments Due by Fiscal Year</w:t>
            </w:r>
          </w:p>
          <w:p>
            <w:pPr>
              <w:pStyle w:val="TableContents"/>
              <w:bidi w:val="0"/>
              <w:spacing w:lineRule="auto" w:line="240"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 &amp;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2027 &amp;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2029 &amp; Beyond</w:t>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Transition tax on unremitted foreign earnings and profits </w:t>
            </w:r>
            <w:r>
              <w:rPr>
                <w:rFonts w:ascii="Times New Roman;sans-serif" w:hAnsi="Times New Roman;sans-serif"/>
                <w:b w:val="false"/>
                <w:color w:val="000000"/>
                <w:sz w:val="12"/>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Purchase obligations </w:t>
            </w:r>
            <w:r>
              <w:rPr>
                <w:rFonts w:ascii="Times New Roman;sans-serif" w:hAnsi="Times New Roman;sans-serif"/>
                <w:b w:val="false"/>
                <w:color w:val="000000"/>
                <w:sz w:val="12"/>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5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9"/>
        </w:rPr>
        <w:t>As of October 31, 2023, we had $88.6 million of income tax liabilities related to the one-time transition tax that resulted from the enactment of the 2017 US Tax Act, which is payable in annual installments through fiscal 2026. The installment for fiscal 2023 is classified in "</w:t>
      </w:r>
      <w:r>
        <w:rPr>
          <w:rFonts w:ascii="Times New Roman;sans-serif" w:hAnsi="Times New Roman;sans-serif"/>
          <w:b w:val="false"/>
          <w:color w:val="000000"/>
          <w:sz w:val="20"/>
        </w:rPr>
        <w:t>Other current liabilities" i</w:t>
      </w:r>
      <w:r>
        <w:rPr>
          <w:rFonts w:ascii="Times New Roman;sans-serif" w:hAnsi="Times New Roman;sans-serif"/>
          <w:b w:val="false"/>
          <w:color w:val="000000"/>
          <w:sz w:val="19"/>
        </w:rPr>
        <w:t>n our Consolidated Balance Sheet.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unable to reliably estimate the timing of future payments related to uncertain tax positions and have excluded $24.0 million of long-term income taxes payable from the table above. See Note 6. Income Taxes for additional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9"/>
        </w:rPr>
        <w:t>Purchase obligations consist of agreements to purchase goods and services that are enforceable and legally binding and includes obligations for inventory, capital expenditures and other operating expense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table above excludes future payments for operating leases, long-term debt, and our defined benefit plan. The minimum future payments for operating leases are disclosed in Note 2. Operating Leases and future maturities of long-term debt are disclosed in Note 5. Financing Arrangements. The expected future benefit payments for our Retirement Income Plan through 2033 are disclosed in Note 10. Employee Benefits.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Transition from LIBOR</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9"/>
        </w:rPr>
        <w:t xml:space="preserve">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Times New Roman;sans-serif" w:hAnsi="Times New Roman;sans-serif"/>
          <w:b w:val="false"/>
          <w:i/>
          <w:color w:val="000000"/>
          <w:sz w:val="19"/>
        </w:rPr>
        <w:t xml:space="preserve">Reference Rate Reform (Topic 848): Facilitation of the Effects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i/>
          <w:color w:val="000000"/>
          <w:sz w:val="19"/>
        </w:rPr>
        <w:t>of Reference Rate Reform on Financial Reporting</w:t>
      </w:r>
      <w:r>
        <w:rPr>
          <w:rFonts w:ascii="Times New Roman;sans-serif" w:hAnsi="Times New Roman;sans-serif"/>
          <w:b w:val="false"/>
          <w:color w:val="000000"/>
          <w:sz w:val="19"/>
        </w:rPr>
        <w:t>. This guidance provides optional expedients and exceptions for applying GAAP to contracts, hedging relationships, and other transactions affected by reference rate reform if certain criteria are met. Effective February 1, 2023, the Company transitioned its credit agreements from LIBOR to the Secured Overnight Financing Rate ("SOFR").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Critical Accounting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Management estimates and judgments are an integral part of financial statements prepared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 The critical accounting policies described in this section address the more significant estimates required of management when preparing the Consolidated Financial Statements in accordance with GAAP. </w:t>
      </w:r>
    </w:p>
    <w:p>
      <w:pPr>
        <w:pStyle w:val="TextBody"/>
        <w:bidi w:val="0"/>
        <w:spacing w:lineRule="auto" w:line="268" w:before="180" w:after="283"/>
        <w:ind w:left="0" w:right="0" w:hanging="720"/>
        <w:jc w:val="left"/>
        <w:rPr/>
      </w:pPr>
      <w:r>
        <w:rPr>
          <w:color w:val="000000"/>
        </w:rPr>
        <w:t>•</w:t>
      </w:r>
      <w:r>
        <w:rPr>
          <w:rFonts w:ascii="Times New Roman;sans-serif" w:hAnsi="Times New Roman;sans-serif"/>
          <w:b w:val="false"/>
          <w:color w:val="000000"/>
          <w:sz w:val="19"/>
        </w:rPr>
        <w:t xml:space="preserve">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CooperSurgical rebates are predominately related to the Medicaid rebate provision that is estimated based upon contractual terms, historical experience, and trend analysis.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the allocation of purchase price to intangible assets include discount rates, and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Income taxes - Income taxes are estimated based on enacted income tax laws and the results of operations in each jurisdiction. Deferred tax assets and liabilities are estimated based on temporary differences between the financial reporting basis and income tax basis of assets and liabilities. Deferred tax assets are reduced by a valuation allowance to the extent it is more likely than not they are not expected to be realized. Long-term tax payable is estimated income tax to be paid for unrecognized tax benefits.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Accounting Pronouncements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new accounting pronouncements is included in Note 1. Organization and Significant Accounting Policies.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240" w:after="283"/>
        <w:jc w:val="both"/>
        <w:rPr/>
      </w:pPr>
      <w:r>
        <w:rPr>
          <w:rFonts w:ascii="Times New Roman;sans-serif" w:hAnsi="Times New Roman;sans-serif"/>
          <w:b/>
          <w:color w:val="000000"/>
          <w:sz w:val="19"/>
        </w:rPr>
        <w:t>Item 7A.</w:t>
      </w:r>
      <w:r>
        <w:rPr>
          <w:color w:val="000000"/>
        </w:rPr>
        <w:t xml:space="preserve"> </w:t>
      </w:r>
      <w:r>
        <w:rPr>
          <w:rFonts w:ascii="Times New Roman;sans-serif" w:hAnsi="Times New Roman;sans-serif"/>
          <w:b/>
          <w:i/>
          <w:color w:val="000000"/>
          <w:sz w:val="19"/>
        </w:rPr>
        <w:t>Quantitative and Qualitative Disclosure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market risks that relate principally to changes in interest rates and foreign currency fluctuations. We do not enter into derivative financial instrument transactions for speculative purposes.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Foreign Currency Exchange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w:t>
      </w:r>
    </w:p>
    <w:p>
      <w:pPr>
        <w:pStyle w:val="TextBody"/>
        <w:bidi w:val="0"/>
        <w:spacing w:lineRule="auto" w:line="288" w:before="180" w:after="283"/>
        <w:jc w:val="left"/>
        <w:rPr/>
      </w:pPr>
      <w:r>
        <w:rPr>
          <w:rFonts w:ascii="Times New Roman;sans-serif" w:hAnsi="Times New Roman;sans-serif"/>
          <w:b w:val="false"/>
          <w:color w:val="000000"/>
          <w:sz w:val="19"/>
        </w:rPr>
        <w:t>At October 31, 2023, a uniform hypothetical 10% increase or decrease in the foreign currency exchange rates in comparison to the value of the U.S. dollar would have resulted in a corresponding increase or decrease of approximately $95.6 million in operating income for the fiscal year ended October 31, 2023. Refer to Item 1A. Risk Factors - "</w:t>
      </w:r>
      <w:r>
        <w:rPr>
          <w:rFonts w:ascii="Times New Roman;sans-serif" w:hAnsi="Times New Roman;sans-serif"/>
          <w:b w:val="false"/>
          <w:i/>
          <w:color w:val="000000"/>
          <w:sz w:val="19"/>
        </w:rPr>
        <w:t>Our substantial and expanding international operations are subject to uncertainties which could affect our business.</w:t>
      </w:r>
      <w:r>
        <w:rPr>
          <w:rFonts w:ascii="Times New Roman;sans-serif" w:hAnsi="Times New Roman;sans-serif"/>
          <w:b w:val="false"/>
          <w:color w:val="000000"/>
          <w:sz w:val="19"/>
        </w:rPr>
        <w:t>" and Note 1. Organization and Significant Accounting Policies for further information.</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risks associated with changes in interest rates, as the interest rates on our revolving lines of credit and term loans may vary with the federal funds rate and SOFR (and, previously, LIBOR). As of October 31, 2023, we had outstanding debt for an aggregate carrying amount of $2.6 billion. We have entered, and in the future may enter, into interest rate swaps to manage interest rate risk. Effective February 1, 2023, the base interest rate on our credit agreements was converted from LIBOR to SOFR.</w:t>
      </w:r>
    </w:p>
    <w:p>
      <w:pPr>
        <w:pStyle w:val="TextBody"/>
        <w:bidi w:val="0"/>
        <w:spacing w:lineRule="auto" w:line="288" w:before="180" w:after="283"/>
        <w:jc w:val="left"/>
        <w:rPr/>
      </w:pPr>
      <w:r>
        <w:rPr>
          <w:rFonts w:ascii="Times New Roman;sans-serif" w:hAnsi="Times New Roman;sans-serif"/>
          <w:b w:val="false"/>
          <w:color w:val="000000"/>
          <w:sz w:val="19"/>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fourth quarter of fiscal 2023. Refer to Item 1A. Risk Factors - "</w:t>
      </w:r>
      <w:r>
        <w:rPr>
          <w:rFonts w:ascii="Times New Roman;sans-serif" w:hAnsi="Times New Roman;sans-serif"/>
          <w:b w:val="false"/>
          <w:i/>
          <w:color w:val="000000"/>
          <w:sz w:val="19"/>
        </w:rPr>
        <w:t>We are vulnerable to interest rate risk with respect to our debt.</w:t>
      </w:r>
      <w:r>
        <w:rPr>
          <w:rFonts w:ascii="Times New Roman;sans-serif" w:hAnsi="Times New Roman;sans-serif"/>
          <w:b w:val="false"/>
          <w:color w:val="000000"/>
          <w:sz w:val="19"/>
        </w:rPr>
        <w:t>" and Note 5. Financing Arrangements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240" w:after="283"/>
        <w:jc w:val="both"/>
        <w:rPr/>
      </w:pPr>
      <w:r>
        <w:rPr>
          <w:rFonts w:ascii="Times New Roman;sans-serif" w:hAnsi="Times New Roman;sans-serif"/>
          <w:b/>
          <w:color w:val="000000"/>
          <w:sz w:val="19"/>
        </w:rPr>
        <w:t>Item 8.</w:t>
      </w:r>
      <w:r>
        <w:rPr>
          <w:color w:val="000000"/>
        </w:rPr>
        <w:t xml:space="preserve"> </w:t>
      </w:r>
      <w:r>
        <w:rPr>
          <w:rFonts w:ascii="Times New Roman;sans-serif" w:hAnsi="Times New Roman;sans-serif"/>
          <w:b/>
          <w:i/>
          <w:color w:val="000000"/>
          <w:sz w:val="19"/>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Report of Independent Registered Public Accounting Firm</w:t>
      </w:r>
    </w:p>
    <w:p>
      <w:pPr>
        <w:pStyle w:val="TextBody"/>
        <w:bidi w:val="0"/>
        <w:spacing w:lineRule="auto" w:line="288" w:before="0" w:after="0"/>
        <w:jc w:val="both"/>
        <w:rPr>
          <w:color w:val="000000"/>
        </w:rPr>
      </w:pPr>
      <w:r>
        <w:rPr>
          <w:color w:val="000000"/>
        </w:rPr>
        <w:t> </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To the Stockholders and the Board of Directors</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Inc.:</w:t>
      </w:r>
    </w:p>
    <w:p>
      <w:pPr>
        <w:pStyle w:val="TextBody"/>
        <w:bidi w:val="0"/>
        <w:spacing w:lineRule="auto" w:line="288" w:before="0" w:after="100"/>
        <w:jc w:val="left"/>
        <w:rPr>
          <w:rFonts w:ascii="Times New Roman;sans-serif" w:hAnsi="Times New Roman;sans-serif"/>
          <w:b w:val="false"/>
          <w:i/>
          <w:color w:val="000000"/>
          <w:sz w:val="19"/>
        </w:rPr>
      </w:pPr>
      <w:r>
        <w:rPr>
          <w:rFonts w:ascii="Times New Roman;sans-serif" w:hAnsi="Times New Roman;sans-serif"/>
          <w:b w:val="false"/>
          <w:i/>
          <w:color w:val="000000"/>
          <w:sz w:val="19"/>
        </w:rPr>
        <w:t xml:space="preserve">Opinions on the Consolidated Financial Statements and Internal Control Over Financial Reporting </w:t>
      </w:r>
    </w:p>
    <w:p>
      <w:pPr>
        <w:pStyle w:val="TextBody"/>
        <w:bidi w:val="0"/>
        <w:spacing w:lineRule="auto" w:line="288" w:before="0" w:after="200"/>
        <w:jc w:val="left"/>
        <w:rPr/>
      </w:pPr>
      <w:r>
        <w:rPr>
          <w:rFonts w:ascii="Times New Roman;sans-serif" w:hAnsi="Times New Roman;sans-serif"/>
          <w:b w:val="false"/>
          <w:color w:val="000000"/>
          <w:sz w:val="19"/>
        </w:rPr>
        <w:t xml:space="preserve">We have audited the accompanying consolidated balance sheets of The Cooper Companies, Inc. and subsidiaries (the Company) as of October 31, 2023 and 2022, the related consolidated statements of income, comprehensive income, stockholders’ equity, and cash flows for each of the years in the three-year period ended October 31, 2023, and the related notes and financial statement Schedule II (collectively, the consolidated financial statements). We also have audited the Company’s internal control over financial reporting as of October 31, 2023, based on criteria established in </w:t>
      </w:r>
      <w:r>
        <w:rPr>
          <w:rFonts w:ascii="Times New Roman;sans-serif" w:hAnsi="Times New Roman;sans-serif"/>
          <w:b w:val="false"/>
          <w:i/>
          <w:color w:val="000000"/>
          <w:sz w:val="19"/>
        </w:rPr>
        <w:t>Internal Control – Integrated Framework (2013)</w:t>
      </w:r>
      <w:r>
        <w:rPr>
          <w:color w:val="000000"/>
        </w:rPr>
        <w:t xml:space="preserve"> </w:t>
      </w:r>
      <w:r>
        <w:rPr>
          <w:rFonts w:ascii="Times New Roman;sans-serif" w:hAnsi="Times New Roman;sans-serif"/>
          <w:b w:val="false"/>
          <w:color w:val="000000"/>
          <w:sz w:val="19"/>
        </w:rPr>
        <w:t>issued by the Committee of Sponsoring Organizations of the Treadway Commission.</w:t>
      </w:r>
    </w:p>
    <w:p>
      <w:pPr>
        <w:pStyle w:val="TextBody"/>
        <w:bidi w:val="0"/>
        <w:spacing w:lineRule="auto" w:line="288" w:before="0" w:after="200"/>
        <w:jc w:val="left"/>
        <w:rPr/>
      </w:pPr>
      <w:r>
        <w:rPr>
          <w:rFonts w:ascii="Times New Roman;sans-serif" w:hAnsi="Times New Roman;sans-serif"/>
          <w:b w:val="false"/>
          <w:color w:val="000000"/>
          <w:sz w:val="19"/>
        </w:rPr>
        <w:t xml:space="preserve">In our opinion, the consolidated financial statements referred to above present fairly, in all material respects, the financial position of the Company as of October 31, 2023 and 2022, and the results of its operations and its cash flows for each of the years in the three-year period ended October 31, 2023, in conformity with U.S. generally accepted accounting principles. Also in our opinion, the Company maintained, in all material respects, effective internal control over financial reporting as of October 31, 2023, based on criteria established in </w:t>
      </w:r>
      <w:r>
        <w:rPr>
          <w:rFonts w:ascii="Times New Roman;sans-serif" w:hAnsi="Times New Roman;sans-serif"/>
          <w:b w:val="false"/>
          <w:i/>
          <w:color w:val="000000"/>
          <w:sz w:val="19"/>
        </w:rPr>
        <w:t>Internal Control – Integrated Framework (2013)</w:t>
      </w:r>
      <w:r>
        <w:rPr>
          <w:color w:val="000000"/>
        </w:rPr>
        <w:t xml:space="preserve"> </w:t>
      </w:r>
      <w:r>
        <w:rPr>
          <w:rFonts w:ascii="Times New Roman;sans-serif" w:hAnsi="Times New Roman;sans-serif"/>
          <w:b w:val="false"/>
          <w:color w:val="000000"/>
          <w:sz w:val="19"/>
        </w:rPr>
        <w:t>issued by the Committee of Sponsoring Organizations of the Treadway Commission.</w:t>
      </w:r>
    </w:p>
    <w:p>
      <w:pPr>
        <w:pStyle w:val="TextBody"/>
        <w:bidi w:val="0"/>
        <w:spacing w:lineRule="auto" w:line="288" w:before="0" w:after="100"/>
        <w:jc w:val="left"/>
        <w:rPr>
          <w:rFonts w:ascii="Times New Roman;sans-serif" w:hAnsi="Times New Roman;sans-serif"/>
          <w:b w:val="false"/>
          <w:i/>
          <w:color w:val="000000"/>
          <w:sz w:val="19"/>
        </w:rPr>
      </w:pPr>
      <w:r>
        <w:rPr>
          <w:rFonts w:ascii="Times New Roman;sans-serif" w:hAnsi="Times New Roman;sans-serif"/>
          <w:b w:val="false"/>
          <w:i/>
          <w:color w:val="000000"/>
          <w:sz w:val="19"/>
        </w:rPr>
        <w:t xml:space="preserve">Basis for Opinions </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200"/>
        <w:jc w:val="left"/>
        <w:rPr>
          <w:rFonts w:ascii="Times New Roman;sans-serif" w:hAnsi="Times New Roman;sans-serif"/>
          <w:b w:val="false"/>
          <w:i/>
          <w:color w:val="000000"/>
          <w:sz w:val="19"/>
        </w:rPr>
      </w:pPr>
      <w:r>
        <w:rPr>
          <w:rFonts w:ascii="Times New Roman;sans-serif" w:hAnsi="Times New Roman;sans-serif"/>
          <w:b w:val="false"/>
          <w:i/>
          <w:color w:val="000000"/>
          <w:sz w:val="19"/>
        </w:rPr>
        <w:t xml:space="preserve">Definition and Limitations of Internal Control Over Financial Reporting </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00"/>
        <w:jc w:val="left"/>
        <w:rPr>
          <w:rFonts w:ascii="Times New Roman;sans-serif" w:hAnsi="Times New Roman;sans-serif"/>
          <w:b w:val="false"/>
          <w:i/>
          <w:color w:val="000000"/>
          <w:sz w:val="19"/>
        </w:rPr>
      </w:pPr>
      <w:r>
        <w:rPr>
          <w:rFonts w:ascii="Times New Roman;sans-serif" w:hAnsi="Times New Roman;sans-serif"/>
          <w:b w:val="false"/>
          <w:i/>
          <w:color w:val="000000"/>
          <w:sz w:val="19"/>
        </w:rPr>
        <w:t>Critical Audit Matter</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left"/>
        <w:rPr/>
      </w:pPr>
      <w:r>
        <w:rPr>
          <w:rFonts w:ascii="Times New Roman;sans-serif" w:hAnsi="Times New Roman;sans-serif"/>
          <w:b w:val="false"/>
          <w:i/>
          <w:color w:val="000000"/>
          <w:sz w:val="19"/>
        </w:rPr>
        <w:t>Evaluation of the sufficiency of audit evidence over inventories and net sales</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discussed in Notes 1 and 12 to the consolidated financial statements and disclosed in the consolidated balance sheet and consolidated statement of income, the Company recorded $735.6 million in inventories and $3,593.2 million in net sales as of and for the year ended October 31, 2023, respectively. Inventories are primarily comprised of raw materials, work-in-process, and finished goods that are physically located at certain of the Company's locations. Net sales are recognized primarily from the sale of products from each of the Company's locations.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identified the evaluation of the sufficiency of audit evidence over inventories and net sales as a critical audit matter. Evaluating the sufficiency of the audit evidence obtained required subjective auditor judgment because of the decentralized structure and geographic dispersion of the Company's manufacturing and distribution locations. This included determining the locations for which procedures were performed.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are the primary procedures we performed to address this critical audit matter. We applied auditor judgment to determine the nature and extent of procedures to be performed over inventories and net sales, including the determination of the Company’s locations for which those procedures were performed. For certain locations where procedures were performed, we evaluated the design and tested the operating effectiveness of certain internal controls over the Company's inventories and net sales processes, including controls over the amounts recorded in inventories and the amounts recorded in net sales. We assessed the recorded inventories for each location where procedures were performed by participating in a physical inventory count and observing a sample of inventories on hand and comparing the cost recorded for a sample of inventories on hand to underlying documentation. We assessed recorded net sales for each location where procedures were performed by selecting a sample of net sales transactions and comparing the amount recognized to underlying documentation, such as contracts with customers and shipping documentation. We evaluated the overall sufficiency of audit evidence obtained by assessing the results of procedures performed over inventories and net sales, including the appropriateness of the nature and extent of audit effort.</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/s/ KPMG LLP</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We have served as the Company’s auditor since 1982.</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San Francisco, California</w:t>
      </w:r>
    </w:p>
    <w:p>
      <w:pPr>
        <w:pStyle w:val="TextBody"/>
        <w:bidi w:val="0"/>
        <w:spacing w:lineRule="auto" w:line="288" w:before="0" w:after="200"/>
        <w:jc w:val="left"/>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Consolidated Statements of Income</w:t>
      </w:r>
    </w:p>
    <w:tbl>
      <w:tblPr>
        <w:tblW w:w="8412" w:type="dxa"/>
        <w:jc w:val="left"/>
        <w:tblInd w:w="0" w:type="dxa"/>
        <w:tblLayout w:type="fixed"/>
        <w:tblCellMar>
          <w:top w:w="28" w:type="dxa"/>
          <w:left w:w="28" w:type="dxa"/>
          <w:bottom w:w="28" w:type="dxa"/>
          <w:right w:w="28" w:type="dxa"/>
        </w:tblCellMar>
      </w:tblPr>
      <w:tblGrid>
        <w:gridCol w:w="1614"/>
        <w:gridCol w:w="1415"/>
        <w:gridCol w:w="1426"/>
        <w:gridCol w:w="211"/>
        <w:gridCol w:w="766"/>
        <w:gridCol w:w="109"/>
        <w:gridCol w:w="109"/>
        <w:gridCol w:w="109"/>
        <w:gridCol w:w="109"/>
        <w:gridCol w:w="211"/>
        <w:gridCol w:w="766"/>
        <w:gridCol w:w="109"/>
        <w:gridCol w:w="109"/>
        <w:gridCol w:w="109"/>
        <w:gridCol w:w="109"/>
        <w:gridCol w:w="211"/>
        <w:gridCol w:w="76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 except for earnings per share)</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 (Note 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Earnings per share (Note 7)</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Number of shares used to compute earnings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396"/>
        <w:gridCol w:w="2072"/>
        <w:gridCol w:w="2079"/>
        <w:gridCol w:w="211"/>
        <w:gridCol w:w="616"/>
        <w:gridCol w:w="109"/>
        <w:gridCol w:w="109"/>
        <w:gridCol w:w="109"/>
        <w:gridCol w:w="109"/>
        <w:gridCol w:w="211"/>
        <w:gridCol w:w="616"/>
        <w:gridCol w:w="109"/>
        <w:gridCol w:w="109"/>
        <w:gridCol w:w="109"/>
        <w:gridCol w:w="109"/>
        <w:gridCol w:w="211"/>
        <w:gridCol w:w="766"/>
        <w:gridCol w:w="155"/>
      </w:tblGrid>
      <w:tr>
        <w:trPr/>
        <w:tc>
          <w:tcPr>
            <w:tcW w:w="239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flow hedges, net of tax of $(2.4), $26.1 and $8.2,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Change in minimum pension liability, net of tax of $1.0, $8.7 and $7.2,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5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comprehensive income (loss)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3,075.4 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654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Financial Statements.</w:t>
      </w:r>
    </w:p>
    <w:p>
      <w:pPr>
        <w:pStyle w:val="TextBody"/>
        <w:bidi w:val="0"/>
        <w:spacing w:before="18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Consolidated Balance Sheets</w:t>
      </w:r>
    </w:p>
    <w:tbl>
      <w:tblPr>
        <w:tblW w:w="10205" w:type="dxa"/>
        <w:jc w:val="center"/>
        <w:tblInd w:w="0" w:type="dxa"/>
        <w:tblLayout w:type="fixed"/>
        <w:tblCellMar>
          <w:top w:w="28" w:type="dxa"/>
          <w:left w:w="28" w:type="dxa"/>
          <w:bottom w:w="28" w:type="dxa"/>
          <w:right w:w="28" w:type="dxa"/>
        </w:tblCellMar>
      </w:tblPr>
      <w:tblGrid>
        <w:gridCol w:w="3003"/>
        <w:gridCol w:w="2237"/>
        <w:gridCol w:w="2210"/>
        <w:gridCol w:w="211"/>
        <w:gridCol w:w="871"/>
        <w:gridCol w:w="109"/>
        <w:gridCol w:w="109"/>
        <w:gridCol w:w="109"/>
        <w:gridCol w:w="109"/>
        <w:gridCol w:w="211"/>
        <w:gridCol w:w="871"/>
        <w:gridCol w:w="155"/>
      </w:tblGrid>
      <w:tr>
        <w:trPr/>
        <w:tc>
          <w:tcPr>
            <w:tcW w:w="3003"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October 31,</w:t>
              <w:br/>
            </w:r>
            <w:r>
              <w:rPr>
                <w:rFonts w:ascii="Times New Roman;sans-serif" w:hAnsi="Times New Roman;sans-serif"/>
                <w:b/>
                <w:color w:val="000000"/>
                <w:sz w:val="19"/>
                <w:u w:val="single"/>
              </w:rPr>
              <w:t>(In millions)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Trade accounts receivable, net of allowance for credit losses of $31.3 at October 31, 2023 and $20.7 at October 31, 2022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(Note 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 (Note 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intangibles, net (Note 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11,492.3 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(Note 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compensation and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(Note 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tax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4,317.6 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Contingencies (Note 11)</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$10 cents par value, 1.0 shares authorized, zero shares issued or outstanding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$10 cents par value, 120.0 shares authorized, 53.9 issued and 49.5 outstanding at October 31, 2023 and 53.8 issued and 49.3 outstanding at October 31, 2022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at cost: 4.4 shares at October 31, 2023 and 4.5 shares at October 31, 2022</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 (Note 8)</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11,492.3 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Statements of Stockholders' Equity </w:t>
      </w:r>
    </w:p>
    <w:tbl>
      <w:tblPr>
        <w:tblW w:w="14520" w:type="dxa"/>
        <w:jc w:val="center"/>
        <w:tblInd w:w="0" w:type="dxa"/>
        <w:tblLayout w:type="fixed"/>
        <w:tblCellMar>
          <w:top w:w="28" w:type="dxa"/>
          <w:left w:w="28" w:type="dxa"/>
          <w:bottom w:w="28" w:type="dxa"/>
          <w:right w:w="28" w:type="dxa"/>
        </w:tblCellMar>
      </w:tblPr>
      <w:tblGrid>
        <w:gridCol w:w="834"/>
        <w:gridCol w:w="258"/>
        <w:gridCol w:w="259"/>
        <w:gridCol w:w="255"/>
        <w:gridCol w:w="256"/>
        <w:gridCol w:w="226"/>
        <w:gridCol w:w="109"/>
        <w:gridCol w:w="109"/>
        <w:gridCol w:w="109"/>
        <w:gridCol w:w="229"/>
        <w:gridCol w:w="441"/>
        <w:gridCol w:w="111"/>
        <w:gridCol w:w="109"/>
        <w:gridCol w:w="109"/>
        <w:gridCol w:w="109"/>
        <w:gridCol w:w="225"/>
        <w:gridCol w:w="225"/>
        <w:gridCol w:w="226"/>
        <w:gridCol w:w="109"/>
        <w:gridCol w:w="109"/>
        <w:gridCol w:w="109"/>
        <w:gridCol w:w="226"/>
        <w:gridCol w:w="436"/>
        <w:gridCol w:w="119"/>
        <w:gridCol w:w="109"/>
        <w:gridCol w:w="109"/>
        <w:gridCol w:w="109"/>
        <w:gridCol w:w="211"/>
        <w:gridCol w:w="766"/>
        <w:gridCol w:w="109"/>
        <w:gridCol w:w="109"/>
        <w:gridCol w:w="109"/>
        <w:gridCol w:w="109"/>
        <w:gridCol w:w="316"/>
        <w:gridCol w:w="946"/>
        <w:gridCol w:w="164"/>
        <w:gridCol w:w="109"/>
        <w:gridCol w:w="109"/>
        <w:gridCol w:w="109"/>
        <w:gridCol w:w="211"/>
        <w:gridCol w:w="766"/>
        <w:gridCol w:w="109"/>
        <w:gridCol w:w="109"/>
        <w:gridCol w:w="109"/>
        <w:gridCol w:w="109"/>
        <w:gridCol w:w="211"/>
        <w:gridCol w:w="631"/>
        <w:gridCol w:w="109"/>
        <w:gridCol w:w="109"/>
        <w:gridCol w:w="109"/>
        <w:gridCol w:w="109"/>
        <w:gridCol w:w="405"/>
        <w:gridCol w:w="780"/>
        <w:gridCol w:w="211"/>
        <w:gridCol w:w="109"/>
        <w:gridCol w:w="109"/>
        <w:gridCol w:w="109"/>
        <w:gridCol w:w="243"/>
        <w:gridCol w:w="884"/>
        <w:gridCol w:w="179"/>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2020</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repurchase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 ($0.03 per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ASU 2016-13 adoption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2021</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6,942.0 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repurchase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 ($0.03 per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2022</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7,174.7 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 ($0.03 per share)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7,551.0 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Consolidated Statements of Cash Flows</w:t>
      </w:r>
    </w:p>
    <w:tbl>
      <w:tblPr>
        <w:tblW w:w="10205" w:type="dxa"/>
        <w:jc w:val="left"/>
        <w:tblInd w:w="0" w:type="dxa"/>
        <w:tblLayout w:type="fixed"/>
        <w:tblCellMar>
          <w:top w:w="28" w:type="dxa"/>
          <w:left w:w="28" w:type="dxa"/>
          <w:bottom w:w="28" w:type="dxa"/>
          <w:right w:w="28" w:type="dxa"/>
        </w:tblCellMar>
      </w:tblPr>
      <w:tblGrid>
        <w:gridCol w:w="2374"/>
        <w:gridCol w:w="2070"/>
        <w:gridCol w:w="2077"/>
        <w:gridCol w:w="213"/>
        <w:gridCol w:w="625"/>
        <w:gridCol w:w="109"/>
        <w:gridCol w:w="109"/>
        <w:gridCol w:w="109"/>
        <w:gridCol w:w="109"/>
        <w:gridCol w:w="213"/>
        <w:gridCol w:w="625"/>
        <w:gridCol w:w="109"/>
        <w:gridCol w:w="109"/>
        <w:gridCol w:w="109"/>
        <w:gridCol w:w="109"/>
        <w:gridCol w:w="211"/>
        <w:gridCol w:w="766"/>
        <w:gridCol w:w="159"/>
      </w:tblGrid>
      <w:tr>
        <w:trPr/>
        <w:tc>
          <w:tcPr>
            <w:tcW w:w="237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9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operating lease expense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impairment charges, and other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contingent consideration</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assets and liabilities: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right-of-use assets and liabilities, net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liabilities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income taxes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 of contingent consideration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Acquisitions of businesses and assets, net of cash acquired</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interest in a subsidiary</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long-term debt, net of issuance costs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long-term debt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proceeds from (repayments of) short-term debt, other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related to share-based compensation awards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related to share-based compensation awards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employee stock purchase plan</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 of contingent consideration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provided by financing activities</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(311.4)</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(decrease) increase in cash, cash equivalents and restricted cash </w:t>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restricted cash and cash held for sale at beginning of year</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year</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tbl>
      <w:tblPr>
        <w:tblW w:w="9236" w:type="dxa"/>
        <w:jc w:val="left"/>
        <w:tblInd w:w="0" w:type="dxa"/>
        <w:tblLayout w:type="fixed"/>
        <w:tblCellMar>
          <w:top w:w="28" w:type="dxa"/>
          <w:left w:w="28" w:type="dxa"/>
          <w:bottom w:w="28" w:type="dxa"/>
          <w:right w:w="28" w:type="dxa"/>
        </w:tblCellMar>
      </w:tblPr>
      <w:tblGrid>
        <w:gridCol w:w="2114"/>
        <w:gridCol w:w="1856"/>
        <w:gridCol w:w="1864"/>
        <w:gridCol w:w="211"/>
        <w:gridCol w:w="616"/>
        <w:gridCol w:w="109"/>
        <w:gridCol w:w="109"/>
        <w:gridCol w:w="109"/>
        <w:gridCol w:w="109"/>
        <w:gridCol w:w="211"/>
        <w:gridCol w:w="616"/>
        <w:gridCol w:w="109"/>
        <w:gridCol w:w="109"/>
        <w:gridCol w:w="109"/>
        <w:gridCol w:w="109"/>
        <w:gridCol w:w="211"/>
        <w:gridCol w:w="511"/>
        <w:gridCol w:w="154"/>
      </w:tblGrid>
      <w:tr>
        <w:trPr/>
        <w:tc>
          <w:tcPr>
            <w:tcW w:w="21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disclosures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paid for: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ROU assets obtained in exchange for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cash flow information: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 included in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restricted cash and cash held for 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Note 1. Organization and Significant Accounting Policies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Organization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Inc. (Cooper, we or the Company) is a global medical device company publicly traded on the Nasdaq (Nasdaq: COO). Prior to September 26, 2023, Cooper's common stock traded on the New York Stock Exchange under the symbol "COO". Cooper operates through two business units, CooperVision and CooperSurgical.</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CooperVision primarily develops, manufactures and markets a broad range of soft contact lenses for the worldwide vision correction market.</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 xml:space="preserve">CooperSurgical primarily develops, manufactures, markets medical devices and procedures solutions, and provides services to improve health care delivery to women, babies and families.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19"/>
        </w:rPr>
        <w:t>Principles of Consolidation</w:t>
      </w:r>
      <w:r>
        <w:rPr>
          <w:color w:val="000000"/>
        </w:rPr>
        <w: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financial statements in this report include the results of all of Cooper's consolidated entities. All significant intercompany transactions and balances are eliminated on consolidation.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Use of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Revenue Recognition</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 xml:space="preserve">Net Sales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may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 negotiated rebates, chargebacks and discounts with respect to the purchase of the Company’s products. The Company considers purchase orders, which in some cases are governed by master sales agreements, to be contracts with a customer.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from product sales are recognized when the Customer obtains control of the Company’s product, which occurs at a point in time, typically upon shipment or delivery to the Customer. Taxes collected from Customers relating to product sales and remitted to governmental authorities are excluded from revenues. The Company expenses incremental costs of obtaining a contract as and when incurred if the expected amortization period of the asset that the Company would have recognized is one year or less. See Note 12. Business Segment Information for disaggregation of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Reserves for Variable Consideration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Where appropriate, these estimates take into consideration a range of possible outcomes which are probability-weighted for relevant factors such as the Company’s historical experience, current contractual and statutory requirements, specific known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market events and trends, industry data and forecasted customer buying and payment patterns. Overall, these reserves reflect the Company’s best estimates of the amount of consideration to which it is entitled based on the terms of the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Trade Discounts and Allowances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generally provides Customers with discounts, which include incentive fees that are stated in the Company’s contracts and are recorded as a reduction of revenue in the period the related product revenue is recognized.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Product Returns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Historically, returns have been infrequent and insignificant relative to our total sales. Our refund liability for product returns is included in "Other current liabilities" in our Consolidated Balance Sheets and represents the expected value of the aggregate refunds that will be due to our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Rebates and Chargebacks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Rebates are estimated based on contractual terms, historical experience, customer mix, trend analysis and projected market conditions in the various markets served.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portfolio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Contract Liabilities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primarily represents prepaid stem cell storage as part of the CooperSurgical business unit. Revenue related to stem cell storage is recognized over the service period, which can range from one year to the lifetime of a customer. The current portion of the deferred revenue balances at the beginning of each year presented were generally fully recognized in the subsequent 12-month period.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Share-Based Compensation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grant various share-based compensation awards, including stock options, performance unit shares, restricted stock and restricted stock units. The Company accounts for share-based compensation expense based on estimated grant-date fair value, and expenses the amount over the vesting period of the award. Determining the fair value of share-based awards at the grant date requires judgment, including estimating Cooper's stock price volatility, employee exercise behaviors and related employee forfeiture rates.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expected life of the share-based awards is based on the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Forfeitures are estimated at the time of grant, based on historical experience, and revised, if necessary, in subsequent periods if actual forfeitures differ from those estimates.</w:t>
      </w:r>
    </w:p>
    <w:p>
      <w:pPr>
        <w:pStyle w:val="TextBody"/>
        <w:bidi w:val="0"/>
        <w:spacing w:lineRule="auto" w:line="288" w:before="180" w:after="283"/>
        <w:jc w:val="left"/>
        <w:rPr/>
      </w:pPr>
      <w:r>
        <w:rPr>
          <w:rFonts w:ascii="Times New Roman;sans-serif" w:hAnsi="Times New Roman;sans-serif"/>
          <w:b/>
          <w:color w:val="000000"/>
          <w:sz w:val="19"/>
        </w:rPr>
        <w:t>Foreign Currency Translation</w:t>
      </w:r>
      <w:r>
        <w:rPr>
          <w:color w:val="000000"/>
        </w:rPr>
        <w:t> </w:t>
      </w:r>
    </w:p>
    <w:p>
      <w:pPr>
        <w:pStyle w:val="TextBody"/>
        <w:bidi w:val="0"/>
        <w:spacing w:lineRule="auto" w:line="288" w:before="180" w:after="283"/>
        <w:jc w:val="left"/>
        <w:rPr/>
      </w:pPr>
      <w:r>
        <w:rPr>
          <w:rFonts w:ascii="Times New Roman;sans-serif" w:hAnsi="Times New Roman;sans-serif"/>
          <w:b w:val="false"/>
          <w:color w:val="000000"/>
          <w:sz w:val="19"/>
        </w:rPr>
        <w:t>Most of our operations outside the United States use their local currency as their functional currency. We translate these assets and liabilities into U.S. dollars at year-end exchange rates. We translate income and expense accounts at average exchange rates for the period. We record gains and losses from the translation of financial statements in foreign currencies into U.S. dollars in other comprehensive income. We record gains and losses from changes in exchange rates on transactions denominated in currencies other than each reporting location's functional currency in net income for each period</w:t>
      </w:r>
      <w:r>
        <w:rPr>
          <w:rFonts w:ascii="Times New Roman;sans-serif" w:hAnsi="Times New Roman;sans-serif"/>
          <w:b w:val="false"/>
          <w:color w:val="000000"/>
          <w:sz w:val="19"/>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Financial Derivatives and Hedging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Derivatives are recorded on the Consolidated Balance Sheets at fair value. Accounting for gains or losses resulting from changes in the values of those derivatives depends on the use of the derivative instrument and whether it qualifies for hedge accounting.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Balance Sheets for presentation purposes.</w:t>
      </w:r>
    </w:p>
    <w:p>
      <w:pPr>
        <w:pStyle w:val="TextBody"/>
        <w:bidi w:val="0"/>
        <w:spacing w:lineRule="auto" w:line="256" w:before="180" w:after="283"/>
        <w:jc w:val="both"/>
        <w:rPr>
          <w:rFonts w:ascii="Times New Roman;sans-serif" w:hAnsi="Times New Roman;sans-serif"/>
          <w:b/>
          <w:color w:val="000000"/>
          <w:sz w:val="19"/>
        </w:rPr>
      </w:pPr>
      <w:r>
        <w:rPr>
          <w:rFonts w:ascii="Times New Roman;sans-serif" w:hAnsi="Times New Roman;sans-serif"/>
          <w:b/>
          <w:color w:val="000000"/>
          <w:sz w:val="19"/>
        </w:rPr>
        <w:t>Fair Value Measurements</w:t>
      </w:r>
    </w:p>
    <w:p>
      <w:pPr>
        <w:pStyle w:val="TextBody"/>
        <w:bidi w:val="0"/>
        <w:spacing w:lineRule="auto" w:line="256"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pStyle w:val="TextBody"/>
        <w:bidi w:val="0"/>
        <w:spacing w:lineRule="auto" w:line="256"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Level 1: Quoted market prices in active markets for identical assets or liabilities.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Level 2: Observable market-based inputs or unobservable inputs that are corroborated by market data.</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Level 3: Unobservable inputs reflecting the reporting entity’s own assumptions.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carrying value of the Company's revolving credit facility and term loans approximates fair value based on current market rates (Level 2). Refer to Note 5. Financing Arrangements for further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fair value of the Company's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The fair value of derivative instruments is included in "Other assets" in our Consolidated Balance Sheets. On our Consolidated Financial Statements. the gain or loss on the derivatives is recorded as a component of "Accumulated other comprehensive loss" and subsequently reclassified into "Interest expense" in the same period during which the hedged transaction affects earnings. Refer to Note 13. Financial Derivatives and Hedging for further information.</w:t>
      </w:r>
    </w:p>
    <w:p>
      <w:pPr>
        <w:pStyle w:val="TextBody"/>
        <w:bidi w:val="0"/>
        <w:spacing w:lineRule="auto" w:line="288" w:before="180" w:after="283"/>
        <w:jc w:val="left"/>
        <w:rPr/>
      </w:pPr>
      <w:r>
        <w:rPr>
          <w:rFonts w:ascii="Times New Roman;sans-serif" w:hAnsi="Times New Roman;sans-serif"/>
          <w:b w:val="false"/>
          <w:color w:val="000000"/>
          <w:sz w:val="19"/>
        </w:rPr>
        <w:t>The Company uses fair value measures for assets and liabilities acquired in an acquisition, which are considered a Level 3 measurement. C</w:t>
      </w:r>
      <w:r>
        <w:rPr>
          <w:rFonts w:ascii="Times New Roman;sans-serif" w:hAnsi="Times New Roman;sans-serif"/>
          <w:b w:val="false"/>
          <w:color w:val="000000"/>
          <w:sz w:val="19"/>
          <w:shd w:fill="FFFFFF" w:val="clear"/>
        </w:rPr>
        <w:t>ontingent consideration for which a liability is recorded and the initial measurement of the joint venture interest are</w:t>
      </w:r>
      <w:r>
        <w:rPr>
          <w:color w:val="000000"/>
        </w:rPr>
        <w:t xml:space="preserve"> </w:t>
      </w:r>
      <w:r>
        <w:rPr>
          <w:rFonts w:ascii="Times New Roman;sans-serif" w:hAnsi="Times New Roman;sans-serif"/>
          <w:b w:val="false"/>
          <w:color w:val="000000"/>
          <w:sz w:val="19"/>
        </w:rPr>
        <w:t>also categorized as Level 3 in the fair value hierarchy;</w:t>
      </w:r>
      <w:r>
        <w:rPr>
          <w:color w:val="000000"/>
          <w:shd w:fill="FFFFFF" w:val="clear"/>
        </w:rPr>
        <w:t xml:space="preserve"> </w:t>
      </w:r>
      <w:r>
        <w:rPr>
          <w:rFonts w:ascii="Times New Roman;sans-serif" w:hAnsi="Times New Roman;sans-serif"/>
          <w:b w:val="false"/>
          <w:color w:val="000000"/>
          <w:sz w:val="19"/>
        </w:rPr>
        <w:t>and the change in fair value is recognized in "Selling, general and administrative expense" in the Consolidated Statements of Income.</w:t>
      </w:r>
      <w:r>
        <w:rPr>
          <w:color w:val="000000"/>
          <w:shd w:fill="FFFFFF" w:val="clear"/>
        </w:rPr>
        <w:t xml:space="preserve"> </w:t>
      </w:r>
      <w:r>
        <w:rPr>
          <w:rFonts w:ascii="Times New Roman;sans-serif" w:hAnsi="Times New Roman;sans-serif"/>
          <w:b w:val="false"/>
          <w:color w:val="000000"/>
          <w:sz w:val="19"/>
          <w:shd w:fill="FFFFFF" w:val="clear"/>
        </w:rPr>
        <w:t xml:space="preserve">The fair value is measured by discounting expected future cash flows. The discount rate used for cash flows reflects capital market conditions and the specific risks associated with the business. Refer to </w:t>
      </w:r>
      <w:r>
        <w:rPr>
          <w:rFonts w:ascii="Times New Roman;sans-serif" w:hAnsi="Times New Roman;sans-serif"/>
          <w:b w:val="false"/>
          <w:color w:val="000000"/>
          <w:sz w:val="19"/>
        </w:rPr>
        <w:t>Note 3. Acquisitions and Joint Venture for further information.</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Income Taxes</w:t>
      </w:r>
    </w:p>
    <w:p>
      <w:pPr>
        <w:pStyle w:val="TextBody"/>
        <w:bidi w:val="0"/>
        <w:spacing w:lineRule="auto" w:line="26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are estimated based on enacted income tax laws and the results of operations in each jurisdiction. Deferred tax assets and liabilities are estimated based on temporary differences between the financial reporting basis and income tax basis of assets and liabilities. Deferred tax assets are also estimated based on net operating loss and tax credit carryforwards. Deferred tax assets are reduced by a valuation allowance to the extent it is more likely than not they are not expected to be realized. Adjustments to deferred tax assets and liabilities due to changes in tax laws, changes in jurisdiction from intra-group transfers of assets, and changes in judgment regarding a valuation allowance are recognized in provision for income taxes in the quarter in which such changes occur. Long-term tax payable is estimated income tax to be paid for unrecognized tax benefits.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 Adjustments to unrecognized tax benefits due to changes in judgment are recognized in provision for income taxes in the quarter in which such changes occur. Interest and penalties related to unrecognized tax benefits are recognized in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pPr>
      <w:r>
        <w:rPr>
          <w:rFonts w:ascii="Times New Roman;sans-serif" w:hAnsi="Times New Roman;sans-serif"/>
          <w:b/>
          <w:color w:val="000000"/>
          <w:sz w:val="19"/>
        </w:rPr>
        <w:t>Earnings Per Share</w:t>
      </w:r>
      <w:r>
        <w:rPr>
          <w:color w:val="000000"/>
        </w:rPr>
        <w: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determine basic earnings per share (EPS) by using the weighted-average number of shares outstanding. We determine diluted EPS by increasing the weighted-average number of shares outstanding in the denominator by the number of outstanding dilutive equity awards using the treasury stock method.</w:t>
      </w:r>
    </w:p>
    <w:p>
      <w:pPr>
        <w:pStyle w:val="TextBody"/>
        <w:bidi w:val="0"/>
        <w:spacing w:lineRule="auto" w:line="288" w:before="180" w:after="283"/>
        <w:jc w:val="left"/>
        <w:rPr/>
      </w:pPr>
      <w:r>
        <w:rPr>
          <w:rFonts w:ascii="Times New Roman;sans-serif" w:hAnsi="Times New Roman;sans-serif"/>
          <w:b/>
          <w:color w:val="000000"/>
          <w:sz w:val="19"/>
        </w:rPr>
        <w:t>Cash and Cash Equivalents</w:t>
      </w:r>
      <w:r>
        <w:rPr>
          <w:color w:val="000000"/>
        </w:rPr>
        <w: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considers all short-term, highly liquid investments purchased with maturities of three months or less to be cash equivalents.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Inventories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are stated at the lower of cost or net realizable value. Cost is computed using standard cost that approximates actual cost, on a first-in, first-out basis.</w:t>
      </w:r>
    </w:p>
    <w:p>
      <w:pPr>
        <w:pStyle w:val="TextBody"/>
        <w:bidi w:val="0"/>
        <w:spacing w:before="0" w:after="0"/>
        <w:jc w:val="left"/>
        <w:rPr/>
      </w:pPr>
      <w:r>
        <w:rPr/>
      </w:r>
    </w:p>
    <w:tbl>
      <w:tblPr>
        <w:tblW w:w="3700" w:type="dxa"/>
        <w:jc w:val="left"/>
        <w:tblInd w:w="0" w:type="dxa"/>
        <w:tblLayout w:type="fixed"/>
        <w:tblCellMar>
          <w:top w:w="28" w:type="dxa"/>
          <w:left w:w="28" w:type="dxa"/>
          <w:bottom w:w="28" w:type="dxa"/>
          <w:right w:w="28" w:type="dxa"/>
        </w:tblCellMar>
      </w:tblPr>
      <w:tblGrid>
        <w:gridCol w:w="526"/>
        <w:gridCol w:w="463"/>
        <w:gridCol w:w="467"/>
        <w:gridCol w:w="211"/>
        <w:gridCol w:w="616"/>
        <w:gridCol w:w="109"/>
        <w:gridCol w:w="109"/>
        <w:gridCol w:w="109"/>
        <w:gridCol w:w="109"/>
        <w:gridCol w:w="211"/>
        <w:gridCol w:w="616"/>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October 31,</w:t>
              <w:br/>
            </w: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Finished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628.7 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assessing the value of inventories, we make estimates and judgments regarding aging of inventories and other relevant issues potentially affecting the salable condition of products and estimated prices at which those products will sell. On an ongoing basis, we review the carrying value of our inventory, measuring number of months on hand and other indications of salability.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Property, Plant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record property, plant, and equipment at cost. We compute depreciation expense using the straight-line method over the estimated useful lives of the assets. Useful lives are generally 3 to 15 years except for buildings which are depreciated over 30 to 40 years and leasehold improvements, which we amortize over the shorter of the useful life or the lease term. We charge maintenance and repairs to expense as we incur them.</w:t>
      </w:r>
    </w:p>
    <w:p>
      <w:pPr>
        <w:pStyle w:val="TextBody"/>
        <w:bidi w:val="0"/>
        <w:spacing w:before="0" w:after="0"/>
        <w:jc w:val="left"/>
        <w:rPr/>
      </w:pPr>
      <w:r>
        <w:rPr/>
      </w:r>
    </w:p>
    <w:tbl>
      <w:tblPr>
        <w:tblW w:w="5738" w:type="dxa"/>
        <w:jc w:val="left"/>
        <w:tblInd w:w="0" w:type="dxa"/>
        <w:tblLayout w:type="fixed"/>
        <w:tblCellMar>
          <w:top w:w="28" w:type="dxa"/>
          <w:left w:w="28" w:type="dxa"/>
          <w:bottom w:w="28" w:type="dxa"/>
          <w:right w:w="28" w:type="dxa"/>
        </w:tblCellMar>
      </w:tblPr>
      <w:tblGrid>
        <w:gridCol w:w="1154"/>
        <w:gridCol w:w="1016"/>
        <w:gridCol w:w="1024"/>
        <w:gridCol w:w="211"/>
        <w:gridCol w:w="766"/>
        <w:gridCol w:w="109"/>
        <w:gridCol w:w="109"/>
        <w:gridCol w:w="109"/>
        <w:gridCol w:w="109"/>
        <w:gridCol w:w="211"/>
        <w:gridCol w:w="766"/>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October 31,</w:t>
              <w:br/>
            </w:r>
            <w:r>
              <w:rPr>
                <w:rFonts w:ascii="Times New Roman;sans-serif" w:hAnsi="Times New Roman;sans-serif"/>
                <w:b/>
                <w:color w:val="000000"/>
                <w:sz w:val="19"/>
                <w:u w:val="single"/>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Land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Construction in progress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at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Accumulated depreciation</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ROU assets,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Leases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consider an arrangement a lease if the arrangement transfers the right to control the use of an identified asset in exchange for consideration. We have operating leases, but do not have material financing leases. The Company primarily has operating leases for office, manufacturing and warehouse space, vehicles, and office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lease payments over the lease term. The lease term reflects the noncancellable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Consolidated Balance Sheets. As our leases typically do not contain a readily determinable implicit rate, we determine the present value of the lease liability using our incremental borrowing rate at the lease commencement date based on the lease term on a collateralized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Company’s operating leases typically include non-lease components such as common-area maintenance costs. The Company has elected to include non-lease components with lease payments for the purpose of calculating lease right-of-use assets and liabilities, to the extent that they are fixed. Non-lease components that are not fixed are expensed as incurred as variable lease payments.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Leases with a term of one year or less are not recognized in the Consolidated Balance Sheets, while the associated lease payments are expensed in the Consolidated Statements of Income and Comprehensive Income on a straight-line basis over the lease term.</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leases are classified in “Other current liabilities”, “Other liabilities”, and “Other assets” in our Consolidated Balance Sheets. Operating lease expense is recognized on a straight-line basis over the expected lease term and included in "Selling, general and administrative expense" in our Consolidated Statements of Income. Financing leases are classified in "Property, plant and equipment, net", "Short-term debt", and "Long-term debt" in our Consolidated Balance Sheets. See Note 2. Operating Leases and Note 5. Financing Arrangements for further information.</w:t>
      </w:r>
    </w:p>
    <w:p>
      <w:pPr>
        <w:pStyle w:val="TextBody"/>
        <w:bidi w:val="0"/>
        <w:spacing w:lineRule="auto" w:line="26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Cloud Computing Arrangements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post-implementation/operation stages of the project are expensed as incurred. Implementation costs are included in “Other assets” in our Consolidated Balance Sheets. Amortization of capitalized implementation costs is included in the same line item in the Consolidated Statements of Income as the expense for fees for the associated hosting arrangement.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Valuation of Goodwill</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evaluate goodwill for impairment annually during the fiscal third quarter and when an event occurs or circumstances change such that it is reasonably possible that impairment may exist. Goodwill is tested for impairment at the reporting unit level by performing a qualitative assessment to determine whether it is more likely than not that the fair value of the reporting unit is less than its carrying value. We perform a qualitative assessment to test each reporting unit's goodwill for impairment, which includes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w:t>
      </w:r>
    </w:p>
    <w:p>
      <w:pPr>
        <w:pStyle w:val="TextBody"/>
        <w:bidi w:val="0"/>
        <w:spacing w:lineRule="auto" w:line="268" w:before="180" w:after="283"/>
        <w:jc w:val="left"/>
        <w:rPr/>
      </w:pPr>
      <w:r>
        <w:rPr>
          <w:rFonts w:ascii="Times New Roman;sans-serif" w:hAnsi="Times New Roman;sans-serif"/>
          <w:b/>
          <w:color w:val="000000"/>
          <w:sz w:val="19"/>
        </w:rPr>
        <w:t>Long-lived Assets</w:t>
      </w:r>
      <w:r>
        <w:rPr>
          <w:color w:val="000000"/>
        </w:rPr>
        <w: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review long-lived assets held and used for impairment whenever events or changes in circumstances indicate that the carrying amount of an asset group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Indefinite-lived Intangible Assets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assess indefinite-lived intangible assets annually in the third quarter of the fiscal year, or whenever events or changes in circumstances indicate that the carrying amount of an indefinite-lived intangible asset (asset group) may not be recoverable. We evaluate whether the indefinite-lived intangible asset is impaired by comparing its carrying value to its fair value. If the carrying value of an indefinite-lived intangible asset is not recoverable, an impairment loss is recognized based on the amount by which the carrying value exceeds the fair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Business Combinations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discount rates and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 business acquisitions, the Company records tangible and intangible assets acquired and liabilities assumed at their fair values as of the applicable date of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Litigation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color w:val="000000"/>
          <w:sz w:val="19"/>
        </w:rPr>
        <w:t>Treasury Stock</w:t>
      </w:r>
      <w:r>
        <w:rPr>
          <w:color w:val="000000"/>
        </w:rPr>
        <w:t>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record treasury stock purchases under the cost method whereby the entire cost of the acquired stock is recorded as treasury stock.</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Exit Charges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During the second quarter of fiscal 2022, the Company initiated a plan to exit its contact lens care business, a non-core business unit of the CooperVision segment, which was completed in fiscal 2023. Exit charges recognized during the year ended October 31, 2023, were not material. Exit charges recognized during the year ended October 31, 2022, were $33.2 million, of which $26.7 million were recognized in "Cost of sales" and $6.5 million were recognized in "Selling, general and administrative expense" in our Consolidated Statements of Income. Exit charges primarily related to inventory write-down, asset impairments and employee-related costs.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Government Assistance</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9"/>
        </w:rPr>
        <w:t xml:space="preserve">The Company at times receives government assistance primarily to support manufacturing capital expansion, to create or retain jobs, or to provide tax credits mainly for eligible research and development activities. The Company generally accounts for such government assistance by analogy to IAS 20, </w:t>
      </w:r>
      <w:r>
        <w:rPr>
          <w:rFonts w:ascii="Times New Roman;sans-serif" w:hAnsi="Times New Roman;sans-serif"/>
          <w:b w:val="false"/>
          <w:i/>
          <w:color w:val="000000"/>
          <w:sz w:val="19"/>
        </w:rPr>
        <w:t>Accounting for Government Grants and Disclosure of Government Assistance</w:t>
      </w:r>
      <w:r>
        <w:rPr>
          <w:color w:val="000000"/>
        </w:rPr>
        <w:t xml:space="preserve"> </w:t>
      </w:r>
      <w:r>
        <w:rPr>
          <w:rFonts w:ascii="Times New Roman;sans-serif" w:hAnsi="Times New Roman;sans-serif"/>
          <w:b w:val="false"/>
          <w:color w:val="000000"/>
          <w:sz w:val="19"/>
        </w:rPr>
        <w:t>and recognizes the assistance when it is probable that it will be received by complying with the prerequisite terms and conditions. The government assistance is recognized in income as a reduction to the cost basis of the applicable property, plant, and equipment or reduction to the related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Accounting Pronouncements Recently Adopted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In November 2021, the FASB issued ASU 2021-10, </w:t>
      </w:r>
      <w:r>
        <w:rPr>
          <w:rFonts w:ascii="Times New Roman;sans-serif" w:hAnsi="Times New Roman;sans-serif"/>
          <w:b w:val="false"/>
          <w:i/>
          <w:color w:val="000000"/>
          <w:sz w:val="19"/>
        </w:rPr>
        <w:t>Government Assistance (Topic 832): Disclosures by Business Entities about Government Assistance</w:t>
      </w:r>
      <w:r>
        <w:rPr>
          <w:rFonts w:ascii="Times New Roman;sans-serif" w:hAnsi="Times New Roman;sans-serif"/>
          <w:b w:val="false"/>
          <w:color w:val="000000"/>
          <w:sz w:val="19"/>
        </w:rPr>
        <w:t>. This update requires annual disclosures about transactions with a government that are accounted for by applying a grant or contribution accounting model by analogy. This standard was effective for fiscal years beginning after December 15, 2021. The Company adopted this guidance prospectively on November 1, 2022, and such adoption did not have a material impact on the Company's Consolidated Financial Statements.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19"/>
        </w:rPr>
        <w:t xml:space="preserve">In March 2020, the FASB issued ASU 2020-04, </w:t>
      </w:r>
      <w:r>
        <w:rPr>
          <w:rFonts w:ascii="Times New Roman;sans-serif" w:hAnsi="Times New Roman;sans-serif"/>
          <w:b w:val="false"/>
          <w:i/>
          <w:color w:val="000000"/>
          <w:sz w:val="19"/>
        </w:rPr>
        <w:t>Reference</w:t>
      </w:r>
      <w:r>
        <w:rPr>
          <w:color w:val="000000"/>
        </w:rPr>
        <w:t xml:space="preserve"> </w:t>
      </w:r>
      <w:r>
        <w:rPr>
          <w:rFonts w:ascii="Times New Roman;sans-serif" w:hAnsi="Times New Roman;sans-serif"/>
          <w:b w:val="false"/>
          <w:i/>
          <w:color w:val="000000"/>
          <w:sz w:val="19"/>
        </w:rPr>
        <w:t>Rate</w:t>
      </w:r>
      <w:r>
        <w:rPr>
          <w:color w:val="000000"/>
        </w:rPr>
        <w:t xml:space="preserve"> </w:t>
      </w:r>
      <w:r>
        <w:rPr>
          <w:rFonts w:ascii="Times New Roman;sans-serif" w:hAnsi="Times New Roman;sans-serif"/>
          <w:b w:val="false"/>
          <w:i/>
          <w:color w:val="000000"/>
          <w:sz w:val="19"/>
        </w:rPr>
        <w:t>Reform</w:t>
      </w:r>
      <w:r>
        <w:rPr>
          <w:color w:val="000000"/>
        </w:rPr>
        <w:t xml:space="preserve"> </w:t>
      </w:r>
      <w:r>
        <w:rPr>
          <w:rFonts w:ascii="Times New Roman;sans-serif" w:hAnsi="Times New Roman;sans-serif"/>
          <w:b w:val="false"/>
          <w:color w:val="000000"/>
          <w:sz w:val="19"/>
        </w:rPr>
        <w:t>(</w:t>
      </w:r>
      <w:r>
        <w:rPr>
          <w:rFonts w:ascii="Times New Roman;sans-serif" w:hAnsi="Times New Roman;sans-serif"/>
          <w:b w:val="false"/>
          <w:i/>
          <w:color w:val="000000"/>
          <w:sz w:val="19"/>
        </w:rPr>
        <w:t>Topic</w:t>
      </w:r>
      <w:r>
        <w:rPr>
          <w:color w:val="000000"/>
        </w:rPr>
        <w:t xml:space="preserve"> </w:t>
      </w:r>
      <w:r>
        <w:rPr>
          <w:rFonts w:ascii="Times New Roman;sans-serif" w:hAnsi="Times New Roman;sans-serif"/>
          <w:b w:val="false"/>
          <w:i/>
          <w:color w:val="000000"/>
          <w:sz w:val="19"/>
        </w:rPr>
        <w:t>848</w:t>
      </w:r>
      <w:r>
        <w:rPr>
          <w:rFonts w:ascii="Times New Roman;sans-serif" w:hAnsi="Times New Roman;sans-serif"/>
          <w:b w:val="false"/>
          <w:color w:val="000000"/>
          <w:sz w:val="19"/>
        </w:rPr>
        <w:t>):</w:t>
      </w:r>
      <w:r>
        <w:rPr>
          <w:color w:val="000000"/>
        </w:rPr>
        <w:t xml:space="preserve"> </w:t>
      </w:r>
      <w:r>
        <w:rPr>
          <w:rFonts w:ascii="Times New Roman;sans-serif" w:hAnsi="Times New Roman;sans-serif"/>
          <w:b w:val="false"/>
          <w:i/>
          <w:color w:val="000000"/>
          <w:sz w:val="19"/>
        </w:rPr>
        <w:t>Facilitation of the Effects of Reference Rate Reform on Financial Reporting</w:t>
      </w:r>
      <w:r>
        <w:rPr>
          <w:color w:val="000000"/>
        </w:rPr>
        <w:t xml:space="preserve"> </w:t>
      </w:r>
      <w:r>
        <w:rPr>
          <w:rFonts w:ascii="Times New Roman;sans-serif" w:hAnsi="Times New Roman;sans-serif"/>
          <w:b w:val="false"/>
          <w:color w:val="000000"/>
          <w:sz w:val="19"/>
        </w:rPr>
        <w:t xml:space="preserve">and subsequent amendment to the initial guidance: ASU 2021-01, </w:t>
      </w:r>
      <w:r>
        <w:rPr>
          <w:rFonts w:ascii="Times New Roman;sans-serif" w:hAnsi="Times New Roman;sans-serif"/>
          <w:b w:val="false"/>
          <w:i/>
          <w:color w:val="000000"/>
          <w:sz w:val="19"/>
        </w:rPr>
        <w:t>Reference Rate Reform (Topic 848): Scope</w:t>
      </w:r>
      <w:r>
        <w:rPr>
          <w:color w:val="000000"/>
        </w:rPr>
        <w:t xml:space="preserve"> </w:t>
      </w:r>
      <w:r>
        <w:rPr>
          <w:rFonts w:ascii="Times New Roman;sans-serif" w:hAnsi="Times New Roman;sans-serif"/>
          <w:b w:val="false"/>
          <w:color w:val="000000"/>
          <w:sz w:val="19"/>
        </w:rPr>
        <w:t xml:space="preserve">(collectively,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In December 2022, the FASB issued ASU 2022-06, </w:t>
      </w:r>
      <w:r>
        <w:rPr>
          <w:rFonts w:ascii="Times New Roman;sans-serif" w:hAnsi="Times New Roman;sans-serif"/>
          <w:b w:val="false"/>
          <w:i/>
          <w:color w:val="000000"/>
          <w:sz w:val="19"/>
        </w:rPr>
        <w:t>Reference Rate Reform (Topic 848): Deferral of the Sunset Date of Topic 848</w:t>
      </w:r>
      <w:r>
        <w:rPr>
          <w:rFonts w:ascii="Times New Roman;sans-serif" w:hAnsi="Times New Roman;sans-serif"/>
          <w:b w:val="false"/>
          <w:color w:val="000000"/>
          <w:sz w:val="19"/>
        </w:rPr>
        <w:t>. ASU 2022-06 defers the sunset date of Topic 848 from December 31, 2022, to December 31, 2024. Effective February 1, 2023, the Company transitioned its credit agreements from LIBOR to the Secured Overnight Financing Rate ("SOFR"). The Company adopted this guidance prospectively on February 1, 2023, and it did not have a material impact on the Consolidated Financial Statements.</w:t>
      </w:r>
    </w:p>
    <w:p>
      <w:pPr>
        <w:pStyle w:val="TextBody"/>
        <w:bidi w:val="0"/>
        <w:spacing w:before="0" w:after="0"/>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Accounting Pronouncements Issued Not Yet Adopted</w:t>
      </w:r>
    </w:p>
    <w:p>
      <w:pPr>
        <w:pStyle w:val="TextBody"/>
        <w:bidi w:val="0"/>
        <w:spacing w:lineRule="auto" w:line="276" w:before="180" w:after="160"/>
        <w:jc w:val="left"/>
        <w:rPr>
          <w:rFonts w:ascii="Times New Roman;sans-serif" w:hAnsi="Times New Roman;sans-serif"/>
          <w:b w:val="false"/>
          <w:color w:val="000000"/>
          <w:sz w:val="19"/>
        </w:rPr>
      </w:pPr>
      <w:r>
        <w:rPr>
          <w:rFonts w:ascii="Times New Roman;sans-serif" w:hAnsi="Times New Roman;sans-serif"/>
          <w:b w:val="false"/>
          <w:color w:val="000000"/>
          <w:sz w:val="19"/>
        </w:rPr>
        <w:t>No other recently issued accounting pronouncements had or are expected to have a material impact on our Consolidated Financial Statements. </w:t>
      </w:r>
    </w:p>
    <w:p>
      <w:pPr>
        <w:pStyle w:val="TextBody"/>
        <w:bidi w:val="0"/>
        <w:spacing w:before="18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Note 2. Operating Leases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following table presents information about leases on the Consolidated Balance Sheets: </w:t>
      </w:r>
    </w:p>
    <w:tbl>
      <w:tblPr>
        <w:tblW w:w="6699" w:type="dxa"/>
        <w:jc w:val="left"/>
        <w:tblInd w:w="0" w:type="dxa"/>
        <w:tblLayout w:type="fixed"/>
        <w:tblCellMar>
          <w:top w:w="28" w:type="dxa"/>
          <w:left w:w="28" w:type="dxa"/>
          <w:bottom w:w="28" w:type="dxa"/>
          <w:right w:w="28" w:type="dxa"/>
        </w:tblCellMar>
      </w:tblPr>
      <w:tblGrid>
        <w:gridCol w:w="1493"/>
        <w:gridCol w:w="1313"/>
        <w:gridCol w:w="1318"/>
        <w:gridCol w:w="109"/>
        <w:gridCol w:w="109"/>
        <w:gridCol w:w="109"/>
        <w:gridCol w:w="258"/>
        <w:gridCol w:w="283"/>
        <w:gridCol w:w="288"/>
        <w:gridCol w:w="109"/>
        <w:gridCol w:w="109"/>
        <w:gridCol w:w="109"/>
        <w:gridCol w:w="258"/>
        <w:gridCol w:w="283"/>
        <w:gridCol w:w="288"/>
        <w:gridCol w:w="109"/>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October 31,</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Operating lease liabilities, non-current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expense for the fiscal years ended October 31, 2023, 2022 and 2021 was $48.1 million, $45.0 million and $44.1 million.</w:t>
      </w:r>
    </w:p>
    <w:p>
      <w:pPr>
        <w:pStyle w:val="TextBody"/>
        <w:bidi w:val="0"/>
        <w:spacing w:lineRule="auto" w:line="288" w:before="0" w:after="160"/>
        <w:jc w:val="left"/>
        <w:rPr>
          <w:rFonts w:ascii="Times New Roman;sans-serif" w:hAnsi="Times New Roman;sans-serif"/>
          <w:b/>
          <w:color w:val="000000"/>
          <w:sz w:val="19"/>
        </w:rPr>
      </w:pPr>
      <w:r>
        <w:rPr>
          <w:rFonts w:ascii="Times New Roman;sans-serif" w:hAnsi="Times New Roman;sans-serif"/>
          <w:b/>
          <w:color w:val="000000"/>
          <w:sz w:val="19"/>
        </w:rPr>
        <w:t xml:space="preserve">Maturity of Lease Liabilities </w:t>
      </w:r>
    </w:p>
    <w:p>
      <w:pPr>
        <w:pStyle w:val="TextBody"/>
        <w:bidi w:val="0"/>
        <w:spacing w:lineRule="auto" w:line="288" w:before="0" w:after="16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minimum rental payments required under operating leases that have initial or remaining noncancellable lease terms in excess of one year as of October 31, 2023 are: </w:t>
      </w:r>
    </w:p>
    <w:tbl>
      <w:tblPr>
        <w:tblW w:w="3993" w:type="dxa"/>
        <w:jc w:val="left"/>
        <w:tblInd w:w="0" w:type="dxa"/>
        <w:tblLayout w:type="fixed"/>
        <w:tblCellMar>
          <w:top w:w="28" w:type="dxa"/>
          <w:left w:w="28" w:type="dxa"/>
          <w:bottom w:w="28" w:type="dxa"/>
          <w:right w:w="28" w:type="dxa"/>
        </w:tblCellMar>
      </w:tblPr>
      <w:tblGrid>
        <w:gridCol w:w="975"/>
        <w:gridCol w:w="853"/>
        <w:gridCol w:w="857"/>
        <w:gridCol w:w="109"/>
        <w:gridCol w:w="109"/>
        <w:gridCol w:w="109"/>
        <w:gridCol w:w="211"/>
        <w:gridCol w:w="616"/>
        <w:gridCol w:w="154"/>
      </w:tblGrid>
      <w:tr>
        <w:trPr/>
        <w:tc>
          <w:tcPr>
            <w:tcW w:w="9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Note 3. Acquisitions and Joint Venture</w:t>
      </w:r>
    </w:p>
    <w:p>
      <w:pPr>
        <w:pStyle w:val="TextBody"/>
        <w:bidi w:val="0"/>
        <w:spacing w:lineRule="auto" w:line="288" w:before="180" w:after="100"/>
        <w:jc w:val="left"/>
        <w:rPr>
          <w:rFonts w:ascii="Times New Roman;sans-serif" w:hAnsi="Times New Roman;sans-serif"/>
          <w:b w:val="false"/>
          <w:color w:val="000000"/>
          <w:sz w:val="19"/>
        </w:rPr>
      </w:pPr>
      <w:r>
        <w:rPr>
          <w:rFonts w:ascii="Times New Roman;sans-serif" w:hAnsi="Times New Roman;sans-serif"/>
          <w:b w:val="false"/>
          <w:color w:val="000000"/>
          <w:sz w:val="19"/>
        </w:rPr>
        <w:t>All acquisitions were funded by cash generated from operations or facility borrowings.</w:t>
      </w:r>
    </w:p>
    <w:p>
      <w:pPr>
        <w:pStyle w:val="TextBody"/>
        <w:bidi w:val="0"/>
        <w:spacing w:lineRule="auto" w:line="288" w:before="180" w:after="10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believes these acquisitions strengthen CooperSurgical's and CooperVision's businesses through the addition of new distributors or complementary products and services.</w:t>
      </w:r>
    </w:p>
    <w:p>
      <w:pPr>
        <w:pStyle w:val="TextBody"/>
        <w:bidi w:val="0"/>
        <w:spacing w:lineRule="auto" w:line="288" w:before="180" w:after="100"/>
        <w:jc w:val="left"/>
        <w:rPr>
          <w:rFonts w:ascii="Times New Roman;sans-serif" w:hAnsi="Times New Roman;sans-serif"/>
          <w:b/>
          <w:color w:val="000000"/>
          <w:sz w:val="19"/>
        </w:rPr>
      </w:pPr>
      <w:r>
        <w:rPr>
          <w:rFonts w:ascii="Times New Roman;sans-serif" w:hAnsi="Times New Roman;sans-serif"/>
          <w:b/>
          <w:color w:val="000000"/>
          <w:sz w:val="19"/>
        </w:rPr>
        <w:t>Fiscal Year 2023</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November 1, 2022, CooperVision completed the acquisition of a privately-held U.S.-based company that provides a broad portfolio of technologically advanced contact lens products, including scleral and hybrid lenses. The purchase price of the acquisition was $33.0 million. Assets acquired primarily comprised of $12.6 million of customer relationship related intangibles,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$7.6 million of technology, $5.1 million of net assets and $7.7 million of goodwill. The goodwill is not deductible for tax purposes.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Fiscal Year 2022</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May 31, 2022, CooperVision completed the acquisition of a privately-held Denmark-based contact lens distributor focusing on orthokeratology and scleral contact lenses. This acquisition expands CooperVision's ortho-k eye care portfolio in the Nordic market.</w:t>
      </w:r>
    </w:p>
    <w:p>
      <w:pPr>
        <w:pStyle w:val="TextBody"/>
        <w:bidi w:val="0"/>
        <w:spacing w:lineRule="auto" w:line="26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April 6, 2022, CooperSurgical completed the acquisition of a private cryopreservation services company that specializes in cryogenic services.</w:t>
      </w:r>
    </w:p>
    <w:p>
      <w:pPr>
        <w:pStyle w:val="TextBody"/>
        <w:bidi w:val="0"/>
        <w:spacing w:before="0" w:after="0"/>
        <w:jc w:val="left"/>
        <w:rPr/>
      </w:pPr>
      <w:r>
        <w:rPr/>
      </w:r>
    </w:p>
    <w:p>
      <w:pPr>
        <w:pStyle w:val="TextBody"/>
        <w:bidi w:val="0"/>
        <w:spacing w:lineRule="auto" w:line="264"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Refer to the "Joint Venture" section below for details on formation of a joint venture with Essilor International and related activities that occurred in fiscal year 2023 and 2022 following the acquisition of SightGlass Vision, Inc. (SGV) in fiscal year 2021.</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such as receipt of required regulatory approvals. During the year ended October 31, 2023, CooperSurgical determined that the fulfillment of certain closing conditions related to regulatory approvals was no longer probable and paid $45.0 million in expenses for a termination fee under the asset purchase agreement on August 9, 2023. The termination fee is recorded in "Selling, general and administrative expense" on the Consolidated Statements of Income. Refer to the "Subsequent Event" section below for details on the revised scope of the transaction and the closing of the updated transaction.</w:t>
      </w:r>
    </w:p>
    <w:p>
      <w:pPr>
        <w:pStyle w:val="TextBody"/>
        <w:bidi w:val="0"/>
        <w:spacing w:lineRule="auto" w:line="256"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December 17, 2021, CooperSurgical completed the acquisition of 100% of the equity interests in Generate Life Sciences (Generate), a privately held leading provider of donor egg and sperm for fertility treatments, fertility cryopreservation services and newborn stem cell storage (cord blood &amp; cord tissue), and paid an aggregate purchase consideration of approximately $1.663 billion, reflecting working capital, and other adjustments. The cash consideration was funded through a combination of $1.5 billion in proceeds from the issuance of a senior unsecured term loan and available cash on hand.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19"/>
        </w:rPr>
      </w:pPr>
      <w:r>
        <w:rPr>
          <w:rFonts w:ascii="Times New Roman;sans-serif" w:hAnsi="Times New Roman;sans-serif"/>
          <w:b/>
          <w:color w:val="000000"/>
          <w:sz w:val="19"/>
        </w:rPr>
        <w:t>Joint Venture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January 19, 2021, CooperVision acquired all of the remaining equity interests of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March 2022, the entities amended the terms of the contingent consideration, which resulted in CooperVision paying $42.9 million to the former equity interest owners in exchange for the elimination of the revenue payments to such former equity interest owners. CooperVision recognized a net gain of $12.2 million during fiscal 2022.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Further, CooperVision and Essilor International SAS (Essilor) executed a Contribution Agreement and a Stock Purchase Agreement (the "Agreements") in March 2022. Essilor paid CooperVision $52.1 million in exchange for a 50% interest in SGV and their proportionate share of the revenue payments. As part of the Agreements, each party contributed their interest in SGV and $10 million in cash to form a new joint venture. CooperVision then remeasured the fair value of its retained equity investment in the joint venture at $90.0 million which resulted in a $56.9 million gain in Other (income) expense on deconsolidation of SGV in fiscal 2022.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During fiscal 2023, CooperVision determined that approval would not be achieved within the timeline set forth in the contractual terms of the regulatory approval payment and released the remaining $31.8 million contingent consideration liability.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19"/>
        </w:rPr>
      </w:pPr>
      <w:r>
        <w:rPr>
          <w:rFonts w:ascii="Times New Roman;sans-serif" w:hAnsi="Times New Roman;sans-serif"/>
          <w:b/>
          <w:color w:val="000000"/>
          <w:sz w:val="19"/>
        </w:rPr>
        <w:t>Subsequent Event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November 1, 2023, CooperSurgical closed the acquisition of select assets of Cook Medical for an aggregate consideration of $300.0 million, with $200.0 million paid at closing and $100.0 million to be paid in two $50.0 million annual installments.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assets acquired primarily comprised of minimally invasive medical devices within the obstetrics, doppler monitoring and gynecology surgery markets. The Company is in the process of finalizing purchase accounting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Note 4. Intangible Assets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Goodwill</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has three reporting units: CooperVision and within the CooperSurgical segment, Office/Surgical and Fertility, reflecting the current way the Company manages its business. There was no impairment of goodwill in its reporting units in fiscal 2023, 2022, and 2021.</w:t>
      </w:r>
    </w:p>
    <w:tbl>
      <w:tblPr>
        <w:tblW w:w="7877" w:type="dxa"/>
        <w:jc w:val="left"/>
        <w:tblInd w:w="0" w:type="dxa"/>
        <w:tblLayout w:type="fixed"/>
        <w:tblCellMar>
          <w:top w:w="28" w:type="dxa"/>
          <w:left w:w="28" w:type="dxa"/>
          <w:bottom w:w="28" w:type="dxa"/>
          <w:right w:w="28" w:type="dxa"/>
        </w:tblCellMar>
      </w:tblPr>
      <w:tblGrid>
        <w:gridCol w:w="1219"/>
        <w:gridCol w:w="1068"/>
        <w:gridCol w:w="1073"/>
        <w:gridCol w:w="247"/>
        <w:gridCol w:w="900"/>
        <w:gridCol w:w="129"/>
        <w:gridCol w:w="109"/>
        <w:gridCol w:w="109"/>
        <w:gridCol w:w="109"/>
        <w:gridCol w:w="282"/>
        <w:gridCol w:w="1026"/>
        <w:gridCol w:w="148"/>
        <w:gridCol w:w="109"/>
        <w:gridCol w:w="109"/>
        <w:gridCol w:w="109"/>
        <w:gridCol w:w="211"/>
        <w:gridCol w:w="766"/>
        <w:gridCol w:w="154"/>
      </w:tblGrid>
      <w:tr>
        <w:trPr/>
        <w:tc>
          <w:tcPr>
            <w:tcW w:w="121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CooperVision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1,899.4 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changes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Of the October 31, 2023, goodwill balance, $237.6 million for CooperSurgical and $20.1 million for CooperVision is expected to be deductible for tax purposes. Of the October 31, 2022, goodwill balance, $214.1 million for CooperSurgical and $22.4 million for CooperVision was expected to be deductible for tax purposes.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Other Intangible Assets</w:t>
      </w:r>
    </w:p>
    <w:tbl>
      <w:tblPr>
        <w:tblW w:w="10205" w:type="dxa"/>
        <w:jc w:val="left"/>
        <w:tblInd w:w="0" w:type="dxa"/>
        <w:tblLayout w:type="fixed"/>
        <w:tblCellMar>
          <w:top w:w="28" w:type="dxa"/>
          <w:left w:w="28" w:type="dxa"/>
          <w:bottom w:w="28" w:type="dxa"/>
          <w:right w:w="28" w:type="dxa"/>
        </w:tblCellMar>
      </w:tblPr>
      <w:tblGrid>
        <w:gridCol w:w="829"/>
        <w:gridCol w:w="525"/>
        <w:gridCol w:w="509"/>
        <w:gridCol w:w="211"/>
        <w:gridCol w:w="766"/>
        <w:gridCol w:w="109"/>
        <w:gridCol w:w="109"/>
        <w:gridCol w:w="109"/>
        <w:gridCol w:w="109"/>
        <w:gridCol w:w="242"/>
        <w:gridCol w:w="878"/>
        <w:gridCol w:w="126"/>
        <w:gridCol w:w="109"/>
        <w:gridCol w:w="109"/>
        <w:gridCol w:w="109"/>
        <w:gridCol w:w="211"/>
        <w:gridCol w:w="766"/>
        <w:gridCol w:w="109"/>
        <w:gridCol w:w="109"/>
        <w:gridCol w:w="109"/>
        <w:gridCol w:w="109"/>
        <w:gridCol w:w="242"/>
        <w:gridCol w:w="878"/>
        <w:gridCol w:w="126"/>
        <w:gridCol w:w="109"/>
        <w:gridCol w:w="109"/>
        <w:gridCol w:w="109"/>
        <w:gridCol w:w="693"/>
        <w:gridCol w:w="693"/>
        <w:gridCol w:w="984"/>
      </w:tblGrid>
      <w:tr>
        <w:trPr/>
        <w:tc>
          <w:tcPr>
            <w:tcW w:w="82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October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center"/>
              <w:rPr>
                <w:rFonts w:ascii="Times New Roman;sans-serif" w:hAnsi="Times New Roman;sans-serif"/>
                <w:b/>
                <w:color w:val="000000"/>
                <w:sz w:val="19"/>
              </w:rPr>
            </w:pPr>
            <w:r>
              <w:rPr>
                <w:rFonts w:ascii="Times New Roman;sans-serif" w:hAnsi="Times New Roman;sans-serif"/>
                <w:b/>
                <w:color w:val="000000"/>
                <w:sz w:val="19"/>
              </w:rPr>
              <w:t>Weighted-average Amortization Period (in years)</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Trademarks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Composite intangible asset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License and distribution rights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accumulated amortization and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Intangible assets with indefinite lives, net </w:t>
            </w:r>
            <w:r>
              <w:rPr>
                <w:rFonts w:ascii="Times New Roman;sans-serif" w:hAnsi="Times New Roman;sans-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intangibles,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i/>
          <w:color w:val="000000"/>
          <w:sz w:val="12"/>
        </w:rPr>
        <w:t xml:space="preserve">(1) </w:t>
      </w:r>
      <w:r>
        <w:rPr>
          <w:rFonts w:ascii="Times New Roman;sans-serif" w:hAnsi="Times New Roman;sans-serif"/>
          <w:b w:val="false"/>
          <w:i/>
          <w:color w:val="000000"/>
          <w:sz w:val="19"/>
        </w:rPr>
        <w:t>Intangible assets with indefinite lives include technology and trademarks.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Balances include foreign currency translation adjustments.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October 31, 2023, the estimate of future amortization expenses for intangible assets with definite lives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tbl>
      <w:tblPr>
        <w:tblW w:w="6870" w:type="dxa"/>
        <w:jc w:val="center"/>
        <w:tblInd w:w="0" w:type="dxa"/>
        <w:tblLayout w:type="fixed"/>
        <w:tblCellMar>
          <w:top w:w="28" w:type="dxa"/>
          <w:left w:w="28" w:type="dxa"/>
          <w:bottom w:w="28" w:type="dxa"/>
          <w:right w:w="28" w:type="dxa"/>
        </w:tblCellMar>
      </w:tblPr>
      <w:tblGrid>
        <w:gridCol w:w="2053"/>
        <w:gridCol w:w="1811"/>
        <w:gridCol w:w="1821"/>
        <w:gridCol w:w="221"/>
        <w:gridCol w:w="803"/>
        <w:gridCol w:w="161"/>
      </w:tblGrid>
      <w:tr>
        <w:trPr/>
        <w:tc>
          <w:tcPr>
            <w:tcW w:w="205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Fiscal years: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Thereafter</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remaining amortization for intangible assets with definite lives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1,701.0 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19"/>
        </w:rPr>
        <w:t xml:space="preserve">In the fourth quarter of fiscal 2023, CooperVision fully impaired some intangible assets associated with the discontinuation of certain products. The carrying value of these intangible assets were immaterial. The Company performed its annual impairment assessment in the third quarter of fiscal 2023 and determined there was no other impairment to either its definite-lived or indefinite-lived intangible assets during fiscal </w:t>
      </w:r>
      <w:r>
        <w:rPr>
          <w:rFonts w:ascii="Times New Roman;sans-serif" w:hAnsi="Times New Roman;sans-serif"/>
          <w:b w:val="false"/>
          <w:color w:val="000000"/>
          <w:sz w:val="20"/>
        </w:rPr>
        <w:t xml:space="preserve">2023.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There were no impairment to the Company's definite-lived or indefinite-lived intangible assets during fiscal 2022 and 2021.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Note 5. Financing Arrangements</w:t>
      </w:r>
    </w:p>
    <w:p>
      <w:pPr>
        <w:pStyle w:val="TextBody"/>
        <w:bidi w:val="0"/>
        <w:spacing w:lineRule="auto" w:line="288" w:before="2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had outstanding debt as follows:</w:t>
      </w:r>
    </w:p>
    <w:tbl>
      <w:tblPr>
        <w:tblW w:w="6189" w:type="dxa"/>
        <w:jc w:val="left"/>
        <w:tblInd w:w="0" w:type="dxa"/>
        <w:tblLayout w:type="fixed"/>
        <w:tblCellMar>
          <w:top w:w="28" w:type="dxa"/>
          <w:left w:w="28" w:type="dxa"/>
          <w:bottom w:w="28" w:type="dxa"/>
          <w:right w:w="28" w:type="dxa"/>
        </w:tblCellMar>
      </w:tblPr>
      <w:tblGrid>
        <w:gridCol w:w="1319"/>
        <w:gridCol w:w="1161"/>
        <w:gridCol w:w="1165"/>
        <w:gridCol w:w="211"/>
        <w:gridCol w:w="766"/>
        <w:gridCol w:w="109"/>
        <w:gridCol w:w="109"/>
        <w:gridCol w:w="109"/>
        <w:gridCol w:w="109"/>
        <w:gridCol w:w="211"/>
        <w:gridCol w:w="76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October 31,</w:t>
              <w:br/>
            </w:r>
            <w:r>
              <w:rPr>
                <w:rFonts w:ascii="Times New Roman;sans-serif" w:hAnsi="Times New Roman;sans-serif"/>
                <w:b/>
                <w:color w:val="000000"/>
                <w:sz w:val="19"/>
                <w:u w:val="single"/>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Overdraft and other credit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Term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excluding financing leases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Revolving credit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Term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unamortized debt issuance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excluding financing leases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As of October 31, 2023, the Company was in compliance with all debt covenants. On February 1, 2023, the Company amended its credit agreements to transition the interest rates applicable to the loans denominated in U.S. dollars from LIBOR to SOFR, as defined in the credit agreements.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Term Loan Agreement on December 17,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notice to the administrative agent and subject to the discretionary participation of the lenders funding such term loans and certain limitations set forth in the 2021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SOFR for a one-month interest period in effect on such day, or (ii) the adjusted SOFR, plus, in each case, an applicable rate of, initially, zero basis points, in respect of base rate loans, and 75 basis points, in respect of adjusted SOFR loans. Following a specified period after the closing date, the applicable rates will be determined quarterly by reference to a grid based upon the Company’s ratio of consolidated net indebtedness to consolidated EBITDA, each as defined in the 2021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may prepay loan balances from time to time, in whole or in part, without premium or penalty (other than any related breakage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October 31, 2023, the Company had $1.5 billion outstanding on the 2021 Term Loan Facility and the weighted-average interest rate was 6.41%.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Term Loan Agreement on November 2,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November 2, 2021, the Company entered into a 364-day, $840.0 million, term loan agreement by and among the Company, the lenders party thereto and The Bank of Nova Scotia, as administrative agent, which matured subsequent to year end on November 1, 2022. The Company used part of the funds to partially repay outstanding borrowings under the 2020 Revolving Credit Facility and for general corporate purposes. The loan was fully repaid by the maturity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Revolving Credit and Term Loan Agreement on April 1, 2020</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Company used $850.0 million under the 2020 Term Loan Facility and $445.0 million under the 2020 Revolving Credit Facility to fully repay all borrowings outstanding under a previously existing term loan agreement and transfer all letters of credit and borrowings outstanding under a previously existing credit agreement to the 2020 Credit Agreement. The Company has an uncommitted option to increase the revolving credit facility or establish a new term loan in an aggregate amount up to $1.605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October 30, 2020, the Company entered into Amendment No. 1 to the 2020 Credit Agreement, adding CooperVision International Limited as a revolving borrower and releasing certain borrowers in the 2020 Credit Agreement. </w:t>
      </w:r>
    </w:p>
    <w:p>
      <w:pPr>
        <w:pStyle w:val="TextBody"/>
        <w:bidi w:val="0"/>
        <w:spacing w:lineRule="auto" w:line="276"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December 17, 2021, the Company entered into Amendment No.2 to the 2020 Credit Agreement, modifying the 2020 Credit Agreement by, among other things, adding CooperSurgical Holdings Limited as a revolving borrower, releasing CooperVision Holding Kft as a borrower, and updating the benchmark replacement language in the 2020 Credit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2020 Credit Agreement will bear interest, at the Company’s option, at either the alternate base rate, or the adjusted SOFR, or adjusted foreign currency rate, plus, in each case, an applicable rate of between 0.00% and 0.50% in respect of base rate loans, and between 0.75% and 1.50% in respect of adjusted SOFR or adjusted foreign currency rate loans, in each case in accordance with a pricing grid tied to the Total Leverage Ratio, as defined in the 2020 Credit Agreement. The Company may borrow, repay and re-borrow amounts available under the Revolving Credit Facility, subject to voluntary reduction of the revolving commitment.</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pays an annual commitment fee that ranges from 0.10% to 0.20% of the unused portion of the 2020 Revolving Credit Facility based upon the Company’s Total Leverage Ratio, as defined in the 2020 Credit Agreement. </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October 31, 2023, the Company had $850.0 million outstanding under the 2020 Term Loan Facility and $172.6 million outstanding under the 2020 Revolving Credit Facility. The interest rate on the 2020 Term Loan Facility was 6.41% at October 31, 2023. The weighted-average interest rate on the 2020 Revolving Credit Facility was 6.41% at October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the outstanding long-term debt balance of $850.0 million are due in the fiscal year ending October 31, 2025.</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European and Asian Pacific Credit Facilities</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maintains European credit facilities. The aggregate facility limit was $32.9 million and $30.7 million at October 31, 2023 and 2022, respectively. At October 31, 2023, $0.7 million of the facilities was utilized and the weighted-average interest rate on the outstanding balances was 7.82%. </w:t>
      </w:r>
    </w:p>
    <w:p>
      <w:pPr>
        <w:pStyle w:val="TextBody"/>
        <w:bidi w:val="0"/>
        <w:spacing w:lineRule="auto" w:line="288" w:before="12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maintains yen-denominated credit facilities in Japan. The aggregate facility limit was $74.3 million and $73.0 million at October 31, 2023 and 2022, respectively. At October 31, 2023, $41.4 million of the combined facilities was utilized and the weighted-average interest rate on the outstanding balances was 0.40%.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Each facility is supported by a continuing and unconditional guaranty.</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Note 6. Income Taxes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November 2020, the Company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first quarter of fiscal 2021. During the third quarter of fiscal 2021, the Company recognized a $536.7 million tax benefit related primarily to the remeasurement of this deferred tax asset caused by the UK enactment of a 25% corporate tax 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Components of income before income taxes:</w:t>
      </w:r>
    </w:p>
    <w:tbl>
      <w:tblPr>
        <w:tblW w:w="6027" w:type="dxa"/>
        <w:jc w:val="left"/>
        <w:tblInd w:w="0" w:type="dxa"/>
        <w:tblLayout w:type="fixed"/>
        <w:tblCellMar>
          <w:top w:w="28" w:type="dxa"/>
          <w:left w:w="28" w:type="dxa"/>
          <w:bottom w:w="28" w:type="dxa"/>
          <w:right w:w="28" w:type="dxa"/>
        </w:tblCellMar>
      </w:tblPr>
      <w:tblGrid>
        <w:gridCol w:w="885"/>
        <w:gridCol w:w="779"/>
        <w:gridCol w:w="781"/>
        <w:gridCol w:w="211"/>
        <w:gridCol w:w="691"/>
        <w:gridCol w:w="109"/>
        <w:gridCol w:w="109"/>
        <w:gridCol w:w="109"/>
        <w:gridCol w:w="109"/>
        <w:gridCol w:w="211"/>
        <w:gridCol w:w="616"/>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Years Ended October 31,</w:t>
              <w:br/>
              <w:t>(In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Components of provision for income taxes: </w:t>
      </w:r>
    </w:p>
    <w:p>
      <w:pPr>
        <w:pStyle w:val="TextBody"/>
        <w:bidi w:val="0"/>
        <w:spacing w:before="0" w:after="0"/>
        <w:jc w:val="left"/>
        <w:rPr/>
      </w:pPr>
      <w:r>
        <w:rPr/>
      </w:r>
    </w:p>
    <w:tbl>
      <w:tblPr>
        <w:tblW w:w="5906" w:type="dxa"/>
        <w:jc w:val="left"/>
        <w:tblInd w:w="0" w:type="dxa"/>
        <w:tblLayout w:type="fixed"/>
        <w:tblCellMar>
          <w:top w:w="28" w:type="dxa"/>
          <w:left w:w="28" w:type="dxa"/>
          <w:bottom w:w="28" w:type="dxa"/>
          <w:right w:w="28" w:type="dxa"/>
        </w:tblCellMar>
      </w:tblPr>
      <w:tblGrid>
        <w:gridCol w:w="825"/>
        <w:gridCol w:w="726"/>
        <w:gridCol w:w="728"/>
        <w:gridCol w:w="211"/>
        <w:gridCol w:w="616"/>
        <w:gridCol w:w="109"/>
        <w:gridCol w:w="109"/>
        <w:gridCol w:w="109"/>
        <w:gridCol w:w="109"/>
        <w:gridCol w:w="211"/>
        <w:gridCol w:w="511"/>
        <w:gridCol w:w="109"/>
        <w:gridCol w:w="109"/>
        <w:gridCol w:w="109"/>
        <w:gridCol w:w="109"/>
        <w:gridCol w:w="211"/>
        <w:gridCol w:w="84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(2,502.2)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Reconciliation between the expected provision for income taxes at the US federal statutory rate and the provision for income taxes:</w:t>
      </w:r>
    </w:p>
    <w:p>
      <w:pPr>
        <w:pStyle w:val="TextBody"/>
        <w:bidi w:val="0"/>
        <w:spacing w:before="0" w:after="0"/>
        <w:jc w:val="left"/>
        <w:rPr/>
      </w:pPr>
      <w:r>
        <w:rPr/>
      </w:r>
    </w:p>
    <w:tbl>
      <w:tblPr>
        <w:tblW w:w="8636" w:type="dxa"/>
        <w:jc w:val="left"/>
        <w:tblInd w:w="0" w:type="dxa"/>
        <w:tblLayout w:type="fixed"/>
        <w:tblCellMar>
          <w:top w:w="28" w:type="dxa"/>
          <w:left w:w="28" w:type="dxa"/>
          <w:bottom w:w="28" w:type="dxa"/>
          <w:right w:w="28" w:type="dxa"/>
        </w:tblCellMar>
      </w:tblPr>
      <w:tblGrid>
        <w:gridCol w:w="1813"/>
        <w:gridCol w:w="1596"/>
        <w:gridCol w:w="1600"/>
        <w:gridCol w:w="211"/>
        <w:gridCol w:w="616"/>
        <w:gridCol w:w="109"/>
        <w:gridCol w:w="109"/>
        <w:gridCol w:w="109"/>
        <w:gridCol w:w="109"/>
        <w:gridCol w:w="211"/>
        <w:gridCol w:w="511"/>
        <w:gridCol w:w="109"/>
        <w:gridCol w:w="109"/>
        <w:gridCol w:w="109"/>
        <w:gridCol w:w="109"/>
        <w:gridCol w:w="211"/>
        <w:gridCol w:w="841"/>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 at United States statutory tax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(Decrease) increase in taxes resulting from:</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earnings in jurisdictions with different tax rates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earnings subject to United States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Excess tax benefits from 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Intra-group transfer to UK subsidiary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Remeasurement of deferred tax assets from UK rate change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unrecognized tax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State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Components of deferred tax assets and liabilities:</w:t>
      </w:r>
    </w:p>
    <w:tbl>
      <w:tblPr>
        <w:tblW w:w="7133" w:type="dxa"/>
        <w:jc w:val="center"/>
        <w:tblInd w:w="0" w:type="dxa"/>
        <w:tblLayout w:type="fixed"/>
        <w:tblCellMar>
          <w:top w:w="28" w:type="dxa"/>
          <w:left w:w="28" w:type="dxa"/>
          <w:bottom w:w="28" w:type="dxa"/>
          <w:right w:w="28" w:type="dxa"/>
        </w:tblCellMar>
      </w:tblPr>
      <w:tblGrid>
        <w:gridCol w:w="1661"/>
        <w:gridCol w:w="1462"/>
        <w:gridCol w:w="1466"/>
        <w:gridCol w:w="211"/>
        <w:gridCol w:w="766"/>
        <w:gridCol w:w="109"/>
        <w:gridCol w:w="109"/>
        <w:gridCol w:w="109"/>
        <w:gridCol w:w="109"/>
        <w:gridCol w:w="211"/>
        <w:gridCol w:w="76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liabilities, reserves and compensation accruals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Foreign deferred tax assets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operating loss and tax credit carryforwards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Capitalized research and experimental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gross deferred tax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valuation allowance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deductible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Plant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deferred tax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gross deferred tax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assessing the realizability of deferred tax assets, the Company analyzes whether some or all deferred tax assets will not be realized. This analysis considers historical taxable income, the projected reversal of deferred tax liabilities, projected taxable income and tax planning strategies. Based upon this analysis, it is more likely than not the deferred tax assets, net of valuation allowance, will be realized. The decrease in valuation allowance is primarily related to foreign tax attributes.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At October 31, 2023, the Company had federal net operating loss carryforwards of $78.7 million and state net operating loss carryforwards of $87.1 million. Federal net operating loss carryforwards of $46.0 million expire on various dates between 2024 and 2037 and $32.7 million do not expire. The state net operating loss carryforwards expire on various dates between 2027 through 2044.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 tax benefit is recognized if it is more likely than not that a tax position will be sustained on its technical merits, based on the largest benefit that has a greater than 50% likelihood of being realized upon ultimate settlement with the tax authority.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Changes in unrecognized tax benefits:</w:t>
      </w:r>
    </w:p>
    <w:tbl>
      <w:tblPr>
        <w:tblW w:w="5316" w:type="dxa"/>
        <w:jc w:val="center"/>
        <w:tblInd w:w="0" w:type="dxa"/>
        <w:tblLayout w:type="fixed"/>
        <w:tblCellMar>
          <w:top w:w="28" w:type="dxa"/>
          <w:left w:w="28" w:type="dxa"/>
          <w:bottom w:w="28" w:type="dxa"/>
          <w:right w:w="28" w:type="dxa"/>
        </w:tblCellMar>
      </w:tblPr>
      <w:tblGrid>
        <w:gridCol w:w="1573"/>
        <w:gridCol w:w="1377"/>
        <w:gridCol w:w="1385"/>
        <w:gridCol w:w="211"/>
        <w:gridCol w:w="616"/>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Decrease based on tax positions in prior fiscal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Lapses of statutes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Decrease based on tax positions in prior fiscal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based on tax positions in current fiscal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Lapses of statutes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56" w:before="0" w:after="0"/>
        <w:jc w:val="left"/>
        <w:rPr/>
      </w:pPr>
      <w:r>
        <w:rPr>
          <w:rFonts w:ascii="Times New Roman;sans-serif" w:hAnsi="Times New Roman;sans-serif"/>
          <w:b w:val="false"/>
          <w:color w:val="000000"/>
          <w:sz w:val="19"/>
        </w:rPr>
        <w:t xml:space="preserve">These tax benefits, if recognized, would reduce provision for income taxes for </w:t>
      </w:r>
      <w:r>
        <w:rPr>
          <w:rFonts w:ascii="Times New Roman;sans-serif" w:hAnsi="Times New Roman;sans-serif"/>
          <w:b w:val="false"/>
          <w:color w:val="000000"/>
          <w:sz w:val="20"/>
        </w:rPr>
        <w:t>2023</w:t>
      </w:r>
      <w:r>
        <w:rPr>
          <w:rFonts w:ascii="Times New Roman;sans-serif" w:hAnsi="Times New Roman;sans-serif"/>
          <w:b w:val="false"/>
          <w:color w:val="000000"/>
          <w:sz w:val="19"/>
        </w:rPr>
        <w:t xml:space="preserve">,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9"/>
        </w:rPr>
        <w:t xml:space="preserve">and </w:t>
      </w:r>
      <w:r>
        <w:rPr>
          <w:rFonts w:ascii="Times New Roman;sans-serif" w:hAnsi="Times New Roman;sans-serif"/>
          <w:b w:val="false"/>
          <w:color w:val="000000"/>
          <w:sz w:val="20"/>
        </w:rPr>
        <w:t>2021</w:t>
      </w:r>
      <w:r>
        <w:rPr>
          <w:rFonts w:ascii="Times New Roman;sans-serif" w:hAnsi="Times New Roman;sans-serif"/>
          <w:b w:val="false"/>
          <w:color w:val="000000"/>
          <w:sz w:val="19"/>
        </w:rPr>
        <w:t xml:space="preserve">, by $323.2 million, $324.3 million, and $336.5 million, respectively. Interest and penalties related to unrecognized tax benefits are recognized in provision for income taxes. As of October 31, 2023,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9"/>
        </w:rPr>
        <w:t xml:space="preserve">and </w:t>
      </w:r>
      <w:r>
        <w:rPr>
          <w:rFonts w:ascii="Times New Roman;sans-serif" w:hAnsi="Times New Roman;sans-serif"/>
          <w:b w:val="false"/>
          <w:color w:val="000000"/>
          <w:sz w:val="20"/>
        </w:rPr>
        <w:t>2021</w:t>
      </w:r>
      <w:r>
        <w:rPr>
          <w:rFonts w:ascii="Times New Roman;sans-serif" w:hAnsi="Times New Roman;sans-serif"/>
          <w:b w:val="false"/>
          <w:color w:val="000000"/>
          <w:sz w:val="19"/>
        </w:rPr>
        <w:t>, accrued gross interest and penalties related to unrecognized tax benefits was $5.8 million, $5.4 million, and $6.4 million, respectively.</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Included in the balance of unrecognized tax benefits at October 31, 2023, is $8.1 million related to tax positions for which it is reasonably possible that the total amounts could change during the next twelve months.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Filed tax returns are subject to examination by tax authorities in major tax jurisdictions after fiscal 2018, including the UK and the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Note 7. Earnings Per Share</w:t>
      </w:r>
    </w:p>
    <w:tbl>
      <w:tblPr>
        <w:tblW w:w="7361" w:type="dxa"/>
        <w:jc w:val="left"/>
        <w:tblInd w:w="0" w:type="dxa"/>
        <w:tblLayout w:type="fixed"/>
        <w:tblCellMar>
          <w:top w:w="28" w:type="dxa"/>
          <w:left w:w="28" w:type="dxa"/>
          <w:bottom w:w="28" w:type="dxa"/>
          <w:right w:w="28" w:type="dxa"/>
        </w:tblCellMar>
      </w:tblPr>
      <w:tblGrid>
        <w:gridCol w:w="1343"/>
        <w:gridCol w:w="1178"/>
        <w:gridCol w:w="1183"/>
        <w:gridCol w:w="211"/>
        <w:gridCol w:w="616"/>
        <w:gridCol w:w="109"/>
        <w:gridCol w:w="109"/>
        <w:gridCol w:w="109"/>
        <w:gridCol w:w="109"/>
        <w:gridCol w:w="211"/>
        <w:gridCol w:w="616"/>
        <w:gridCol w:w="109"/>
        <w:gridCol w:w="109"/>
        <w:gridCol w:w="109"/>
        <w:gridCol w:w="109"/>
        <w:gridCol w:w="211"/>
        <w:gridCol w:w="766"/>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Years Ended October 31,</w:t>
            </w:r>
          </w:p>
        </w:tc>
        <w:tc>
          <w:tcPr>
            <w:tcW w:w="21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 except for earnings per share)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Basic:</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earnings per share</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59.80 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dilutive stock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weighted-average common shares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 earnings per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sets forth stock options to purchase our common stock and restricted stock units that were not included in the diluted earnings per share calculation because their effect would have been antidilutive for the periods presented:</w:t>
      </w:r>
    </w:p>
    <w:tbl>
      <w:tblPr>
        <w:tblW w:w="8173" w:type="dxa"/>
        <w:jc w:val="left"/>
        <w:tblInd w:w="0" w:type="dxa"/>
        <w:tblLayout w:type="fixed"/>
        <w:tblCellMar>
          <w:top w:w="28" w:type="dxa"/>
          <w:left w:w="28" w:type="dxa"/>
          <w:bottom w:w="28" w:type="dxa"/>
          <w:right w:w="28" w:type="dxa"/>
        </w:tblCellMar>
      </w:tblPr>
      <w:tblGrid>
        <w:gridCol w:w="1169"/>
        <w:gridCol w:w="1026"/>
        <w:gridCol w:w="1030"/>
        <w:gridCol w:w="581"/>
        <w:gridCol w:w="581"/>
        <w:gridCol w:w="442"/>
        <w:gridCol w:w="109"/>
        <w:gridCol w:w="109"/>
        <w:gridCol w:w="109"/>
        <w:gridCol w:w="581"/>
        <w:gridCol w:w="581"/>
        <w:gridCol w:w="442"/>
        <w:gridCol w:w="109"/>
        <w:gridCol w:w="109"/>
        <w:gridCol w:w="109"/>
        <w:gridCol w:w="211"/>
        <w:gridCol w:w="72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Years Ended October 31,</w:t>
            </w:r>
          </w:p>
        </w:tc>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thousands, except exercise prices)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option shares excluded</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Exercise prices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$300.12 - $406.17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$300.12 - $406.17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 units excluded</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Note 8.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Analysis of Changes in Accumulated Other Comprehensive Income (Loss):</w:t>
      </w:r>
    </w:p>
    <w:tbl>
      <w:tblPr>
        <w:tblW w:w="10205" w:type="dxa"/>
        <w:jc w:val="center"/>
        <w:tblInd w:w="0" w:type="dxa"/>
        <w:tblLayout w:type="fixed"/>
        <w:tblCellMar>
          <w:top w:w="28" w:type="dxa"/>
          <w:left w:w="28" w:type="dxa"/>
          <w:bottom w:w="28" w:type="dxa"/>
          <w:right w:w="28" w:type="dxa"/>
        </w:tblCellMar>
      </w:tblPr>
      <w:tblGrid>
        <w:gridCol w:w="708"/>
        <w:gridCol w:w="620"/>
        <w:gridCol w:w="623"/>
        <w:gridCol w:w="648"/>
        <w:gridCol w:w="1944"/>
        <w:gridCol w:w="337"/>
        <w:gridCol w:w="109"/>
        <w:gridCol w:w="109"/>
        <w:gridCol w:w="109"/>
        <w:gridCol w:w="109"/>
        <w:gridCol w:w="109"/>
        <w:gridCol w:w="243"/>
        <w:gridCol w:w="711"/>
        <w:gridCol w:w="127"/>
        <w:gridCol w:w="109"/>
        <w:gridCol w:w="109"/>
        <w:gridCol w:w="109"/>
        <w:gridCol w:w="497"/>
        <w:gridCol w:w="1245"/>
        <w:gridCol w:w="260"/>
        <w:gridCol w:w="109"/>
        <w:gridCol w:w="109"/>
        <w:gridCol w:w="109"/>
        <w:gridCol w:w="211"/>
        <w:gridCol w:w="673"/>
        <w:gridCol w:w="159"/>
      </w:tblGrid>
      <w:tr>
        <w:trPr/>
        <w:tc>
          <w:tcPr>
            <w:tcW w:w="70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2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Derivatives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Minimum Pension Liability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2020</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(402.3)</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2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2021</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(320.3)</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6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(234.7)</w:t>
            </w:r>
          </w:p>
        </w:tc>
        <w:tc>
          <w:tcPr>
            <w:tcW w:w="3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107.4 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36.6 </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(90.7)</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2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2022</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(555.0)</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6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vAlign w:val="center"/>
          </w:tcPr>
          <w:p>
            <w:pPr>
              <w:pStyle w:val="TableContents"/>
              <w:bidi w:val="0"/>
              <w:spacing w:before="0" w:after="283"/>
              <w:jc w:val="left"/>
              <w:rPr>
                <w:sz w:val="4"/>
                <w:szCs w:val="4"/>
              </w:rPr>
            </w:pPr>
            <w:r>
              <w:rPr>
                <w:sz w:val="4"/>
                <w:szCs w:val="4"/>
              </w:rPr>
            </w:r>
          </w:p>
        </w:tc>
        <w:tc>
          <w:tcPr>
            <w:tcW w:w="2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(538.0)</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Times New Roman;sans-serif" w:hAnsi="Times New Roman;sans-serif"/>
          <w:b/>
          <w:color w:val="000000"/>
          <w:sz w:val="19"/>
        </w:rPr>
      </w:pPr>
      <w:r>
        <w:rPr>
          <w:rFonts w:ascii="Times New Roman;sans-serif" w:hAnsi="Times New Roman;sans-serif"/>
          <w:b/>
          <w:color w:val="000000"/>
          <w:sz w:val="19"/>
        </w:rPr>
        <w:t xml:space="preserve">Share Repurchases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December 2011, the Company's Board of Directors authorized the 2012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Program are subject to a review of the circumstances in place at the time and may be made from time to time as permitted by securities laws and other legal requirements. As of October 31, 2023, $256.4 million remained authorized for repurchase under the program.</w:t>
      </w:r>
    </w:p>
    <w:p>
      <w:pPr>
        <w:pStyle w:val="TextBody"/>
        <w:bidi w:val="0"/>
        <w:spacing w:lineRule="auto" w:line="288" w:before="180" w:after="283"/>
        <w:jc w:val="left"/>
        <w:rPr/>
      </w:pPr>
      <w:r>
        <w:rPr>
          <w:rFonts w:ascii="Times New Roman;sans-serif" w:hAnsi="Times New Roman;sans-serif"/>
          <w:b w:val="false"/>
          <w:color w:val="000000"/>
          <w:sz w:val="19"/>
        </w:rPr>
        <w:t>During the year ended October 31, 2023, there were no share repurchases under the 2012 Program. During the year ended October 31, 2022, the Company repurchased 191.2 thousand</w:t>
      </w:r>
      <w:r>
        <w:rPr>
          <w:color w:val="000000"/>
          <w:shd w:fill="FFFFFF" w:val="clear"/>
        </w:rPr>
        <w:t xml:space="preserve"> </w:t>
      </w:r>
      <w:r>
        <w:rPr>
          <w:rFonts w:ascii="Times New Roman;sans-serif" w:hAnsi="Times New Roman;sans-serif"/>
          <w:b w:val="false"/>
          <w:color w:val="000000"/>
          <w:sz w:val="19"/>
        </w:rPr>
        <w:t xml:space="preserve">shares of its common stock for $78.5 million, at an average purchase price of $410.41 per share.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Dividends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fiscal 2023 and 2022, the Company declared regular dividends of 6 cents per share (a semiannual dividend of 3 cents per share) and paid a total of $3.0 million in each fiscal year. In December 2023, our Board of Directors decided to end the declaration of the semiannual dividend.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Subsequent Event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December 7, 2023, we announced that our Board of Directors had approved a four-for-one stock split of our outstanding shares of common stock which we expect to be effected as of February 16,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Note 9. Stock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2007 Long-Term Incentive Plan (2007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March 2007, we received stockholder approval of the 2007 Plan. The 2007 Plan was subsequently amended and restated, and granted stockholder approval in March 2009, March 2011, and March 2016.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Third Amended and Restated 2007 Plan authorizes either our Board of Directors, or a designated committee thereof composed of two or more Non-Employee Directors, to grant to eligible individuals during the period ending December 31, 2026, up to 6,930,000 shares in the form of specified equity awards including stock options, restricted stock units and performance share awards. RSUs have no dividend or voting rights prior to vesting. Awards under the 2007 Plan remain outstanding but new awards are no longer being granted.</w:t>
      </w:r>
    </w:p>
    <w:p>
      <w:pPr>
        <w:pStyle w:val="TextBody"/>
        <w:bidi w:val="0"/>
        <w:spacing w:lineRule="auto" w:line="288" w:before="280" w:after="283"/>
        <w:jc w:val="left"/>
        <w:rPr>
          <w:rFonts w:ascii="Times New Roman;sans-serif" w:hAnsi="Times New Roman;sans-serif"/>
          <w:b/>
          <w:color w:val="000000"/>
          <w:sz w:val="19"/>
        </w:rPr>
      </w:pPr>
      <w:r>
        <w:rPr>
          <w:rFonts w:ascii="Times New Roman;sans-serif" w:hAnsi="Times New Roman;sans-serif"/>
          <w:b/>
          <w:color w:val="000000"/>
          <w:sz w:val="19"/>
        </w:rPr>
        <w:t>2023 Long-Term Incentive Plan (2023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March 2023, we received stockholder approval of the 2023 Plan. The 2023 Plan authorizes either our Board of Directors, or a designated committee thereof composed of two or more Non-Employee Directors, to grant to eligible individuals up to 1,365,000 shares in the form of specified equity awards including stock options, restricted stock units (RSUs) and performance share units (PSUs), subject to adjustment for future stock splits, stock dividends, expirations, forfeitures, and similar events. In addition, the 2023 Plan includes any shares which were available for issuance under the 2007 Plan at the time of stockholder approval of this plan and shares which become available as a result of the forfeiture or expiration of awards made under the 2007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of October 31, 2023, 1,376,240 shares remained available under the 2023 Plan for future grants. The amount of available shares includes shares which may be distributed under performance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Share-Based Compensation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compensation expense and related income tax benefit recognized in our Consolidated Statements of Income for share-based awards, including the Employee Stock Purchase Plan, were as follows:</w:t>
      </w:r>
    </w:p>
    <w:tbl>
      <w:tblPr>
        <w:tblW w:w="6852" w:type="dxa"/>
        <w:jc w:val="left"/>
        <w:tblInd w:w="0" w:type="dxa"/>
        <w:tblLayout w:type="fixed"/>
        <w:tblCellMar>
          <w:top w:w="28" w:type="dxa"/>
          <w:left w:w="28" w:type="dxa"/>
          <w:bottom w:w="28" w:type="dxa"/>
          <w:right w:w="28" w:type="dxa"/>
        </w:tblCellMar>
      </w:tblPr>
      <w:tblGrid>
        <w:gridCol w:w="1327"/>
        <w:gridCol w:w="1162"/>
        <w:gridCol w:w="1171"/>
        <w:gridCol w:w="211"/>
        <w:gridCol w:w="511"/>
        <w:gridCol w:w="109"/>
        <w:gridCol w:w="109"/>
        <w:gridCol w:w="109"/>
        <w:gridCol w:w="109"/>
        <w:gridCol w:w="211"/>
        <w:gridCol w:w="511"/>
        <w:gridCol w:w="109"/>
        <w:gridCol w:w="109"/>
        <w:gridCol w:w="109"/>
        <w:gridCol w:w="109"/>
        <w:gridCol w:w="211"/>
        <w:gridCol w:w="51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October 31,</w:t>
            </w:r>
          </w:p>
        </w:tc>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income tax benefit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19"/>
        </w:rPr>
      </w:pPr>
      <w:r>
        <w:rPr>
          <w:rFonts w:ascii="Times New Roman;sans-serif" w:hAnsi="Times New Roman;sans-serif"/>
          <w:b/>
          <w:color w:val="000000"/>
          <w:sz w:val="19"/>
        </w:rPr>
        <w:t xml:space="preserve">Stock Options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fair value of each stock option award granted is estimated on the date of grant using the Black-Scholes option valuation model and assumptions noted in the following table. </w:t>
      </w:r>
    </w:p>
    <w:tbl>
      <w:tblPr>
        <w:tblW w:w="5855" w:type="dxa"/>
        <w:jc w:val="center"/>
        <w:tblInd w:w="0" w:type="dxa"/>
        <w:tblLayout w:type="fixed"/>
        <w:tblCellMar>
          <w:top w:w="28" w:type="dxa"/>
          <w:left w:w="28" w:type="dxa"/>
          <w:bottom w:w="28" w:type="dxa"/>
          <w:right w:w="28" w:type="dxa"/>
        </w:tblCellMar>
      </w:tblPr>
      <w:tblGrid>
        <w:gridCol w:w="809"/>
        <w:gridCol w:w="711"/>
        <w:gridCol w:w="715"/>
        <w:gridCol w:w="255"/>
        <w:gridCol w:w="256"/>
        <w:gridCol w:w="458"/>
        <w:gridCol w:w="109"/>
        <w:gridCol w:w="109"/>
        <w:gridCol w:w="109"/>
        <w:gridCol w:w="255"/>
        <w:gridCol w:w="256"/>
        <w:gridCol w:w="458"/>
        <w:gridCol w:w="109"/>
        <w:gridCol w:w="109"/>
        <w:gridCol w:w="109"/>
        <w:gridCol w:w="255"/>
        <w:gridCol w:w="256"/>
        <w:gridCol w:w="517"/>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Years Ended October 31,</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life</w:t>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years</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25.8 </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0.02 </w:t>
            </w:r>
          </w:p>
        </w:tc>
        <w:tc>
          <w:tcPr>
            <w:tcW w:w="4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The activity and status of our stock option plans are summarized below: </w:t>
      </w:r>
    </w:p>
    <w:tbl>
      <w:tblPr>
        <w:tblW w:w="10205" w:type="dxa"/>
        <w:jc w:val="center"/>
        <w:tblInd w:w="0" w:type="dxa"/>
        <w:tblLayout w:type="fixed"/>
        <w:tblCellMar>
          <w:top w:w="28" w:type="dxa"/>
          <w:left w:w="28" w:type="dxa"/>
          <w:bottom w:w="28" w:type="dxa"/>
          <w:right w:w="28" w:type="dxa"/>
        </w:tblCellMar>
      </w:tblPr>
      <w:tblGrid>
        <w:gridCol w:w="1451"/>
        <w:gridCol w:w="1273"/>
        <w:gridCol w:w="1280"/>
        <w:gridCol w:w="488"/>
        <w:gridCol w:w="488"/>
        <w:gridCol w:w="335"/>
        <w:gridCol w:w="109"/>
        <w:gridCol w:w="109"/>
        <w:gridCol w:w="109"/>
        <w:gridCol w:w="270"/>
        <w:gridCol w:w="925"/>
        <w:gridCol w:w="141"/>
        <w:gridCol w:w="109"/>
        <w:gridCol w:w="109"/>
        <w:gridCol w:w="109"/>
        <w:gridCol w:w="375"/>
        <w:gridCol w:w="375"/>
        <w:gridCol w:w="376"/>
        <w:gridCol w:w="109"/>
        <w:gridCol w:w="109"/>
        <w:gridCol w:w="109"/>
        <w:gridCol w:w="211"/>
        <w:gridCol w:w="1081"/>
        <w:gridCol w:w="155"/>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Aggregate</w:t>
              <w:br/>
              <w:t>Intrinsic Value</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Outstanding at October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1,063,843 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264.85 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86,241 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(71,808)</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Forfeited or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Outstanding at October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1,077,556 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277.29 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53,510,367 </w:t>
            </w:r>
          </w:p>
        </w:tc>
        <w:tc>
          <w:tcPr>
            <w:tcW w:w="155" w:type="dxa"/>
            <w:tcBorders>
              <w:top w:val="doub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Vested and expected to vest at October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1,059,841 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53,475,275 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Vested and exercisable at October 31, 2023</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729,591 </w:t>
            </w:r>
          </w:p>
        </w:tc>
        <w:tc>
          <w:tcPr>
            <w:tcW w:w="3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50,797,891 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The weighted-average fair value of options granted during fiscal </w:t>
      </w:r>
      <w:r>
        <w:rPr>
          <w:rFonts w:ascii="Times New Roman;sans-serif" w:hAnsi="Times New Roman;sans-serif"/>
          <w:b w:val="false"/>
          <w:color w:val="000000"/>
          <w:sz w:val="20"/>
        </w:rPr>
        <w:t>2023</w:t>
      </w:r>
      <w:r>
        <w:rPr>
          <w:rFonts w:ascii="Times New Roman;sans-serif" w:hAnsi="Times New Roman;sans-serif"/>
          <w:b w:val="false"/>
          <w:color w:val="000000"/>
          <w:sz w:val="19"/>
        </w:rPr>
        <w:t xml:space="preserve">,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9"/>
        </w:rPr>
        <w:t xml:space="preserve">and </w:t>
      </w:r>
      <w:r>
        <w:rPr>
          <w:rFonts w:ascii="Times New Roman;sans-serif" w:hAnsi="Times New Roman;sans-serif"/>
          <w:b w:val="false"/>
          <w:color w:val="000000"/>
          <w:sz w:val="20"/>
        </w:rPr>
        <w:t>2021</w:t>
      </w:r>
      <w:r>
        <w:rPr>
          <w:rFonts w:ascii="Times New Roman;sans-serif" w:hAnsi="Times New Roman;sans-serif"/>
          <w:b w:val="false"/>
          <w:color w:val="000000"/>
          <w:sz w:val="19"/>
        </w:rPr>
        <w:t xml:space="preserve">, estimated as of the grant date using the Black-Scholes option pricing model, was $103.17, $90.41 and $84.10, respectively. The total intrinsic value of options exercised during the fiscal years ended October 31, 2023,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9"/>
        </w:rPr>
        <w:t xml:space="preserve">and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color w:val="000000"/>
          <w:sz w:val="19"/>
        </w:rPr>
        <w:t>was $13.4 million, $6.6 million and $64.7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 options outstanding under our current plans have been granted at prices which are either equal to or above the market value of the common stock on the date of grant. Options granted under the 2007 Plan and 2023 Plan generally vest over a range of three to five years based on service conditions and expire no later than ten years after the grant date. We generally recognize compensation expense ratably over the vesting period. As of October 31, 2023, there was $17.6 million of total unrecognized compensation cost related to nonvested options, which is expected to be recognized over a remaining weighted-average vesting period of 2.1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Restricted Stock Units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19"/>
        </w:rPr>
        <w:t xml:space="preserve">RSUs granted under the 2007 Plan and the 2023 Plan generally vest over three to five years. The grant-date fair value of RSUs is estimated based on the market price of our common stock. We recognize compensation expense ratably over the vesting period. As of October 31, 2023, there was $63.1 million of total unrecognized compensation cost related to nonvested RSUs, which is expected to be recognized over a remaining weighted-average vesting period of 2.4 years. The total fair value of RSU grants that vested during the fiscal years ended October 31, 2023, </w:t>
      </w:r>
      <w:r>
        <w:rPr>
          <w:rFonts w:ascii="Times New Roman;sans-serif" w:hAnsi="Times New Roman;sans-serif"/>
          <w:b w:val="false"/>
          <w:color w:val="000000"/>
          <w:sz w:val="20"/>
        </w:rPr>
        <w:t>2022</w:t>
      </w:r>
      <w:r>
        <w:rPr>
          <w:color w:val="000000"/>
        </w:rPr>
        <w:t xml:space="preserve"> </w:t>
      </w:r>
      <w:r>
        <w:rPr>
          <w:rFonts w:ascii="Times New Roman;sans-serif" w:hAnsi="Times New Roman;sans-serif"/>
          <w:b w:val="false"/>
          <w:color w:val="000000"/>
          <w:sz w:val="19"/>
        </w:rPr>
        <w:t xml:space="preserve">and </w:t>
      </w:r>
      <w:r>
        <w:rPr>
          <w:rFonts w:ascii="Times New Roman;sans-serif" w:hAnsi="Times New Roman;sans-serif"/>
          <w:b w:val="false"/>
          <w:color w:val="000000"/>
          <w:sz w:val="20"/>
        </w:rPr>
        <w:t>2021</w:t>
      </w:r>
      <w:r>
        <w:rPr>
          <w:color w:val="000000"/>
        </w:rPr>
        <w:t xml:space="preserve"> </w:t>
      </w:r>
      <w:r>
        <w:rPr>
          <w:rFonts w:ascii="Times New Roman;sans-serif" w:hAnsi="Times New Roman;sans-serif"/>
          <w:b w:val="false"/>
          <w:color w:val="000000"/>
          <w:sz w:val="19"/>
        </w:rPr>
        <w:t>was $37.3 million, $46.1 million and $50.1 million,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status of our non-vested RSUs is summarized below:</w:t>
      </w:r>
    </w:p>
    <w:tbl>
      <w:tblPr>
        <w:tblW w:w="6289" w:type="dxa"/>
        <w:jc w:val="center"/>
        <w:tblInd w:w="0" w:type="dxa"/>
        <w:tblLayout w:type="fixed"/>
        <w:tblCellMar>
          <w:top w:w="28" w:type="dxa"/>
          <w:left w:w="28" w:type="dxa"/>
          <w:bottom w:w="28" w:type="dxa"/>
          <w:right w:w="28" w:type="dxa"/>
        </w:tblCellMar>
      </w:tblPr>
      <w:tblGrid>
        <w:gridCol w:w="1157"/>
        <w:gridCol w:w="1016"/>
        <w:gridCol w:w="1022"/>
        <w:gridCol w:w="449"/>
        <w:gridCol w:w="451"/>
        <w:gridCol w:w="336"/>
        <w:gridCol w:w="109"/>
        <w:gridCol w:w="109"/>
        <w:gridCol w:w="109"/>
        <w:gridCol w:w="297"/>
        <w:gridCol w:w="1016"/>
        <w:gridCol w:w="218"/>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Number of</w:t>
              <w:br/>
              <w:t>Shares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Weighted-</w:t>
              <w:br/>
              <w:t>Average</w:t>
              <w:br/>
              <w:t>Grant Date Fair</w:t>
              <w:br/>
              <w:t>Value Per Share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Non-vested RSUs at October 31, 2022</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289,238 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340.68 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145,655 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335.32 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Vested and issued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(107,403)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320.22 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Forfeited or expired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(37,461)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344.72 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Non-vested RSUs at October 31, 2023</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290,029 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Performance Units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Performance units may be granted to selected key employees with vesting contingent upon meeting certain performance goals over a defined performance cycle, usually three years. Performance units, if earned, may be paid in cash or shares of common stock. We granted performance unit awards on December 13, 2022, December 7, 2021, and December 8, 2020, under the 2007 Plan, with three-year performance periods ending in fiscal 2025, fiscal 2024, and fiscal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color w:val="000000"/>
          <w:sz w:val="19"/>
        </w:rPr>
        <w:t>respectively. The performance shares actually earned will range from zero to 200% of the target number of performance shares. Subject to limited exceptions set forth in the performance share agreement, any shares earned will be distributed in the subsequent fiscal year after the performance period. The fair value of performance unit awards is estimated on the date of grant based on the current market price of our common stock. The amount of compensation expense related to these performance unit awards is reviewed each fiscal quarter and adjustments are recorded after assessing the probability of achieving the performance goals.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recognize compensation expense ratably over the vesting period. As of October 31, 2023, there was $12.3 million of total unrecognized compensation cost related to non-vested performance units, which is expected to be recognized over a remaining weighted-average vesting period of 1.7 years.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Employee Stock Purchase Plan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The ESPP initially authorized the issuance of </w:t>
      </w:r>
      <w:r>
        <w:rPr>
          <w:rFonts w:ascii="Times New Roman;sans-serif" w:hAnsi="Times New Roman;sans-serif"/>
          <w:b w:val="false"/>
          <w:color w:val="000000"/>
          <w:sz w:val="19"/>
          <w:shd w:fill="FFFFFF" w:val="clear"/>
        </w:rPr>
        <w:t>1,000,000</w:t>
      </w:r>
      <w:r>
        <w:rPr>
          <w:color w:val="000000"/>
        </w:rPr>
        <w:t xml:space="preserve"> </w:t>
      </w:r>
      <w:r>
        <w:rPr>
          <w:rFonts w:ascii="Times New Roman;sans-serif" w:hAnsi="Times New Roman;sans-serif"/>
          <w:b w:val="false"/>
          <w:color w:val="000000"/>
          <w:sz w:val="19"/>
        </w:rPr>
        <w:t xml:space="preserve">shares of common stock. These shares will be made available from shares of common stock reacquired by the Company as Treasury Stock. During fiscal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color w:val="000000"/>
          <w:sz w:val="19"/>
        </w:rPr>
        <w:t xml:space="preserve">and 2022, we issued 26,116 and 22,695 shares to our employees under the ESPP, respectively. At October 31, 2023, the number of shares remaining available for future issuance under the ESPP was 921,975 shares. Total ESPP share-based compensation recognized during fiscal </w:t>
      </w:r>
      <w:r>
        <w:rPr>
          <w:rFonts w:ascii="Times New Roman;sans-serif" w:hAnsi="Times New Roman;sans-serif"/>
          <w:b w:val="false"/>
          <w:color w:val="000000"/>
          <w:sz w:val="20"/>
        </w:rPr>
        <w:t>2023</w:t>
      </w:r>
      <w:r>
        <w:rPr>
          <w:color w:val="000000"/>
        </w:rPr>
        <w:t xml:space="preserve"> </w:t>
      </w:r>
      <w:r>
        <w:rPr>
          <w:rFonts w:ascii="Times New Roman;sans-serif" w:hAnsi="Times New Roman;sans-serif"/>
          <w:b w:val="false"/>
          <w:color w:val="000000"/>
          <w:sz w:val="19"/>
        </w:rPr>
        <w:t>and 2022 was $1.3 million and $1.1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Note 10. Employee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Cooper's Retirement Income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Company's Retirement Income Plan (Plan), a defined benefit plan, is only available to full-time United States employees, subject to the soft freeze mentioned below.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uses individual spot rates along the yield curve that correspond with the timing of each benefit payment to determine the service and interest costs of components of its net periodic benefit cost utilizing the correlation of projected cash outflows and corresponding spot rates on the yield curve.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sets forth the Plan's benefit obligations and fair value of the Plan assets at October 31, 2023, 2022 and 2021 and the funded status of the Plan and net periodic pension costs for each of the years in the three-year periods ended October 31, 2023. The net amounts recognized in the Consolidated Balance Sheets consist of noncurrent liabilities. The accumulated benefit obligation was $131.5 million, $134.9 million and $207.6 million for the years ended October 31, 2023, 2022 and 2021.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Retirement Income Plan</w:t>
      </w:r>
    </w:p>
    <w:tbl>
      <w:tblPr>
        <w:tblW w:w="7092" w:type="dxa"/>
        <w:jc w:val="center"/>
        <w:tblInd w:w="0" w:type="dxa"/>
        <w:tblLayout w:type="fixed"/>
        <w:tblCellMar>
          <w:top w:w="28" w:type="dxa"/>
          <w:left w:w="28" w:type="dxa"/>
          <w:bottom w:w="28" w:type="dxa"/>
          <w:right w:w="28" w:type="dxa"/>
        </w:tblCellMar>
      </w:tblPr>
      <w:tblGrid>
        <w:gridCol w:w="1298"/>
        <w:gridCol w:w="1142"/>
        <w:gridCol w:w="1145"/>
        <w:gridCol w:w="211"/>
        <w:gridCol w:w="616"/>
        <w:gridCol w:w="109"/>
        <w:gridCol w:w="109"/>
        <w:gridCol w:w="109"/>
        <w:gridCol w:w="109"/>
        <w:gridCol w:w="211"/>
        <w:gridCol w:w="616"/>
        <w:gridCol w:w="109"/>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 in benefit obligation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Benefit obligation, beginning of year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Benefits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Actuarial (gain)/loss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Benefit obligation,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 in plan assets</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 value of plan assets,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Actual return on plan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Employer contributions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Benefits 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 value of plan assets,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Funded status at end of year</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521" w:type="dxa"/>
        <w:jc w:val="center"/>
        <w:tblInd w:w="0" w:type="dxa"/>
        <w:tblLayout w:type="fixed"/>
        <w:tblCellMar>
          <w:top w:w="28" w:type="dxa"/>
          <w:left w:w="28" w:type="dxa"/>
          <w:bottom w:w="28" w:type="dxa"/>
          <w:right w:w="28" w:type="dxa"/>
        </w:tblCellMar>
      </w:tblPr>
      <w:tblGrid>
        <w:gridCol w:w="2367"/>
        <w:gridCol w:w="2083"/>
        <w:gridCol w:w="2089"/>
        <w:gridCol w:w="211"/>
        <w:gridCol w:w="406"/>
        <w:gridCol w:w="109"/>
        <w:gridCol w:w="109"/>
        <w:gridCol w:w="109"/>
        <w:gridCol w:w="109"/>
        <w:gridCol w:w="211"/>
        <w:gridCol w:w="406"/>
        <w:gridCol w:w="109"/>
        <w:gridCol w:w="109"/>
        <w:gridCol w:w="109"/>
        <w:gridCol w:w="109"/>
        <w:gridCol w:w="211"/>
        <w:gridCol w:w="511"/>
        <w:gridCol w:w="154"/>
      </w:tblGrid>
      <w:tr>
        <w:trPr/>
        <w:tc>
          <w:tcPr>
            <w:tcW w:w="236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Amounts recognized in accumulated other comprehensive income consist of:</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7"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tbl>
      <w:tblPr>
        <w:tblW w:w="7811" w:type="dxa"/>
        <w:jc w:val="center"/>
        <w:tblInd w:w="0" w:type="dxa"/>
        <w:tblLayout w:type="fixed"/>
        <w:tblCellMar>
          <w:top w:w="28" w:type="dxa"/>
          <w:left w:w="28" w:type="dxa"/>
          <w:bottom w:w="28" w:type="dxa"/>
          <w:right w:w="28" w:type="dxa"/>
        </w:tblCellMar>
      </w:tblPr>
      <w:tblGrid>
        <w:gridCol w:w="1629"/>
        <w:gridCol w:w="1433"/>
        <w:gridCol w:w="1437"/>
        <w:gridCol w:w="211"/>
        <w:gridCol w:w="481"/>
        <w:gridCol w:w="109"/>
        <w:gridCol w:w="109"/>
        <w:gridCol w:w="109"/>
        <w:gridCol w:w="109"/>
        <w:gridCol w:w="211"/>
        <w:gridCol w:w="586"/>
        <w:gridCol w:w="109"/>
        <w:gridCol w:w="109"/>
        <w:gridCol w:w="109"/>
        <w:gridCol w:w="109"/>
        <w:gridCol w:w="211"/>
        <w:gridCol w:w="58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(prepaid) accrued pension cost: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(Prepaid)/Accrued pension cost at prior fiscal year end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periodic benefit cost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Contributions made during the year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(Prepaid)/Accrued pension cost at fiscal year end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1"/>
        <w:gridCol w:w="2222"/>
        <w:gridCol w:w="2228"/>
        <w:gridCol w:w="211"/>
        <w:gridCol w:w="511"/>
        <w:gridCol w:w="109"/>
        <w:gridCol w:w="109"/>
        <w:gridCol w:w="109"/>
        <w:gridCol w:w="109"/>
        <w:gridCol w:w="211"/>
        <w:gridCol w:w="511"/>
        <w:gridCol w:w="109"/>
        <w:gridCol w:w="109"/>
        <w:gridCol w:w="109"/>
        <w:gridCol w:w="109"/>
        <w:gridCol w:w="211"/>
        <w:gridCol w:w="511"/>
        <w:gridCol w:w="156"/>
      </w:tblGrid>
      <w:tr>
        <w:trPr/>
        <w:tc>
          <w:tcPr>
            <w:tcW w:w="2561"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net periodic benefit cost and other amounts recognized in the Consolidated Statements of Income: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periodic benefit cost: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Recognized actuarial loss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periodic pension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40"/>
        <w:gridCol w:w="2189"/>
        <w:gridCol w:w="2195"/>
        <w:gridCol w:w="211"/>
        <w:gridCol w:w="469"/>
        <w:gridCol w:w="109"/>
        <w:gridCol w:w="109"/>
        <w:gridCol w:w="109"/>
        <w:gridCol w:w="109"/>
        <w:gridCol w:w="211"/>
        <w:gridCol w:w="574"/>
        <w:gridCol w:w="109"/>
        <w:gridCol w:w="109"/>
        <w:gridCol w:w="109"/>
        <w:gridCol w:w="109"/>
        <w:gridCol w:w="211"/>
        <w:gridCol w:w="574"/>
        <w:gridCol w:w="159"/>
      </w:tblGrid>
      <w:tr>
        <w:trPr/>
        <w:tc>
          <w:tcPr>
            <w:tcW w:w="254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 Ended October 31,</w:t>
              <w:br/>
            </w:r>
            <w:r>
              <w:rPr>
                <w:rFonts w:ascii="Times New Roman;sans-serif" w:hAnsi="Times New Roman;sans-serif"/>
                <w:b/>
                <w:color w:val="000000"/>
                <w:sz w:val="19"/>
                <w:u w:val="single"/>
              </w:rPr>
              <w:t>(In millions)</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9"/>
              </w:rPr>
            </w:pPr>
            <w:r>
              <w:rPr>
                <w:rFonts w:ascii="Times New Roman;sans-serif" w:hAnsi="Times New Roman;sans-serif"/>
                <w:b/>
                <w:color w:val="000000"/>
                <w:sz w:val="19"/>
              </w:rPr>
              <w:t>Other changes in plan assets and benefit obligations recognized in other comprehensive income:</w:t>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(gain)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Amortizations of net gain</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recognized in other comprehensive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(29.8)</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recognized in net periodic benefit cost and other comprehensive (income) loss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96"/>
        <w:gridCol w:w="2115"/>
        <w:gridCol w:w="2042"/>
        <w:gridCol w:w="301"/>
        <w:gridCol w:w="302"/>
        <w:gridCol w:w="345"/>
        <w:gridCol w:w="109"/>
        <w:gridCol w:w="109"/>
        <w:gridCol w:w="109"/>
        <w:gridCol w:w="301"/>
        <w:gridCol w:w="302"/>
        <w:gridCol w:w="345"/>
        <w:gridCol w:w="109"/>
        <w:gridCol w:w="109"/>
        <w:gridCol w:w="109"/>
        <w:gridCol w:w="298"/>
        <w:gridCol w:w="299"/>
        <w:gridCol w:w="405"/>
      </w:tblGrid>
      <w:tr>
        <w:trPr/>
        <w:tc>
          <w:tcPr>
            <w:tcW w:w="2496"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6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Years Ended October 31,</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6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Weighted-average assumptions used in computing the net periodic pension cost and projected benefit obligation at year end:</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Discount rate for determining net periodic pension cost:</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Projected Benefit Obligation</w:t>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5.74 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Service Cost</w:t>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5.77 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Cost</w:t>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5.51 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Discount rate for determining benefit obligations at year end</w:t>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5.74 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Rate of compensation increase for determining expense</w:t>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Rate of compensation increase for determining benefit obligations at year end</w:t>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3.60 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rate of return on plan assets for determining net periodic pension cost</w:t>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Expected rate of return on plan assets at year end</w:t>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3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8.00 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Measurement date for determining assets and benefit obligations at year end</w:t>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10/31/2021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discount rate enables us to state expected future cash flows at a present value on the measurement date. The discount rate used for the Plan is based primarily on the yields of a universe of high-quality corporate bonds rated AA or above, with durations corresponding to the expected durations of the benefit obligations. A change in the discount rate will cause the present value of benefit obligations to change in the opposite direction.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19"/>
        </w:rPr>
        <w:t>Reasons for Significant Liability Gains and Losses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projected benefit obligation experienced a net gain of approximately $10.9 million during the year. This net gain is the result of assumption changes resulting in a gain of approximately $12.9 million, offset by losses of approximately $2.0 million due to demographic experience. The key assumption changes were the increase in the discount rate (gain of $7.8 million), a changes in assumptions for lump sum determination (gain of $5.1 million). Demographic losses were due to the net effect of retirement rates, termination rates, salary increases and other experience that was different from assumed.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Plan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Weighted-average asset allocations at year end, by asset category are as follows:</w:t>
      </w:r>
    </w:p>
    <w:tbl>
      <w:tblPr>
        <w:tblW w:w="5689" w:type="dxa"/>
        <w:jc w:val="center"/>
        <w:tblInd w:w="0" w:type="dxa"/>
        <w:tblLayout w:type="fixed"/>
        <w:tblCellMar>
          <w:top w:w="28" w:type="dxa"/>
          <w:left w:w="28" w:type="dxa"/>
          <w:bottom w:w="28" w:type="dxa"/>
          <w:right w:w="28" w:type="dxa"/>
        </w:tblCellMar>
      </w:tblPr>
      <w:tblGrid>
        <w:gridCol w:w="820"/>
        <w:gridCol w:w="720"/>
        <w:gridCol w:w="724"/>
        <w:gridCol w:w="307"/>
        <w:gridCol w:w="309"/>
        <w:gridCol w:w="292"/>
        <w:gridCol w:w="109"/>
        <w:gridCol w:w="109"/>
        <w:gridCol w:w="109"/>
        <w:gridCol w:w="307"/>
        <w:gridCol w:w="309"/>
        <w:gridCol w:w="292"/>
        <w:gridCol w:w="109"/>
        <w:gridCol w:w="109"/>
        <w:gridCol w:w="109"/>
        <w:gridCol w:w="307"/>
        <w:gridCol w:w="309"/>
        <w:gridCol w:w="33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Years Ended October 31,</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 category</w:t>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mutual funds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32.8 </w:t>
            </w:r>
          </w:p>
        </w:tc>
        <w:tc>
          <w:tcPr>
            <w:tcW w:w="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 funds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Alternative investments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Bond mutual funds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3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hedging strategy funds and cash. Presently, this diversified portfolio is expected to return roughly 8% in the long run.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As of the measurement date of October 31, 2023, the fair value measurement of plan assets is as follows:</w:t>
      </w:r>
    </w:p>
    <w:tbl>
      <w:tblPr>
        <w:tblW w:w="7995" w:type="dxa"/>
        <w:jc w:val="center"/>
        <w:tblInd w:w="0" w:type="dxa"/>
        <w:tblLayout w:type="fixed"/>
        <w:tblCellMar>
          <w:top w:w="28" w:type="dxa"/>
          <w:left w:w="28" w:type="dxa"/>
          <w:bottom w:w="28" w:type="dxa"/>
          <w:right w:w="28" w:type="dxa"/>
        </w:tblCellMar>
      </w:tblPr>
      <w:tblGrid>
        <w:gridCol w:w="822"/>
        <w:gridCol w:w="720"/>
        <w:gridCol w:w="723"/>
        <w:gridCol w:w="211"/>
        <w:gridCol w:w="616"/>
        <w:gridCol w:w="109"/>
        <w:gridCol w:w="109"/>
        <w:gridCol w:w="109"/>
        <w:gridCol w:w="109"/>
        <w:gridCol w:w="318"/>
        <w:gridCol w:w="928"/>
        <w:gridCol w:w="165"/>
        <w:gridCol w:w="109"/>
        <w:gridCol w:w="109"/>
        <w:gridCol w:w="109"/>
        <w:gridCol w:w="274"/>
        <w:gridCol w:w="664"/>
        <w:gridCol w:w="143"/>
        <w:gridCol w:w="109"/>
        <w:gridCol w:w="109"/>
        <w:gridCol w:w="109"/>
        <w:gridCol w:w="361"/>
        <w:gridCol w:w="695"/>
        <w:gridCol w:w="265"/>
      </w:tblGrid>
      <w:tr>
        <w:trPr/>
        <w:tc>
          <w:tcPr>
            <w:tcW w:w="82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Quoted Prices</w:t>
              <w:br/>
              <w:t>in Active</w:t>
              <w:br/>
              <w:t>Markets for</w:t>
              <w:br/>
              <w:t>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Significant</w:t>
              <w:br/>
              <w:t>Observable</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Significant</w:t>
              <w:br/>
              <w:t>Unobservable</w:t>
              <w:br/>
              <w:t>Inputs</w:t>
              <w:br/>
              <w:t>(Level 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mutual funds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Balanced 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Alternative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Fixed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Plan has an established process for determining the fair value of plan assets. For investments in equity and bond mutual funds, and real estate funds, fair value is based on observable, Level 1 inputs.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Plan Cash Flows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Contributions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made $1.1 million and no contributions to the Plan in fiscal 2023 and fiscal 2022, respectively. The Company contribution to the Plan was $12.7 million for fiscal 2021. The Company closely monitors the funded status of the Plan with respect to legislative and accounting rules. The Company expected to make contributions totaling $1.1 million to the Plan during fiscal 2024.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Estimated Future Benefit Payments</w:t>
      </w:r>
    </w:p>
    <w:tbl>
      <w:tblPr>
        <w:tblW w:w="2031" w:type="dxa"/>
        <w:jc w:val="center"/>
        <w:tblInd w:w="0" w:type="dxa"/>
        <w:tblLayout w:type="fixed"/>
        <w:tblCellMar>
          <w:top w:w="28" w:type="dxa"/>
          <w:left w:w="28" w:type="dxa"/>
          <w:bottom w:w="28" w:type="dxa"/>
          <w:right w:w="28" w:type="dxa"/>
        </w:tblCellMar>
      </w:tblPr>
      <w:tblGrid>
        <w:gridCol w:w="419"/>
        <w:gridCol w:w="367"/>
        <w:gridCol w:w="369"/>
        <w:gridCol w:w="211"/>
        <w:gridCol w:w="511"/>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9"/>
              </w:rPr>
              <w:t>Years</w:t>
              <w:br/>
            </w:r>
            <w:r>
              <w:rPr>
                <w:rFonts w:ascii="Times New Roman;sans-serif" w:hAnsi="Times New Roman;sans-serif"/>
                <w:b/>
                <w:color w:val="000000"/>
                <w:sz w:val="19"/>
                <w:u w:val="single"/>
              </w:rPr>
              <w:t>(In millions)</w:t>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2027</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2029-2033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Plan Soft Freeze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Cooper's 401(k) Savings Plan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$10.1 million, $9.0 million and $7.2 million for the years ended October 31, 2023, 2022 and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Note 11. Contingencies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sans-serif" w:hAnsi="Times New Roman;sans-serif"/>
          <w:b w:val="false"/>
          <w:i/>
          <w:color w:val="000000"/>
          <w:sz w:val="19"/>
        </w:rPr>
        <w:t>Contingencies</w:t>
      </w:r>
      <w:r>
        <w:rPr>
          <w:rFonts w:ascii="Times New Roman;sans-serif" w:hAnsi="Times New Roman;sans-serif"/>
          <w:b w:val="false"/>
          <w:color w:val="000000"/>
          <w:sz w:val="19"/>
        </w:rPr>
        <w:t>. Legal fees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Note 12. Business Segment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discloses information about its operating segments, which were established based on the way that management organizes segments within the Company for making operating decisions and assessing financial performance. The Company's two operating segments are described below.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19"/>
        </w:rPr>
        <w:t xml:space="preserve">CooperVision. </w:t>
      </w:r>
      <w:r>
        <w:rPr>
          <w:rFonts w:ascii="Times New Roman;sans-serif" w:hAnsi="Times New Roman;sans-serif"/>
          <w:b w:val="false"/>
          <w:color w:val="000000"/>
          <w:sz w:val="19"/>
        </w:rPr>
        <w:t>Competes in the worldwide contact lens market by developing, manufacturing and marketing a broad range of products for contact lens wearers, featuring advanced materials and optics.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i/>
          <w:color w:val="000000"/>
          <w:sz w:val="19"/>
        </w:rPr>
        <w:t xml:space="preserve">CooperSurgical. </w:t>
      </w:r>
      <w:r>
        <w:rPr>
          <w:rFonts w:ascii="Times New Roman;sans-serif" w:hAnsi="Times New Roman;sans-serif"/>
          <w:b w:val="false"/>
          <w:color w:val="000000"/>
          <w:sz w:val="19"/>
        </w:rPr>
        <w:t>Competes in the general health care market with a focus on advancing the health of women, babies and families through a diversified portfolio of products and services focusing on women's health and fertility.</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uses operating income, as presented in our financial reports, as the primary measure of segment profitability. The Company does not allocate costs from corporate functions to segment operating income. The Company uses the same accounting policies to generate segment results as it does for consolidated results.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No customers accounted for 10% or more of our consolidated net revenue in fiscal 2023, 2022 and 2021.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Total identifiable assets are those used in continuing operations except cash and cash equivalents, which the Company includes as corporate assets.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presents a summary of our business segment net sales:</w:t>
      </w:r>
    </w:p>
    <w:tbl>
      <w:tblPr>
        <w:tblW w:w="7152" w:type="dxa"/>
        <w:jc w:val="left"/>
        <w:tblInd w:w="0" w:type="dxa"/>
        <w:tblLayout w:type="fixed"/>
        <w:tblCellMar>
          <w:top w:w="28" w:type="dxa"/>
          <w:left w:w="28" w:type="dxa"/>
          <w:bottom w:w="28" w:type="dxa"/>
          <w:right w:w="28" w:type="dxa"/>
        </w:tblCellMar>
      </w:tblPr>
      <w:tblGrid>
        <w:gridCol w:w="1158"/>
        <w:gridCol w:w="1016"/>
        <w:gridCol w:w="1021"/>
        <w:gridCol w:w="211"/>
        <w:gridCol w:w="766"/>
        <w:gridCol w:w="109"/>
        <w:gridCol w:w="109"/>
        <w:gridCol w:w="109"/>
        <w:gridCol w:w="109"/>
        <w:gridCol w:w="211"/>
        <w:gridCol w:w="766"/>
        <w:gridCol w:w="109"/>
        <w:gridCol w:w="109"/>
        <w:gridCol w:w="109"/>
        <w:gridCol w:w="109"/>
        <w:gridCol w:w="211"/>
        <w:gridCol w:w="766"/>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net sales by category:</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lens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Multifocal lens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Single-use sphere lens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 single-use sphere,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CooperVision net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net sales by category: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Office and surgical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9"/>
              </w:rPr>
              <w:t>Fertility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CooperSurgical net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by business segment for each of the years in the three-year period ended October 31, 2023 follows:</w:t>
      </w:r>
    </w:p>
    <w:tbl>
      <w:tblPr>
        <w:tblW w:w="8350" w:type="dxa"/>
        <w:jc w:val="left"/>
        <w:tblInd w:w="0" w:type="dxa"/>
        <w:tblLayout w:type="fixed"/>
        <w:tblCellMar>
          <w:top w:w="28" w:type="dxa"/>
          <w:left w:w="28" w:type="dxa"/>
          <w:bottom w:w="28" w:type="dxa"/>
          <w:right w:w="28" w:type="dxa"/>
        </w:tblCellMar>
      </w:tblPr>
      <w:tblGrid>
        <w:gridCol w:w="865"/>
        <w:gridCol w:w="758"/>
        <w:gridCol w:w="762"/>
        <w:gridCol w:w="247"/>
        <w:gridCol w:w="900"/>
        <w:gridCol w:w="129"/>
        <w:gridCol w:w="109"/>
        <w:gridCol w:w="109"/>
        <w:gridCol w:w="109"/>
        <w:gridCol w:w="282"/>
        <w:gridCol w:w="1026"/>
        <w:gridCol w:w="148"/>
        <w:gridCol w:w="109"/>
        <w:gridCol w:w="109"/>
        <w:gridCol w:w="109"/>
        <w:gridCol w:w="223"/>
        <w:gridCol w:w="652"/>
        <w:gridCol w:w="116"/>
        <w:gridCol w:w="109"/>
        <w:gridCol w:w="109"/>
        <w:gridCol w:w="109"/>
        <w:gridCol w:w="215"/>
        <w:gridCol w:w="888"/>
        <w:gridCol w:w="158"/>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CooperVision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Consolidated</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2023</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3,593.2 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587.7 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(70.7)</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533.1 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Identifiable assets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7,044.0 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11,658.9 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expense</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156.9 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expense</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153.3 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186.2 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364.4 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2022</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494.3 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67.1 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507.6 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Identifiable assets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6,778.9 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4,407.8 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11,492.3 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expense</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144.5 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166.6 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expense</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147.2 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223.0 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242.0 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2021</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481.3 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71.8 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(47.3)</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505.8 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Identifiable assets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6,965.9 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9,606.2 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expense</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148.3 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expense</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110.4 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146.1 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2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190.0 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24.4 </w:t>
            </w:r>
          </w:p>
        </w:tc>
        <w:tc>
          <w:tcPr>
            <w:tcW w:w="1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214.4 </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Information by geographical area by country of domicile for each of the years in the three-year period ended October 31, 2023 follows:</w:t>
      </w:r>
    </w:p>
    <w:tbl>
      <w:tblPr>
        <w:tblW w:w="8555" w:type="dxa"/>
        <w:jc w:val="left"/>
        <w:tblInd w:w="0" w:type="dxa"/>
        <w:tblLayout w:type="fixed"/>
        <w:tblCellMar>
          <w:top w:w="28" w:type="dxa"/>
          <w:left w:w="28" w:type="dxa"/>
          <w:bottom w:w="28" w:type="dxa"/>
          <w:right w:w="28" w:type="dxa"/>
        </w:tblCellMar>
      </w:tblPr>
      <w:tblGrid>
        <w:gridCol w:w="1050"/>
        <w:gridCol w:w="920"/>
        <w:gridCol w:w="925"/>
        <w:gridCol w:w="211"/>
        <w:gridCol w:w="766"/>
        <w:gridCol w:w="109"/>
        <w:gridCol w:w="109"/>
        <w:gridCol w:w="109"/>
        <w:gridCol w:w="109"/>
        <w:gridCol w:w="211"/>
        <w:gridCol w:w="766"/>
        <w:gridCol w:w="109"/>
        <w:gridCol w:w="109"/>
        <w:gridCol w:w="109"/>
        <w:gridCol w:w="109"/>
        <w:gridCol w:w="276"/>
        <w:gridCol w:w="826"/>
        <w:gridCol w:w="144"/>
        <w:gridCol w:w="109"/>
        <w:gridCol w:w="109"/>
        <w:gridCol w:w="109"/>
        <w:gridCol w:w="235"/>
        <w:gridCol w:w="854"/>
        <w:gridCol w:w="172"/>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United</w:t>
              <w:b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Rest of</w:t>
              <w:br/>
              <w:t>World, Other</w:t>
              <w:br/>
              <w:t>Eliminations</w:t>
              <w:br/>
              <w:t>&amp;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Consolidated</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2023</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 to unaffiliated customers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739.8 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3,593.2 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between geographic areas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(1,579.8)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(840.0)</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3,593.2 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533.1 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Long-lived assets</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279.1 </w:t>
            </w:r>
          </w:p>
        </w:tc>
        <w:tc>
          <w:tcPr>
            <w:tcW w:w="14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1,632.6 </w:t>
            </w:r>
          </w:p>
        </w:tc>
        <w:tc>
          <w:tcPr>
            <w:tcW w:w="17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2022</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 to unaffiliated customers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3,308.4 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between geographic areas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(1,411.7)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(729.0)</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3,308.4 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(loss)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507.6 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Long-lived assets</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856.1 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266.0 </w:t>
            </w:r>
          </w:p>
        </w:tc>
        <w:tc>
          <w:tcPr>
            <w:tcW w:w="14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1,432.9 </w:t>
            </w:r>
          </w:p>
        </w:tc>
        <w:tc>
          <w:tcPr>
            <w:tcW w:w="17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2021</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 to unaffiliated customers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625.4 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2,922.5 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between geographic areas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(1,310.0)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(684.6)</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2,922.5 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(loss)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116.4 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505.8 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Long-lived assets</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737.5 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232.9 </w:t>
            </w:r>
          </w:p>
        </w:tc>
        <w:tc>
          <w:tcPr>
            <w:tcW w:w="14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1,347.6 </w:t>
            </w:r>
          </w:p>
        </w:tc>
        <w:tc>
          <w:tcPr>
            <w:tcW w:w="1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Note 13. Financial Derivatives and Hedging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As part of the Company’s overall risk management practices the Company enters into financial derivatives, interest rate swaps designated as cash flow hedges, to hedge the Company's exposure to changes in cash flows associated with its variable rate debt.</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 From time to time, the Company enters into foreign currency forward contracts to minimize the short-term impact of foreign currency exchange rate fluctuations on certain trade and intercompany receivables and payables. These foreign currency forward contracts are not designated as hedging instruments, and therefore the net change in their fair value is reported as a gain or loss in the Consolidated Statements of Income and Comprehensive Income. As of October 31, 2023, the notional amount of outstanding foreign currency forward contracts was $56.2 million. The resulting impact on our Consolidated Financial Statements from currency hedging activities was not significant for the years ended October 31, 2023, 2022 and 2021.</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As of October 31, 2023, the Company has six interest rate swap contracts that have a total notional amount of $1.3 billion and remaining maturities of four years or less. </w:t>
      </w:r>
    </w:p>
    <w:p>
      <w:pPr>
        <w:pStyle w:val="TextBody"/>
        <w:bidi w:val="0"/>
        <w:spacing w:lineRule="auto" w:line="288" w:before="180" w:after="14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summarizes the amounts recognized with respect to our derivative instruments within the accompanying Consolidated Statements of Income:</w:t>
      </w:r>
    </w:p>
    <w:tbl>
      <w:tblPr>
        <w:tblW w:w="10205" w:type="dxa"/>
        <w:jc w:val="center"/>
        <w:tblInd w:w="0" w:type="dxa"/>
        <w:tblLayout w:type="fixed"/>
        <w:tblCellMar>
          <w:top w:w="28" w:type="dxa"/>
          <w:left w:w="28" w:type="dxa"/>
          <w:bottom w:w="28" w:type="dxa"/>
          <w:right w:w="28" w:type="dxa"/>
        </w:tblCellMar>
      </w:tblPr>
      <w:tblGrid>
        <w:gridCol w:w="1170"/>
        <w:gridCol w:w="971"/>
        <w:gridCol w:w="973"/>
        <w:gridCol w:w="109"/>
        <w:gridCol w:w="109"/>
        <w:gridCol w:w="109"/>
        <w:gridCol w:w="1217"/>
        <w:gridCol w:w="1217"/>
        <w:gridCol w:w="1221"/>
        <w:gridCol w:w="211"/>
        <w:gridCol w:w="572"/>
        <w:gridCol w:w="109"/>
        <w:gridCol w:w="109"/>
        <w:gridCol w:w="109"/>
        <w:gridCol w:w="109"/>
        <w:gridCol w:w="211"/>
        <w:gridCol w:w="467"/>
        <w:gridCol w:w="109"/>
        <w:gridCol w:w="109"/>
        <w:gridCol w:w="109"/>
        <w:gridCol w:w="109"/>
        <w:gridCol w:w="211"/>
        <w:gridCol w:w="406"/>
        <w:gridCol w:w="159"/>
      </w:tblGrid>
      <w:tr>
        <w:trPr/>
        <w:tc>
          <w:tcPr>
            <w:tcW w:w="117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Periods Ended 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2021</w:t>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Location of (Gain)/Loss Recognized on Derivatives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tbl>
      <w:tblPr>
        <w:tblW w:w="10097" w:type="dxa"/>
        <w:jc w:val="center"/>
        <w:tblInd w:w="0" w:type="dxa"/>
        <w:tblLayout w:type="fixed"/>
        <w:tblCellMar>
          <w:top w:w="28" w:type="dxa"/>
          <w:left w:w="28" w:type="dxa"/>
          <w:bottom w:w="28" w:type="dxa"/>
          <w:right w:w="28" w:type="dxa"/>
        </w:tblCellMar>
      </w:tblPr>
      <w:tblGrid>
        <w:gridCol w:w="3189"/>
        <w:gridCol w:w="2793"/>
        <w:gridCol w:w="2807"/>
        <w:gridCol w:w="109"/>
        <w:gridCol w:w="109"/>
        <w:gridCol w:w="109"/>
        <w:gridCol w:w="211"/>
        <w:gridCol w:w="616"/>
        <w:gridCol w:w="154"/>
      </w:tblGrid>
      <w:tr>
        <w:trPr/>
        <w:tc>
          <w:tcPr>
            <w:tcW w:w="318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Amount</w:t>
            </w:r>
          </w:p>
        </w:tc>
      </w:tr>
      <w:tr>
        <w:trPr/>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gain as of October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recognized in other comprehensive income on interest rate swap contracts, gross ($79.7,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reclassified from other comprehensive income into earnings, gross ($1.7,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gain as of October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recognized in other comprehensive income on interest rate swap contracts, gross ($25.7,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reclassified from other comprehensive income into earnings, gross ($(32.7),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gain as of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Refer to Note 8. Stockholders’ Equity for amounts presented net of the related tax impact in "Accumulated other comprehensive loss".</w:t>
      </w:r>
    </w:p>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expects that $(48.2) million recorded as a component of "Accumulated other comprehensive loss" will be realized in our Consolidated Statements of Income over the next twelve months and the amount will vary depending on prevailing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both"/>
        <w:rPr/>
      </w:pPr>
      <w:r>
        <w:rPr>
          <w:rFonts w:ascii="Times New Roman;sans-serif" w:hAnsi="Times New Roman;sans-serif"/>
          <w:b/>
          <w:color w:val="000000"/>
          <w:sz w:val="19"/>
        </w:rPr>
        <w:t xml:space="preserve">Item 9. </w:t>
      </w:r>
      <w:r>
        <w:rPr>
          <w:rFonts w:ascii="Times New Roman;sans-serif" w:hAnsi="Times New Roman;sans-serif"/>
          <w:b/>
          <w:i/>
          <w:color w:val="000000"/>
          <w:sz w:val="19"/>
        </w:rPr>
        <w:t>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9A. </w:t>
      </w:r>
      <w:r>
        <w:rPr>
          <w:rFonts w:ascii="Times New Roman;sans-serif" w:hAnsi="Times New Roman;sans-serif"/>
          <w:b/>
          <w:i/>
          <w:color w:val="000000"/>
          <w:sz w:val="19"/>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Commission's rules and forms and that such information is accumulated and communicated to management, including the Chief Executive Officer and Chief Financial Officer, as appropriate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conjunction with the close of each fiscal quarter, the Company conducts a review and evaluation, under the supervision and with the participation of the Company's management,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2023, the end of the fiscal period covered in this report, concluded that the Company's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Management assessed the effectiveness of the Company's internal control over financial reporting as of October 31, 2023, based on the criteria set forth by the Committee of Sponsoring Organizations of the Treadway Commission in </w:t>
      </w:r>
      <w:r>
        <w:rPr>
          <w:rFonts w:ascii="Times New Roman;sans-serif" w:hAnsi="Times New Roman;sans-serif"/>
          <w:b w:val="false"/>
          <w:i/>
          <w:color w:val="000000"/>
          <w:sz w:val="19"/>
        </w:rPr>
        <w:t>Internal Control - Integrated Framework (2013)</w:t>
      </w:r>
      <w:r>
        <w:rPr>
          <w:rFonts w:ascii="Times New Roman;sans-serif" w:hAnsi="Times New Roman;sans-serif"/>
          <w:b w:val="false"/>
          <w:color w:val="000000"/>
          <w:sz w:val="19"/>
        </w:rPr>
        <w:t xml:space="preserve">. Based on this assessment, management, under the supervision and with the participation of the Company's Chief Executive Officer and Chief Financial Officer, concluded that the Company's internal control over financial reporting was effective as of October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Company's independent registered public accounting firm, KPMG LLP, has audited the effectiveness of the Company's internal control over financial reporting as of October 31, 2023, as stated in their report in Part II, Item 8 of this Annual Report on Form 10-K.</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There have been no changes in the Company's internal control over financial reporting during the Company's fiscal quarter ended October 31, 2023, that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19"/>
        </w:rPr>
        <w:t xml:space="preserve">Item 9B. </w:t>
      </w:r>
      <w:r>
        <w:rPr>
          <w:rFonts w:ascii="Times New Roman;sans-serif" w:hAnsi="Times New Roman;sans-serif"/>
          <w:b/>
          <w:i/>
          <w:color w:val="000000"/>
          <w:sz w:val="19"/>
        </w:rPr>
        <w:t>Other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19"/>
        </w:rPr>
        <w:t xml:space="preserve">Item 9C. </w:t>
      </w:r>
      <w:r>
        <w:rPr>
          <w:rFonts w:ascii="Times New Roman;sans-serif" w:hAnsi="Times New Roman;sans-serif"/>
          <w:b/>
          <w:i/>
          <w:color w:val="000000"/>
          <w:sz w:val="19"/>
        </w:rPr>
        <w:t>Disclosure Regarding Foreign Jurisdictions that Prevent Inspections.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10. </w:t>
      </w:r>
      <w:r>
        <w:rPr>
          <w:rFonts w:ascii="Times New Roman;sans-serif" w:hAnsi="Times New Roman;sans-serif"/>
          <w:b/>
          <w:i/>
          <w:color w:val="000000"/>
          <w:sz w:val="19"/>
        </w:rPr>
        <w:t>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information required by this item is incorporated by reference to the Company’s Proxy Statement for the 2024 Annual Meeting of Stockholders (the 2024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11. </w:t>
      </w:r>
      <w:r>
        <w:rPr>
          <w:rFonts w:ascii="Times New Roman;sans-serif" w:hAnsi="Times New Roman;sans-serif"/>
          <w:b/>
          <w:i/>
          <w:color w:val="000000"/>
          <w:sz w:val="19"/>
        </w:rPr>
        <w:t>Executive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information required by this item is incorporated by reference to the 2024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12. </w:t>
      </w:r>
      <w:r>
        <w:rPr>
          <w:rFonts w:ascii="Times New Roman;sans-serif" w:hAnsi="Times New Roman;sans-serif"/>
          <w:b/>
          <w:i/>
          <w:color w:val="000000"/>
          <w:sz w:val="19"/>
        </w:rPr>
        <w:t>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See Item 5. Market for Registrant's Common Equity and Related Stockholder Matters - Equity Compensation Plan Information. Additional information required by this item is incorporated by reference to the 2024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13. </w:t>
      </w:r>
      <w:r>
        <w:rPr>
          <w:rFonts w:ascii="Times New Roman;sans-serif" w:hAnsi="Times New Roman;sans-serif"/>
          <w:b/>
          <w:i/>
          <w:color w:val="000000"/>
          <w:sz w:val="19"/>
        </w:rPr>
        <w:t>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information required by this item is incorporated by reference to the 2024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14. </w:t>
      </w:r>
      <w:r>
        <w:rPr>
          <w:rFonts w:ascii="Times New Roman;sans-serif" w:hAnsi="Times New Roman;sans-serif"/>
          <w:b/>
          <w:i/>
          <w:color w:val="000000"/>
          <w:sz w:val="19"/>
        </w:rPr>
        <w:t>Principal Accounting Fees and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information required by this item is incorporated by reference to the 2024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19"/>
        </w:rPr>
        <w:t xml:space="preserve">Item 15. </w:t>
      </w:r>
      <w:r>
        <w:rPr>
          <w:rFonts w:ascii="Times New Roman;sans-serif" w:hAnsi="Times New Roman;sans-serif"/>
          <w:b/>
          <w:i/>
          <w:color w:val="000000"/>
          <w:sz w:val="19"/>
        </w:rPr>
        <w:t>Exhibits and Financial Statement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    1.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financial statements are filed as a part of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Report of KPMG LLP, Independent Registered Public Accounting Firm</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Consolidated Financial Statements:</w:t>
      </w:r>
    </w:p>
    <w:p>
      <w:pPr>
        <w:pStyle w:val="TextBody"/>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Statements of Income for the years ended October 31, 2023, 2022 and 2021</w:t>
      </w:r>
    </w:p>
    <w:p>
      <w:pPr>
        <w:pStyle w:val="TextBody"/>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Statements of Comprehensive Income for the years ended October 31, 2023, 2022 and 2021</w:t>
      </w:r>
    </w:p>
    <w:p>
      <w:pPr>
        <w:pStyle w:val="TextBody"/>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Balance Sheets as of October 31, 2023 and 2022</w:t>
      </w:r>
    </w:p>
    <w:p>
      <w:pPr>
        <w:pStyle w:val="TextBody"/>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Statements of Stockholders' Equity for the years ended October 31, 2023, 2022 and 2021</w:t>
      </w:r>
    </w:p>
    <w:p>
      <w:pPr>
        <w:pStyle w:val="TextBody"/>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Statements of Cash Flows for the years ended October 31, 2023, 2022 and 2021</w:t>
      </w:r>
    </w:p>
    <w:p>
      <w:pPr>
        <w:pStyle w:val="TextBody"/>
        <w:bidi w:val="0"/>
        <w:spacing w:lineRule="auto" w:line="288" w:before="0" w:after="0"/>
        <w:ind w:left="0" w:right="0" w:hanging="270"/>
        <w:jc w:val="left"/>
        <w:rPr>
          <w:rFonts w:ascii="Times New Roman;sans-serif" w:hAnsi="Times New Roman;sans-serif"/>
          <w:b w:val="false"/>
          <w:color w:val="000000"/>
          <w:sz w:val="19"/>
        </w:rPr>
      </w:pPr>
      <w:r>
        <w:rPr>
          <w:rFonts w:ascii="Times New Roman;sans-serif" w:hAnsi="Times New Roman;sans-serif"/>
          <w:b w:val="false"/>
          <w:color w:val="000000"/>
          <w:sz w:val="19"/>
        </w:rPr>
        <w:t>Notes to Consolidated Financial Statements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19"/>
        </w:rPr>
        <w:t>2. Financial Statement Schedules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w:t>
      </w:r>
      <w:r>
        <w:rPr>
          <w:rFonts w:ascii="Times New Roman;sans-serif" w:hAnsi="Times New Roman;sans-serif"/>
          <w:b/>
          <w:color w:val="000000"/>
          <w:sz w:val="19"/>
          <w:u w:val="single"/>
        </w:rPr>
        <w:t>Schedule Number</w:t>
      </w:r>
      <w:r>
        <w:rPr>
          <w:color w:val="000000"/>
        </w:rPr>
        <w:t>    </w:t>
      </w:r>
      <w:r>
        <w:rPr>
          <w:rFonts w:ascii="Times New Roman;sans-serif" w:hAnsi="Times New Roman;sans-serif"/>
          <w:b/>
          <w:color w:val="000000"/>
          <w:sz w:val="19"/>
          <w:u w:val="single"/>
        </w:rPr>
        <w:t>Description</w:t>
      </w:r>
      <w:r>
        <w:rPr>
          <w:color w:val="000000"/>
        </w:rPr>
        <w:t>    </w:t>
      </w:r>
    </w:p>
    <w:p>
      <w:pPr>
        <w:pStyle w:val="TextBody"/>
        <w:bidi w:val="0"/>
        <w:spacing w:lineRule="auto" w:line="288" w:before="0" w:after="0"/>
        <w:ind w:left="0" w:right="0" w:firstLine="720"/>
        <w:jc w:val="left"/>
        <w:rPr>
          <w:color w:val="000000"/>
        </w:rPr>
      </w:pPr>
      <w:r>
        <w:rPr>
          <w:color w:val="000000"/>
        </w:rPr>
        <w:t>    </w:t>
      </w:r>
      <w:r>
        <w:rPr>
          <w:rFonts w:ascii="Times New Roman;sans-serif" w:hAnsi="Times New Roman;sans-serif"/>
          <w:b w:val="false"/>
          <w:color w:val="000000"/>
          <w:sz w:val="19"/>
        </w:rPr>
        <w:t>Schedule II    Valuation and Qualifying Accounts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exhibits listed on the accompanying Exhibit Index are filed as part of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All other schedules which are included in the applicable accounting regulations of the Securities and Exchange Commission are not required here because they are not applicable.</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19"/>
        </w:rPr>
      </w:pPr>
      <w:r>
        <w:rPr>
          <w:rFonts w:ascii="Times New Roman;sans-serif" w:hAnsi="Times New Roman;sans-serif"/>
          <w:b/>
          <w:color w:val="000000"/>
          <w:sz w:val="19"/>
        </w:rPr>
        <w:t>Schedule II</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VALUATION AND QUALIFYING ACCOUNTS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Three Years Ended October 31, 2023 </w:t>
      </w:r>
    </w:p>
    <w:p>
      <w:pPr>
        <w:pStyle w:val="TextBody"/>
        <w:bidi w:val="0"/>
        <w:spacing w:before="100" w:after="283"/>
        <w:jc w:val="center"/>
        <w:rPr/>
      </w:pPr>
      <w:r>
        <w:rPr/>
      </w:r>
    </w:p>
    <w:tbl>
      <w:tblPr>
        <w:tblW w:w="9086" w:type="dxa"/>
        <w:jc w:val="center"/>
        <w:tblInd w:w="0" w:type="dxa"/>
        <w:tblLayout w:type="fixed"/>
        <w:tblCellMar>
          <w:top w:w="28" w:type="dxa"/>
          <w:left w:w="28" w:type="dxa"/>
          <w:bottom w:w="28" w:type="dxa"/>
          <w:right w:w="28" w:type="dxa"/>
        </w:tblCellMar>
      </w:tblPr>
      <w:tblGrid>
        <w:gridCol w:w="1273"/>
        <w:gridCol w:w="1115"/>
        <w:gridCol w:w="1121"/>
        <w:gridCol w:w="325"/>
        <w:gridCol w:w="325"/>
        <w:gridCol w:w="326"/>
        <w:gridCol w:w="109"/>
        <w:gridCol w:w="109"/>
        <w:gridCol w:w="109"/>
        <w:gridCol w:w="305"/>
        <w:gridCol w:w="305"/>
        <w:gridCol w:w="306"/>
        <w:gridCol w:w="109"/>
        <w:gridCol w:w="109"/>
        <w:gridCol w:w="109"/>
        <w:gridCol w:w="614"/>
        <w:gridCol w:w="614"/>
        <w:gridCol w:w="616"/>
        <w:gridCol w:w="109"/>
        <w:gridCol w:w="109"/>
        <w:gridCol w:w="109"/>
        <w:gridCol w:w="255"/>
        <w:gridCol w:w="256"/>
        <w:gridCol w:w="349"/>
      </w:tblGrid>
      <w:tr>
        <w:trPr/>
        <w:tc>
          <w:tcPr>
            <w:tcW w:w="127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Balance</w:t>
              <w:br/>
              <w:t>Beginning</w:t>
              <w:br/>
              <w:t>of Year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Additions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Reductions/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Balance</w:t>
              <w:br/>
              <w:t>at End</w:t>
              <w:br/>
              <w:t>of Year</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valuation allowance:</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Year Ended October 31, 2023</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Year Ended October 31, 2022</w:t>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3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60.1 </w:t>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Year Ended October 31, 2021</w:t>
            </w:r>
          </w:p>
        </w:tc>
        <w:tc>
          <w:tcPr>
            <w:tcW w:w="6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45.3 </w:t>
            </w:r>
          </w:p>
        </w:tc>
        <w:tc>
          <w:tcPr>
            <w:tcW w:w="3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3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3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left"/>
        <w:tblInd w:w="0" w:type="dxa"/>
        <w:tblLayout w:type="fixed"/>
        <w:tblCellMar>
          <w:top w:w="28" w:type="dxa"/>
          <w:left w:w="28" w:type="dxa"/>
          <w:bottom w:w="28" w:type="dxa"/>
          <w:right w:w="28" w:type="dxa"/>
        </w:tblCellMar>
      </w:tblPr>
      <w:tblGrid>
        <w:gridCol w:w="306"/>
        <w:gridCol w:w="270"/>
        <w:gridCol w:w="271"/>
        <w:gridCol w:w="2605"/>
        <w:gridCol w:w="2414"/>
        <w:gridCol w:w="2421"/>
        <w:gridCol w:w="223"/>
        <w:gridCol w:w="183"/>
        <w:gridCol w:w="144"/>
        <w:gridCol w:w="223"/>
        <w:gridCol w:w="223"/>
        <w:gridCol w:w="194"/>
        <w:gridCol w:w="240"/>
        <w:gridCol w:w="240"/>
        <w:gridCol w:w="248"/>
      </w:tblGrid>
      <w:tr>
        <w:trPr/>
        <w:tc>
          <w:tcPr>
            <w:tcW w:w="30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r>
      <w:tr>
        <w:trPr/>
        <w:tc>
          <w:tcPr>
            <w:tcW w:w="8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Number</w:t>
            </w:r>
          </w:p>
        </w:tc>
        <w:tc>
          <w:tcPr>
            <w:tcW w:w="7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 of Document</w:t>
            </w:r>
          </w:p>
        </w:tc>
        <w:tc>
          <w:tcPr>
            <w:tcW w:w="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6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tc>
        <w:tc>
          <w:tcPr>
            <w:tcW w:w="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Period End</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7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6"/>
                  <w:u w:val="single"/>
                </w:rPr>
                <w:t>Second Restated Certificate of Incorporation</w:t>
              </w:r>
            </w:hyperlink>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1/13/2006</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6"/>
                  <w:u w:val="single"/>
                </w:rPr>
                <w:t>Amended and Restated By-Laws, The Cooper Companies, Inc., dated December 12, 2018</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12/18/2018</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6"/>
                  <w:u w:val="single"/>
                </w:rPr>
                <w:t>Description of Securities of The Cooper Companies, Inc. Registered under Section 12 of the Exchange Act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8-A</w:t>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9/25/2023</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6"/>
                  <w:u w:val="single"/>
                </w:rPr>
                <w:t>The Cooper Companies, Inc. Change in Control Severance Plan, dated May 21, 2007</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7/31/2007</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6"/>
                  <w:u w:val="single"/>
                </w:rPr>
                <w:t>Executive Employment Agreement by and between The Cooper Companies, Inc. and Albert G. White III, effective as of November 1, 2018</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4/30/2019</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6"/>
                  <w:u w:val="single"/>
                </w:rPr>
                <w:t>Executive Employment Agreement by and between The Cooper Companies, Inc. and Daniel G. McBride, effective as of November 1, 2018</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4/30/2019</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6"/>
                  <w:u w:val="single"/>
                </w:rPr>
                <w:t>Executive Employment Agreement by and between The Cooper Companies, Inc. and Brian G. Andrews, effective as of November 1, 2018</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4/30/2019</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6"/>
                  <w:u w:val="single"/>
                </w:rPr>
                <w:t>Executive Employment Agreement by and between The Cooper Companies, Inc. and Holly R. Sheffield, effective as of November 1, 2018</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4/30/2019</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6"/>
                  <w:u w:val="single"/>
                </w:rPr>
                <w:t>The Third Amended and Restated 2007 Long-Term Incentive Plan of The Cooper Companies,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1/29/2016</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6"/>
                  <w:u w:val="single"/>
                </w:rPr>
                <w:t>Form of Non-Qualified Stock Option Agreement Pursuant to the 2007 Long-Term Incentive Plan of The Cooper Companies,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10.32</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10/31/2007</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6"/>
                  <w:u w:val="single"/>
                </w:rPr>
                <w:t>Form of Deferred Stock Agreement Pursuant to the 2007 Long-Term Incentive Plan of The Cooper Companies,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10.34</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10/31/2007</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6"/>
                  <w:u w:val="single"/>
                </w:rPr>
                <w:t>Form of Long Term Performance Share Award Agreement Pursuant to the 2007 Long-Term Incentive Plan of The Cooper Companies,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2/13/2009</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6"/>
                  <w:u w:val="single"/>
                </w:rPr>
                <w:t>The Cooper Companies, Inc.’s 2019 Employee Stock Purchase Plan</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2/1/2019</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6"/>
                <w:u w:val="single"/>
                <w:b w:val="false"/>
                <w:rFonts w:ascii="Times New Roman;sans-serif" w:hAnsi="Times New Roman;sans-serif"/>
                <w:color w:val="0000FF"/>
              </w:rPr>
              <w:instrText xml:space="preserve"> HYPERLINK "http://www.sec.gov/Archives/edgar/data/711404/000119312520024203/d873721ddef14a.htm" \l "toc873721_23"</w:instrText>
            </w:r>
            <w:r>
              <w:rPr>
                <w:rStyle w:val="InternetLink"/>
                <w:sz w:val="16"/>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6"/>
                <w:u w:val="single"/>
              </w:rPr>
              <w:t>The 2020 Long Term Incentive Plan for Non-Employee Directors of The Cooper Companies, Inc.</w:t>
            </w:r>
            <w:r>
              <w:rPr>
                <w:rStyle w:val="InternetLink"/>
                <w:sz w:val="16"/>
                <w:u w:val="single"/>
                <w:b w:val="false"/>
                <w:rFonts w:ascii="Times New Roman;sans-serif" w:hAnsi="Times New Roman;sans-serif"/>
                <w:color w:val="0000FF"/>
              </w:rPr>
              <w:fldChar w:fldCharType="end"/>
            </w:r>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2/4/2020</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6"/>
                  <w:u w:val="single"/>
                </w:rPr>
                <w:t>Form of Restricted Stock Unit Agreement pursuant to the 2020 Long Term Incentive Plan for Non-Employee Directors of The Cooper Companies, Inc.</w:t>
              </w:r>
            </w:hyperlink>
            <w:r>
              <w:rPr>
                <w:color w:val="000000"/>
              </w:rPr>
              <w:t xml:space="preserve"> </w:t>
            </w:r>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10/31/2020</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10.13</w:t>
            </w:r>
            <w:r>
              <w:rPr>
                <w:rFonts w:ascii="Times New Roman;sans-serif" w:hAnsi="Times New Roman;sans-serif"/>
                <w:b w:val="false"/>
                <w:color w:val="000000"/>
                <w:sz w:val="10"/>
              </w:rPr>
              <w:t>(a)</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6"/>
                  <w:u w:val="single"/>
                </w:rPr>
                <w:t>License Agreement dated as of November 19, 2007, by and among CIBA Vision AG, CIBA Vision Corporate and CooperVision,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10/31/2008</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10.14</w:t>
            </w:r>
            <w:r>
              <w:rPr>
                <w:rFonts w:ascii="Times New Roman;sans-serif" w:hAnsi="Times New Roman;sans-serif"/>
                <w:b w:val="false"/>
                <w:color w:val="000000"/>
                <w:sz w:val="10"/>
              </w:rPr>
              <w:t>(a)</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6"/>
                  <w:u w:val="single"/>
                </w:rPr>
                <w:t>Amendment No. 1 to the License Agreement dated as of November 19, 2007, by and among CIBA Vision AG, CIBA Vision Corporate and CooperVision,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99.1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12/21/2012</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6"/>
                  <w:u w:val="single"/>
                </w:rPr>
                <w:t>Lease Contract dated as of November 6, 2003, by and between The Puerto Rico Industrial Development Company and Ocular Sciences Puerto Rico,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1/12/2005</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6"/>
                  <w:u w:val="single"/>
                </w:rPr>
                <w:t>First Supplement and Amendment to Lease Contract dated as of December 30, 2003, by and between The Puerto Rico Industrial Development Company and Ocular Sciences Puerto Rico, Inc.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1/12/2005</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10.17</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6"/>
                  <w:u w:val="single"/>
                </w:rPr>
                <w:t>Assignment of Lease Agreement dated as of June 29, 2004, by and among Ocular Sciences Puerto Rico, Inc., Ocular Sciences Cayman Islands Corporation and The Puerto Rico Industrial Development Company</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1/12/2005</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10.18</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6"/>
                  <w:u w:val="single"/>
                </w:rPr>
                <w:t>Revolving Credit and Term Loan Agreement, dated as of April 1, 2020, among the Company, CooperVision International Holding Company, LP, CooperSurgical Netherlands B.V., CooperVision Holding Kft., the lenders from time to time party thereto and KeyBank National Association, as administrative agent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4/2/2020</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6"/>
                  <w:u w:val="single"/>
                </w:rPr>
                <w:t>Amendment No. 1 and Joinder, dated as of October 30, 2020, to Revolving Credit and Term Loan Agreement, dated as of April 1, 2020, among the Company, CooperVision International Holding Company, LP, CooperSurgical Netherlands B.V., CooperVision Holding Kft., the lenders from time to time party thereto and KeyBank National Association, as administrative agent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10/31/2020</w:t>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7440"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10.20</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6"/>
                  <w:u w:val="single"/>
                </w:rPr>
                <w:t>Term Loan Agreement, dated as of December 17, 2021, by and among The Cooper Companies, Inc., the lenders from time to time party thereto, and PNC Bank, National Association, as administrative agent.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12/17/2021</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10.21</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6"/>
                  <w:u w:val="single"/>
                </w:rPr>
                <w:t>Amendment No.2 and Joinder, dated as of December 17, 2021, to Revolving Credit and Term Loan Agreement, dated as of April 1, 2020, among the Company, CooperVision International Limited, CooperVision Holding Kft., CooperSurgical Holdings Limited, the lenders party thereto, and KeyBank, National Association, as administrative agent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1/31/2022</w:t>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7440" w:type="dxa"/>
            <w:gridSpan w:val="3"/>
            <w:tcBorders/>
            <w:vAlign w:val="center"/>
          </w:tcPr>
          <w:p>
            <w:pPr>
              <w:pStyle w:val="TableContents"/>
              <w:bidi w:val="0"/>
              <w:spacing w:before="0" w:after="283"/>
              <w:jc w:val="left"/>
              <w:rPr>
                <w:sz w:val="4"/>
                <w:szCs w:val="4"/>
              </w:rPr>
            </w:pPr>
            <w:r>
              <w:rPr>
                <w:sz w:val="4"/>
                <w:szCs w:val="4"/>
              </w:rPr>
            </w:r>
          </w:p>
        </w:tc>
        <w:tc>
          <w:tcPr>
            <w:tcW w:w="550"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6"/>
                  <w:u w:val="single"/>
                </w:rPr>
                <w:t>Agreement and Plan of Merger, dated as of November 6, 2021, by and among The Cooper Companies, Inc., CooperSurgical, Inc., Bruin Merger Sub, LLC, GI Generate Parent LLC, and GI Partners Acquisitions LLC.</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11/10/2021</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10.23</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6"/>
                  <w:u w:val="single"/>
                </w:rPr>
                <w:t>Amendment No.1, dated as of February 1, 2023, to the Term Loan Agreement, dated as of December 17, 2021, by and among The Cooper Companies, Inc. and PNC Bank, National Association, as the administrative agent.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1/31/2023</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10.24</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6"/>
                  <w:u w:val="single"/>
                </w:rPr>
                <w:t>Amendment No. 3, dated as of February 1, 2023, to the Revolving Credit and Term Loan Agreement, dated as of April 1, 2020, by and among the Company, CooperVision International Limited, and CooperSurgical Holdings Limited, the borrowers party thereto, and KeyBank National Association, as administrative agent.</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1/31/2023</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10.25#</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6"/>
                  <w:u w:val="single"/>
                </w:rPr>
                <w:t>The Cooper Companies, Inc. 2023 Incentive Payment Plan.</w:t>
              </w:r>
            </w:hyperlink>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12/19/2022</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10.26#</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6"/>
                <w:u w:val="single"/>
                <w:b w:val="false"/>
                <w:rFonts w:ascii="Times New Roman;sans-serif" w:hAnsi="Times New Roman;sans-serif"/>
                <w:color w:val="0000FF"/>
              </w:rPr>
              <w:instrText xml:space="preserve"> HYPERLINK "http://www.sec.gov/Archives/edgar/data/711404/000119312523019077/d448199ddef14a.htm" \l "toc448199_29"</w:instrText>
            </w:r>
            <w:r>
              <w:rPr>
                <w:rStyle w:val="InternetLink"/>
                <w:sz w:val="16"/>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6"/>
                <w:u w:val="single"/>
              </w:rPr>
              <w:t>The Cooper Companies, Inc. 2023 Long-Term Incentive Plan</w:t>
            </w:r>
            <w:r>
              <w:rPr>
                <w:rStyle w:val="InternetLink"/>
                <w:sz w:val="16"/>
                <w:u w:val="single"/>
                <w:b w:val="false"/>
                <w:rFonts w:ascii="Times New Roman;sans-serif" w:hAnsi="Times New Roman;sans-serif"/>
                <w:color w:val="0000FF"/>
              </w:rPr>
              <w:fldChar w:fldCharType="end"/>
            </w:r>
          </w:p>
        </w:tc>
        <w:tc>
          <w:tcPr>
            <w:tcW w:w="5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14A</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1/30/2023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0"/>
        <w:gridCol w:w="247"/>
        <w:gridCol w:w="248"/>
        <w:gridCol w:w="2675"/>
        <w:gridCol w:w="2451"/>
        <w:gridCol w:w="2459"/>
        <w:gridCol w:w="223"/>
        <w:gridCol w:w="176"/>
        <w:gridCol w:w="130"/>
        <w:gridCol w:w="223"/>
        <w:gridCol w:w="223"/>
        <w:gridCol w:w="189"/>
        <w:gridCol w:w="231"/>
        <w:gridCol w:w="231"/>
        <w:gridCol w:w="219"/>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r>
      <w:tr>
        <w:trPr/>
        <w:tc>
          <w:tcPr>
            <w:tcW w:w="7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Number</w:t>
            </w:r>
          </w:p>
        </w:tc>
        <w:tc>
          <w:tcPr>
            <w:tcW w:w="75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 of Document</w:t>
            </w:r>
          </w:p>
        </w:tc>
        <w:tc>
          <w:tcPr>
            <w:tcW w:w="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Period End</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6"/>
                  <w:u w:val="single"/>
                </w:rPr>
                <w:t>Form of Stock Option Agreement for the 2023 Long-Term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4/30/2023</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6"/>
                  <w:u w:val="single"/>
                </w:rPr>
                <w:t>Form of Restricted Stock Unit Agreement for the 2023 Long-Term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4/30/2023</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10.29#</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6"/>
                  <w:u w:val="single"/>
                </w:rPr>
                <w:t>Form of Performance Stock Unit Agreement for the 2023 Long-Term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4/30/2023</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10.31#</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6"/>
                  <w:u w:val="single"/>
                </w:rPr>
                <w:t>The Cooper Companies, Inc. 2017 Executive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14A</w:t>
            </w:r>
          </w:p>
        </w:tc>
        <w:tc>
          <w:tcPr>
            <w:tcW w:w="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6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1/27/2017</w:t>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10.32#</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1032_20231031x10k.htm">
              <w:r>
                <w:rPr>
                  <w:rStyle w:val="InternetLink"/>
                  <w:rFonts w:ascii="Times New Roman;sans-serif" w:hAnsi="Times New Roman;sans-serif"/>
                  <w:b w:val="false"/>
                  <w:color w:val="0000FF"/>
                  <w:sz w:val="16"/>
                  <w:u w:val="single"/>
                </w:rPr>
                <w:t>The Cooper Companies, Inc. Compensation Recovery Policy</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19_20231031x10k.htm">
              <w:r>
                <w:rPr>
                  <w:rStyle w:val="InternetLink"/>
                  <w:rFonts w:ascii="Times New Roman;sans-serif" w:hAnsi="Times New Roman;sans-serif"/>
                  <w:b w:val="false"/>
                  <w:color w:val="000080"/>
                  <w:sz w:val="16"/>
                  <w:u w:val="single"/>
                </w:rPr>
                <w:t>Stock</w:t>
              </w:r>
            </w:hyperlink>
            <w:hyperlink w:anchor="coo-ex19_20231031x10k.htm">
              <w:r>
                <w:rPr>
                  <w:rStyle w:val="InternetLink"/>
                  <w:rFonts w:ascii="Times New Roman;sans-serif" w:hAnsi="Times New Roman;sans-serif"/>
                  <w:b w:val="false"/>
                  <w:color w:val="000080"/>
                  <w:sz w:val="16"/>
                  <w:u w:val="single"/>
                </w:rPr>
                <w:t xml:space="preserve"> Trading P</w:t>
              </w:r>
            </w:hyperlink>
            <w:hyperlink w:anchor="coo-ex19_20231031x10k.htm">
              <w:r>
                <w:rPr>
                  <w:rStyle w:val="InternetLink"/>
                  <w:rFonts w:ascii="Times New Roman;sans-serif" w:hAnsi="Times New Roman;sans-serif"/>
                  <w:b w:val="false"/>
                  <w:color w:val="000080"/>
                  <w:sz w:val="16"/>
                  <w:u w:val="single"/>
                </w:rPr>
                <w:t>olicy</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21_20231031x10k.htm">
              <w:r>
                <w:rPr>
                  <w:rStyle w:val="InternetLink"/>
                  <w:rFonts w:ascii="Times New Roman;sans-serif" w:hAnsi="Times New Roman;sans-serif"/>
                  <w:b w:val="false"/>
                  <w:color w:val="0000FF"/>
                  <w:sz w:val="16"/>
                  <w:u w:val="single"/>
                </w:rPr>
                <w:t>Subsidiaries</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coo-ex23_20231031x10k.htm">
              <w:r>
                <w:rPr>
                  <w:rStyle w:val="InternetLink"/>
                  <w:rFonts w:ascii="Times New Roman;sans-serif" w:hAnsi="Times New Roman;sans-serif"/>
                  <w:b w:val="false"/>
                  <w:color w:val="0000FF"/>
                  <w:sz w:val="16"/>
                  <w:u w:val="single"/>
                </w:rPr>
                <w:t>Consent of Independent Registered Public Accounting Firm</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7585"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1_20231031x10k.htm">
              <w:r>
                <w:rPr>
                  <w:rStyle w:val="InternetLink"/>
                  <w:rFonts w:ascii="Times New Roman;sans-serif" w:hAnsi="Times New Roman;sans-serif"/>
                  <w:b w:val="false"/>
                  <w:color w:val="0000FF"/>
                  <w:sz w:val="16"/>
                  <w:u w:val="single"/>
                </w:rPr>
                <w:t>Certification of the Chief Executive Officer, pursuant to Rule 13a-14(a) of the Securities Exchange Act of 1934</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2_20231031x10k.htm">
              <w:r>
                <w:rPr>
                  <w:rStyle w:val="InternetLink"/>
                  <w:rFonts w:ascii="Times New Roman;sans-serif" w:hAnsi="Times New Roman;sans-serif"/>
                  <w:b w:val="false"/>
                  <w:color w:val="0000FF"/>
                  <w:sz w:val="16"/>
                  <w:u w:val="single"/>
                </w:rPr>
                <w:t>Certification of the Chief Financial Officer, pursuant to Rule 13a-14(a) of the Securities Exchange Act of 1934</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1_20231031x10k.htm">
              <w:r>
                <w:rPr>
                  <w:rStyle w:val="InternetLink"/>
                  <w:rFonts w:ascii="Times New Roman;sans-serif" w:hAnsi="Times New Roman;sans-serif"/>
                  <w:b w:val="false"/>
                  <w:color w:val="0000FF"/>
                  <w:sz w:val="16"/>
                  <w:u w:val="single"/>
                </w:rPr>
                <w:t>Certification of the Chief Executive Officer, pursuant to 18 U.S.C. Section 1350</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32.2*</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2_20231031x10k.htm">
              <w:r>
                <w:rPr>
                  <w:rStyle w:val="InternetLink"/>
                  <w:rFonts w:ascii="Times New Roman;sans-serif" w:hAnsi="Times New Roman;sans-serif"/>
                  <w:b w:val="false"/>
                  <w:color w:val="0000FF"/>
                  <w:sz w:val="16"/>
                  <w:u w:val="single"/>
                </w:rPr>
                <w:t>Certification of the Chief Financial Officer, pursuant to 18 U.S.C. Section 1350</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following materials from the Company's Annual Report on Form 10-K for the year ended October 31, 2023, formatted in Inline XBRL (Extensible Business Reporting Language):(i) Consolidated Statements of Income for the years ended October 31, 2023, 2022 and 2021 (ii) Consolidated Statements of Comprehensive Income for the years ended October 31, 2023, 2022 and 2021 (iii) Consolidated Balance Sheets at October 31, 2023 and 2022, (iv) Consolidated Statements of Stockholders' Equity for the years ended October 31, 2023, 2022 and 2021 (v) Consolidated Statements of Cash Flows for the years ended October 31, 2023, 2022 and 2021, (vi) related notes to consolidated financial statements and (vii) Schedule II Valuation and Qualifying Accounts</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7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(embedded within the Inline XBRL document)</w:t>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    The agreement received confidential treatment from the Securities and Exchange Commission with respect to certain portions of this exhibit. Omitted portions have been filed separately with the Commission. </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19"/>
        </w:rPr>
      </w:pPr>
      <w:r>
        <w:rPr>
          <w:rFonts w:ascii="Times New Roman;sans-serif" w:hAnsi="Times New Roman;sans-serif"/>
          <w:b w:val="false"/>
          <w:color w:val="000000"/>
          <w:sz w:val="19"/>
        </w:rPr>
        <w:t>#    Indicates management contract or compensatory plan.</w:t>
      </w:r>
    </w:p>
    <w:p>
      <w:pPr>
        <w:pStyle w:val="TextBody"/>
        <w:bidi w:val="0"/>
        <w:spacing w:before="0" w:after="0"/>
        <w:ind w:left="0" w:right="0" w:hanging="405"/>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color w:val="000000"/>
          <w:sz w:val="19"/>
        </w:rPr>
        <w:t xml:space="preserve">Item 16. </w:t>
      </w:r>
      <w:r>
        <w:rPr>
          <w:rFonts w:ascii="Times New Roman;sans-serif" w:hAnsi="Times New Roman;sans-serif"/>
          <w:b/>
          <w:i/>
          <w:color w:val="000000"/>
          <w:sz w:val="19"/>
        </w:rPr>
        <w:t>Form 10-K Summary</w:t>
      </w:r>
      <w:r>
        <w:rPr>
          <w:rFonts w:ascii="Times New Roman;sans-serif" w:hAnsi="Times New Roman;sans-serif"/>
          <w:b/>
          <w:color w:val="000000"/>
          <w:sz w:val="19"/>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SIGNATURES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Pursuant to the requirements of Section 13 or 15(d) of the Securities Exchange Act of 1934, the registrant has duly caused this report to be signed on its behalf by the undersigned, thereunto duly authorized, on December 8,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COOPER COMPANIES,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 xml:space="preserve">By: /s/ Albert G. White, III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Albert G. White, III </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President &amp; Chief Executive Officer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Pursuant to the requirements of the Securities Exchange Act of 1934, this report has been signed below by the following persons on behalf of the registrant and in the capacities indicated on the dates set forth opposite their respective names.</w:t>
      </w:r>
    </w:p>
    <w:tbl>
      <w:tblPr>
        <w:tblW w:w="10205" w:type="dxa"/>
        <w:jc w:val="center"/>
        <w:tblInd w:w="0" w:type="dxa"/>
        <w:tblLayout w:type="fixed"/>
        <w:tblCellMar>
          <w:top w:w="28" w:type="dxa"/>
          <w:left w:w="28" w:type="dxa"/>
          <w:bottom w:w="28" w:type="dxa"/>
          <w:right w:w="28" w:type="dxa"/>
        </w:tblCellMar>
      </w:tblPr>
      <w:tblGrid>
        <w:gridCol w:w="913"/>
        <w:gridCol w:w="744"/>
        <w:gridCol w:w="746"/>
        <w:gridCol w:w="109"/>
        <w:gridCol w:w="109"/>
        <w:gridCol w:w="109"/>
        <w:gridCol w:w="1874"/>
        <w:gridCol w:w="1856"/>
        <w:gridCol w:w="1880"/>
        <w:gridCol w:w="109"/>
        <w:gridCol w:w="109"/>
        <w:gridCol w:w="109"/>
        <w:gridCol w:w="447"/>
        <w:gridCol w:w="447"/>
        <w:gridCol w:w="644"/>
      </w:tblGrid>
      <w:tr>
        <w:trPr/>
        <w:tc>
          <w:tcPr>
            <w:tcW w:w="91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u w:val="single"/>
              </w:rPr>
            </w:pPr>
            <w:r>
              <w:rPr>
                <w:rFonts w:ascii="Times New Roman;sans-serif" w:hAnsi="Times New Roman;sans-serif"/>
                <w:b/>
                <w:color w:val="000000"/>
                <w:sz w:val="19"/>
                <w:u w:val="single"/>
              </w:rPr>
              <w:t>Date</w:t>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 xml:space="preserve">/s/ ALBERT G. WHITE, III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(Albert G. White,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ROBERT S. WEISS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(Robert S. Weiss)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WILLIAM A. KOZY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Vice Chairman of the Board and Lead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(William A. Kozy)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BRIAN G. ANDREWS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Chief Financial Officer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(Brian G. Andrews)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AGOSTINO RICUPATI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Senior Vice President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(Agostino Ricupati)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COLLEEN E.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(Colleen E. Jay)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/s/ CYNTHIA L.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(Cynthia L.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GARY S. PETERSMEYER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(Gary S. Petersmeyer)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(Lawrence Kurzius)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MARIA RIVAS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(Maria Rivas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TERESA S.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December 8, 2023</w:t>
            </w:r>
          </w:p>
        </w:tc>
      </w:tr>
      <w:tr>
        <w:trPr/>
        <w:tc>
          <w:tcPr>
            <w:tcW w:w="2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(Teresa S.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CORPORATE INFORMATION</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58"/>
        <w:gridCol w:w="666"/>
        <w:gridCol w:w="668"/>
        <w:gridCol w:w="109"/>
        <w:gridCol w:w="109"/>
        <w:gridCol w:w="109"/>
        <w:gridCol w:w="837"/>
        <w:gridCol w:w="837"/>
        <w:gridCol w:w="838"/>
        <w:gridCol w:w="109"/>
        <w:gridCol w:w="109"/>
        <w:gridCol w:w="109"/>
        <w:gridCol w:w="1447"/>
        <w:gridCol w:w="1447"/>
        <w:gridCol w:w="2053"/>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BOARD OF DIRECTORS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Robert S. Weiss</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Chairman of the Board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William A. Kozy</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Vice Chairman and Lead Director; Chief Executive Officer (interim), LivaNova PLC</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Colleen E. Jay</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Cynthia L. Lucchese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Gary S. Petersmeyer</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Lawrence Kurzius</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Teresa S. Madden</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Director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Maria Rivas M.D.</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Global Chief Medical Affairs Officer and Head of Evidence Generation, Pfizer, Inc.</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Albert G. White, III</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President &amp; Chief Executive Officer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COMMITTEES OF THE BOARD</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Audit Committee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Teresa S. Madden (Chairman)</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Cynthia L. Lucchese </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Gary S. Petersmeyer</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Lawrence Kurzius</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Maria Rivas M.D.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Corporate Governance and Nominating Committee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William A. Kozy (Chairman)</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Colleen E. Jay</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Cynthia L. Lucchese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Maria Rivas M.D.</w:t>
            </w:r>
          </w:p>
          <w:p>
            <w:pPr>
              <w:pStyle w:val="TableContents"/>
              <w:bidi w:val="0"/>
              <w:spacing w:lineRule="auto" w:line="240" w:before="0" w:after="0"/>
              <w:jc w:val="left"/>
              <w:rPr>
                <w:color w:val="000000"/>
              </w:rPr>
            </w:pPr>
            <w:r>
              <w:rPr>
                <w:color w:val="000000"/>
              </w:rPr>
              <w:t>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Organization and Compensation Committee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Colleen E. Jay (Chairman)</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Gary S. Petersmeyer</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Lawrence Kurzius</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Teresa S. Madden</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William A. Kozy</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EXECUTIVE OFFICERS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Albert G. White, III</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President and Chief Executive Officer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Daniel G. McBride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Executive Vice President and Chief Operating Officer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Brian G. Andrews</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Chief Financial Officer and Treasurer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Agostino Ricupati</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Senior Vice President and Chief Accounting Officer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Nicholas S. Khadder</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Vice President, General Counsel and Corporate Secretary</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Holly R. Sheffield</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President of CooperSurgical, Inc.</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Gerard H. Warner III</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President of CooperVision,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PRINCIPAL SUBSIDIARIES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CooperVision, Inc.</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6101 Bollinger Canyon Road</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Suite 500</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San Ramon, CA 94583</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925-460-3600</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www.coopervision.com</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CooperSurgical, Inc.</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75 Corporate Drive</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Trumbull, CT 06611</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203-601-5200</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www.coopersurgical.com</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CORPORATE OFFICES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rPr>
            </w:pPr>
            <w:r>
              <w:rPr>
                <w:rFonts w:ascii="Times New Roman;sans-serif" w:hAnsi="Times New Roman;sans-serif"/>
                <w:b/>
                <w:i/>
                <w:color w:val="000000"/>
                <w:sz w:val="19"/>
              </w:rPr>
              <w:t>The Cooper Companies, Inc.</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6101 Bollinger Canyon Road</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Suite 500</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San Ramon, CA 94583</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925-460-3600</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www.coopercos.com</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INVESTOR INFORMATION</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Recent news releases, the annual report on Securities and Exchange Commission Form 10-K, information about the Company's corporate governance program, recent investor presentations, replays of quarterly conference calls and historical stock quotes are available on our Web site at www.coopercos.com.</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INVESTOR RELATIONS CONTACT</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Kim Duncan</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Vice President, Investor Relations and Risk Management</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6101 Bollinger Canyon Road</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Suite 500</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San Ramon, CA 94583</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Voice: 925-460-3663</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E-mail: ir@cooperco.com</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ANNUAL MEETING</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will hold its Annual Stockholders' Meeting in March 2024.</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TRANSFER AGENT</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Equiniti Trust LLC</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48 Wall Street, Floor 23</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New York, NY 10005</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800-937-5449</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 xml:space="preserve">TRADEMARKS </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CooperSurgical, and other trade names, trademarks or service marks of CooperCompanies and its subsidiaries appearing in this report are the property of CooperCompanies and its subsidiaries. Trade names, trademarks and service marks of the other companies appearing in this report are the property of their respective holders.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INDEPENDENT AUDITORS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KPMG LLP</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STOCK EXCHANGE LISTING</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Nasdaq Global Select Market </w:t>
            </w:r>
          </w:p>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Ticker Symbol “COO”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2057400" cy="390525"/>
            <wp:effectExtent l="0" t="0" r="0" b="0"/>
            <wp:docPr id="10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 descr=""/>
                    <pic:cNvPicPr>
                      <a:picLocks noChangeAspect="1" noChangeArrowheads="1"/>
                    </pic:cNvPicPr>
                  </pic:nvPicPr>
                  <pic:blipFill>
                    <a:blip r:embed="rId40"/>
                    <a:stretch>
                      <a:fillRect/>
                    </a:stretch>
                  </pic:blipFill>
                  <pic:spPr bwMode="auto">
                    <a:xfrm>
                      <a:off x="0" y="0"/>
                      <a:ext cx="2057400" cy="390525"/>
                    </a:xfrm>
                    <a:prstGeom prst="rect">
                      <a:avLst/>
                    </a:prstGeom>
                  </pic:spPr>
                </pic:pic>
              </a:graphicData>
            </a:graphic>
          </wp:inline>
        </w:drawing>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5"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THE COOPER COMPANIES,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COMPENSATION RECOVERY POLICY</w:t>
      </w:r>
    </w:p>
    <w:p>
      <w:pPr>
        <w:pStyle w:val="TextBody"/>
        <w:bidi w:val="0"/>
        <w:spacing w:lineRule="auto" w:line="240" w:before="240" w:after="283"/>
        <w:jc w:val="both"/>
        <w:rPr/>
      </w:pPr>
      <w:r>
        <w:rPr>
          <w:rFonts w:ascii="Times New Roman;sans-serif" w:hAnsi="Times New Roman;sans-serif"/>
          <w:b w:val="false"/>
          <w:color w:val="000000"/>
          <w:sz w:val="22"/>
        </w:rPr>
        <w:t>This Compensation Recovery Policy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is intended to maintain a culture of focused, diligent, and responsible management that discourages conduct detrimental to the growth of The Cooper Companies, Inc. and its subsidiaries (together,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and reinforce the Company’s pay-for-performance compensation philosophy. Accordingly, as set forth in this Policy, it may be appropriate for the Company to recovery of erroneously awarded incentive-based compensation upon the occurrence of certain events. This Policy was adopted as of October 27, 2021, and amended as of October 24, 2023. </w:t>
      </w:r>
    </w:p>
    <w:p>
      <w:pPr>
        <w:pStyle w:val="TextBody"/>
        <w:bidi w:val="0"/>
        <w:spacing w:lineRule="auto" w:line="240" w:before="240" w:after="283"/>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Recovery of Erroneously Awarded Incentive Compensation</w:t>
      </w:r>
      <w:r>
        <w:rPr>
          <w:rFonts w:ascii="Times New Roman;sans-serif" w:hAnsi="Times New Roman;sans-serif"/>
          <w:b w:val="false"/>
          <w:color w:val="000000"/>
          <w:sz w:val="22"/>
        </w:rPr>
        <w:t>.</w:t>
      </w:r>
    </w:p>
    <w:p>
      <w:pPr>
        <w:pStyle w:val="TextBody"/>
        <w:bidi w:val="0"/>
        <w:spacing w:lineRule="auto" w:line="240" w:before="240" w:after="283"/>
        <w:jc w:val="both"/>
        <w:rPr/>
      </w:pPr>
      <w:r>
        <w:rPr>
          <w:rFonts w:ascii="Times New Roman;sans-serif" w:hAnsi="Times New Roman;sans-serif"/>
          <w:b w:val="false"/>
          <w:color w:val="000000"/>
          <w:sz w:val="22"/>
        </w:rPr>
        <w:t>Subject to Section 6, if the Company is required to prepare an accounting restatement due to its material noncompliance with any financial reporting requirement under securities laws, including restatements that (a) correct an error in previously issued financial statements that is material to the previously issued financial statements or (b) would result in a material misstatement if the error were corrected in the current period or left uncorrected in the current period (each, a “</w:t>
      </w:r>
      <w:r>
        <w:rPr>
          <w:rFonts w:ascii="Times New Roman;sans-serif" w:hAnsi="Times New Roman;sans-serif"/>
          <w:b/>
          <w:i/>
          <w:color w:val="000000"/>
          <w:sz w:val="22"/>
        </w:rPr>
        <w:t>Recoverable Event</w:t>
      </w:r>
      <w:r>
        <w:rPr>
          <w:color w:val="000000"/>
        </w:rPr>
        <w:t>”</w:t>
      </w:r>
      <w:r>
        <w:rPr>
          <w:rFonts w:ascii="Times New Roman;sans-serif" w:hAnsi="Times New Roman;sans-serif"/>
          <w:b w:val="false"/>
          <w:color w:val="000000"/>
          <w:sz w:val="22"/>
        </w:rPr>
        <w:t>), the Company shall recover any Recoverable Amount with respect to Incentive Compensation (each, as defined below) received by a Covered Employee during the three completed fiscal years that immediately precedes the date that the Company’s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a committee of the Board, or any of the Company’s officers that are so authorized, concludes, or reasonably should have concluded, that the Company is required to prepare such an accounting restatement, or, if earlier, the date on which a court, regulator or other legally authorized body directs the Company to prepare such an accounting restatement (the “</w:t>
      </w:r>
      <w:r>
        <w:rPr>
          <w:rFonts w:ascii="Times New Roman;sans-serif" w:hAnsi="Times New Roman;sans-serif"/>
          <w:b/>
          <w:i/>
          <w:color w:val="000000"/>
          <w:sz w:val="22"/>
        </w:rPr>
        <w:t>Recovery Period</w:t>
      </w:r>
      <w:r>
        <w:rPr>
          <w:color w:val="000000"/>
        </w:rPr>
        <w:t>”</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40" w:before="240" w:after="283"/>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Applicability</w:t>
      </w:r>
      <w:r>
        <w:rPr>
          <w:rFonts w:ascii="Times New Roman;sans-serif" w:hAnsi="Times New Roman;sans-serif"/>
          <w:b w:val="false"/>
          <w:color w:val="000000"/>
          <w:sz w:val="22"/>
        </w:rPr>
        <w:t>.</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Covered Employees</w:t>
      </w:r>
      <w:r>
        <w:rPr>
          <w:rFonts w:ascii="Times New Roman;sans-serif" w:hAnsi="Times New Roman;sans-serif"/>
          <w:b w:val="false"/>
          <w:color w:val="000000"/>
          <w:sz w:val="22"/>
        </w:rPr>
        <w:t>. This Policy applies to all current or former “executive officers” of the Company, as defined under the Securities Exchange Act of 1934, as amended, that served at any time during the Recovery Period (collectively the “</w:t>
      </w:r>
      <w:r>
        <w:rPr>
          <w:rFonts w:ascii="Times New Roman;sans-serif" w:hAnsi="Times New Roman;sans-serif"/>
          <w:b/>
          <w:i/>
          <w:color w:val="000000"/>
          <w:sz w:val="22"/>
        </w:rPr>
        <w:t>Covered Employees</w:t>
      </w:r>
      <w:r>
        <w:rPr>
          <w:color w:val="000000"/>
        </w:rPr>
        <w:t>”</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Incentive Compensation</w:t>
      </w:r>
      <w:r>
        <w:rPr>
          <w:rFonts w:ascii="Times New Roman;sans-serif" w:hAnsi="Times New Roman;sans-serif"/>
          <w:b w:val="false"/>
          <w:color w:val="000000"/>
          <w:sz w:val="22"/>
        </w:rPr>
        <w:t>. This Policy applies to any compensation that is granted, earned, or vested based wholly or in part upon the attainment of one or more Financial Reporting Measures (“</w:t>
      </w:r>
      <w:r>
        <w:rPr>
          <w:rFonts w:ascii="Times New Roman;sans-serif" w:hAnsi="Times New Roman;sans-serif"/>
          <w:b/>
          <w:i/>
          <w:color w:val="000000"/>
          <w:sz w:val="22"/>
        </w:rPr>
        <w:t>Incentive Compensation</w:t>
      </w:r>
      <w:r>
        <w:rPr>
          <w:color w:val="000000"/>
        </w:rPr>
        <w:t>”</w:t>
      </w:r>
      <w:r>
        <w:rPr>
          <w:rFonts w:ascii="Times New Roman;sans-serif" w:hAnsi="Times New Roman;sans-serif"/>
          <w:b w:val="false"/>
          <w:color w:val="000000"/>
          <w:sz w:val="22"/>
        </w:rPr>
        <w:t xml:space="preserve">) received by a Covered Employee and during the Recovery Period. For purposes of this Policy, Incentive Compensation shall be deemed “received” when the Financial Reporting Measure is attained or satisfied, without regard to whether the grant, vesting, or payment of the Incentive Compensation occurs after. </w:t>
      </w:r>
    </w:p>
    <w:p>
      <w:pPr>
        <w:pStyle w:val="TextBody"/>
        <w:bidi w:val="0"/>
        <w:spacing w:lineRule="auto" w:line="240" w:before="240" w:after="283"/>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are measures that are determined and presented in accordance with the accounting principles used in preparing the issuer’s financial statements, and any measures derived wholly or in part from such financial statements, including both GAAP and non-GAAP financial measures, as well as stock price and total stockholder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w: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any Incentive Compensation received by a Covered Employee prior to October 2, 2023 or prior to their commencement of service as an executive officer is not subject to this Policy. Equity awards that vest exclusively upon completion of a specified employment period, without any performance condition, and bonus awards that are discretionary or based on subjective goals or goals unrelated to Financial Reporting Measures shall not constitute Incentive Compensation.</w:t>
      </w:r>
    </w:p>
    <w:p>
      <w:pPr>
        <w:pStyle w:val="TextBody"/>
        <w:bidi w:val="0"/>
        <w:spacing w:lineRule="auto" w:line="240" w:before="240" w:after="283"/>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 xml:space="preserve">Administration of the Policy. </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Authority</w:t>
      </w:r>
      <w:r>
        <w:rPr>
          <w:rFonts w:ascii="Times New Roman;sans-serif" w:hAnsi="Times New Roman;sans-serif"/>
          <w:b w:val="false"/>
          <w:color w:val="000000"/>
          <w:sz w:val="22"/>
        </w:rPr>
        <w:t>. The Policy will be administered by the Compensation Committee of the Board of Directors unless the Board of Directors determines to administer the Policy itself (the Compensation Committee or the Board of Directors, as applicable, in its role administering the Policy is the “</w:t>
      </w:r>
      <w:r>
        <w:rPr>
          <w:rFonts w:ascii="Times New Roman;sans-serif" w:hAnsi="Times New Roman;sans-serif"/>
          <w:b/>
          <w:i/>
          <w:color w:val="000000"/>
          <w:sz w:val="22"/>
        </w:rPr>
        <w:t>Administrator</w:t>
      </w:r>
      <w:r>
        <w:rPr>
          <w:color w:val="000000"/>
        </w:rPr>
        <w:t>”</w:t>
      </w:r>
      <w:r>
        <w:rPr>
          <w:rFonts w:ascii="Times New Roman;sans-serif" w:hAnsi="Times New Roman;sans-serif"/>
          <w:b w:val="false"/>
          <w:color w:val="000000"/>
          <w:sz w:val="22"/>
        </w:rPr>
        <w:t xml:space="preserve">). The Administrator shall have full and final authority to make all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13410"/>
                <wp:effectExtent l="0" t="0" r="0" b="0"/>
                <wp:wrapNone/>
                <wp:docPr id="106" name="Frame98"/>
                <a:graphic xmlns:a="http://schemas.openxmlformats.org/drawingml/2006/main">
                  <a:graphicData uri="http://schemas.microsoft.com/office/word/2010/wordprocessingShape">
                    <wps:wsp>
                      <wps:cNvSpPr txBox="1"/>
                      <wps:spPr>
                        <a:xfrm>
                          <a:off x="0" y="0"/>
                          <a:ext cx="6480175" cy="61341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CooperCompanies Compensation Recovery Policy</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Adopted: October 2021</w:t>
                            </w:r>
                          </w:p>
                          <w:p>
                            <w:pPr>
                              <w:pStyle w:val="TextBody"/>
                              <w:bidi w:val="0"/>
                              <w:spacing w:lineRule="auto" w:line="240" w:before="0" w:after="0"/>
                              <w:jc w:val="left"/>
                              <w:rPr/>
                            </w:pPr>
                            <w:r>
                              <w:rPr>
                                <w:rFonts w:ascii="Times New Roman;sans-serif" w:hAnsi="Times New Roman;sans-serif"/>
                                <w:b w:val="false"/>
                                <w:color w:val="000000"/>
                                <w:sz w:val="18"/>
                              </w:rPr>
                              <w:t>Amended: October 2023</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CooperCompanies Compensation Recovery Policy</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Adopted: October 2021</w:t>
                      </w:r>
                    </w:p>
                    <w:p>
                      <w:pPr>
                        <w:pStyle w:val="TextBody"/>
                        <w:bidi w:val="0"/>
                        <w:spacing w:lineRule="auto" w:line="240" w:before="0" w:after="0"/>
                        <w:jc w:val="left"/>
                        <w:rPr/>
                      </w:pPr>
                      <w:r>
                        <w:rPr>
                          <w:rFonts w:ascii="Times New Roman;sans-serif" w:hAnsi="Times New Roman;sans-serif"/>
                          <w:b w:val="false"/>
                          <w:color w:val="000000"/>
                          <w:sz w:val="18"/>
                        </w:rPr>
                        <w:t>Amended: October 2023</w:t>
                      </w:r>
                      <w:r>
                        <w:rPr>
                          <w:color w:val="000000"/>
                        </w:rPr>
                        <w:t xml:space="preserve"> </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determinations necessary, appropriate, or advisable for the administration of the Policy. It is intended that this Policy be interpreted in a manner that is consistent with the requirements of Section 10D of the Securities Exchange Act of 1934, and the guidance and regulations promulgated thereunder, and any applicable rules or standards adopted by the Securities and Exchange Commission or any national securities exchange on which the Company’s securities are listed.. All determinations and decisions made by the Administrator pursuant to the provisions of this Policy shall be final, conclusive, and binding on all persons, including the Company, its affiliates, its stockholders and employees. The Administrator may delegate ministerial administrative duties to one or more officers or employees of the Company, as permitted under applicable law.</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Liability</w:t>
      </w:r>
      <w:r>
        <w:rPr>
          <w:rFonts w:ascii="Times New Roman;sans-serif" w:hAnsi="Times New Roman;sans-serif"/>
          <w:b w:val="false"/>
          <w:color w:val="000000"/>
          <w:sz w:val="22"/>
        </w:rPr>
        <w:t>. No member of the Administrator shall be personally liable for any action or determination made in good faith with respect to this Policy or to any settlement of any dispute between a Covered Employee and the Company. The Administrator shall be entitled to rely upon the advice or opinions of any attorneys, consultants, accountants, appraisers, brokers or other persons with respect to all matters concerning this Policy.</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Determination of Recoverable Amounts.</w:t>
      </w:r>
      <w:r>
        <w:rPr>
          <w:color w:val="000000"/>
        </w:rPr>
        <w:t xml:space="preserve"> </w:t>
      </w:r>
      <w:r>
        <w:rPr>
          <w:rFonts w:ascii="Times New Roman;sans-serif" w:hAnsi="Times New Roman;sans-serif"/>
          <w:b w:val="false"/>
          <w:color w:val="000000"/>
          <w:sz w:val="22"/>
        </w:rPr>
        <w:t>The “</w:t>
      </w:r>
      <w:r>
        <w:rPr>
          <w:rFonts w:ascii="Times New Roman;sans-serif" w:hAnsi="Times New Roman;sans-serif"/>
          <w:b/>
          <w:i/>
          <w:color w:val="000000"/>
          <w:sz w:val="22"/>
        </w:rPr>
        <w:t>Recoverable Amount</w:t>
      </w:r>
      <w:r>
        <w:rPr>
          <w:color w:val="000000"/>
        </w:rPr>
        <w:t xml:space="preserve">” </w:t>
      </w:r>
      <w:r>
        <w:rPr>
          <w:rFonts w:ascii="Times New Roman;sans-serif" w:hAnsi="Times New Roman;sans-serif"/>
          <w:b w:val="false"/>
          <w:color w:val="000000"/>
          <w:sz w:val="22"/>
        </w:rPr>
        <w:t xml:space="preserve">shall be equal to the excess of the amount of Incentive Compensation received based on the achievement of a Financial Reporting Measure that was subsequently revised due to the Recoverable Event, over the amount of Incentive Compensation that would have been received based on the restated Financial Reporting Measure, as determined on a pre-tax basis. For Incentive Compensation based on TSR or stock price, the Recoverable Amount will be based on the Administrator’s reasonable estimate of the effect of the Recoverable Event on the applicable measure, with such analysis documented and provided to the applicable listing exchange. </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 xml:space="preserve">Manner of Recovery. </w:t>
      </w:r>
      <w:r>
        <w:rPr>
          <w:rFonts w:ascii="Times New Roman;sans-serif" w:hAnsi="Times New Roman;sans-serif"/>
          <w:b w:val="false"/>
          <w:color w:val="000000"/>
          <w:sz w:val="22"/>
        </w:rPr>
        <w:t xml:space="preserve">The Administrator shall determine, in its sole discretion, the manner of recovery of any Recoverable Amount, which may include, without limitation, to the extent permitted by applicable law: </w:t>
      </w:r>
    </w:p>
    <w:p>
      <w:pPr>
        <w:pStyle w:val="TextBody"/>
        <w:bidi w:val="0"/>
        <w:spacing w:lineRule="auto" w:line="240"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(a)requiring reimbursement of cash Incentive Compensation previously paid;</w:t>
      </w:r>
    </w:p>
    <w:p>
      <w:pPr>
        <w:pStyle w:val="TextBody"/>
        <w:bidi w:val="0"/>
        <w:spacing w:lineRule="auto" w:line="240"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(b)seeking recovery of any gain realized on the vesting, exercise, settlement, sale, transfer or other disposition of any equity-based awards;</w:t>
      </w:r>
    </w:p>
    <w:p>
      <w:pPr>
        <w:pStyle w:val="TextBody"/>
        <w:bidi w:val="0"/>
        <w:spacing w:lineRule="auto" w:line="240"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(c)offsetting the Recoverable Amount from any compensation otherwise owed by the Company to the Covered Employee; </w:t>
      </w:r>
    </w:p>
    <w:p>
      <w:pPr>
        <w:pStyle w:val="TextBody"/>
        <w:bidi w:val="0"/>
        <w:spacing w:lineRule="auto" w:line="240"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(d)cancelling outstanding vested or unvested equity awards; and/or </w:t>
      </w:r>
    </w:p>
    <w:p>
      <w:pPr>
        <w:pStyle w:val="TextBody"/>
        <w:bidi w:val="0"/>
        <w:spacing w:lineRule="auto" w:line="240" w:before="12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(e)taking any other remedial and recovery action, as determined by the Administrator;</w:t>
      </w:r>
    </w:p>
    <w:p>
      <w:pPr>
        <w:pStyle w:val="TextBody"/>
        <w:bidi w:val="0"/>
        <w:spacing w:lineRule="auto" w:line="240" w:before="120" w:after="240"/>
        <w:jc w:val="both"/>
        <w:rPr/>
      </w:pPr>
      <w:r>
        <w:rPr>
          <w:rFonts w:ascii="Times New Roman;sans-serif" w:hAnsi="Times New Roman;sans-serif"/>
          <w:b w:val="false"/>
          <w:i/>
          <w:color w:val="000000"/>
          <w:sz w:val="22"/>
        </w:rPr>
        <w:t>provided, however</w:t>
      </w:r>
      <w:r>
        <w:rPr>
          <w:rFonts w:ascii="Times New Roman;sans-serif" w:hAnsi="Times New Roman;sans-serif"/>
          <w:b w:val="false"/>
          <w:color w:val="000000"/>
          <w:sz w:val="22"/>
        </w:rPr>
        <w:t>, that the method for recovery of Incentive Compensation selected by the Administrator shall not cause a violation of the payment timing rules of Section 409A of the Internal Revenue Code of 1986, as amended (the “</w:t>
      </w:r>
      <w:r>
        <w:rPr>
          <w:rFonts w:ascii="Times New Roman;sans-serif" w:hAnsi="Times New Roman;sans-serif"/>
          <w:b/>
          <w:i/>
          <w:color w:val="000000"/>
          <w:sz w:val="22"/>
        </w:rPr>
        <w:t>Code</w:t>
      </w:r>
      <w:r>
        <w:rPr>
          <w:color w:val="000000"/>
        </w:rPr>
        <w:t>”</w:t>
      </w:r>
      <w:r>
        <w:rPr>
          <w:rFonts w:ascii="Times New Roman;sans-serif" w:hAnsi="Times New Roman;sans-serif"/>
          <w:b w:val="false"/>
          <w:color w:val="000000"/>
          <w:sz w:val="22"/>
        </w:rPr>
        <w:t xml:space="preserve">) or result in the Covered Employee being subject to the interest and additional tax provisions of Section 409A(a)(1)(B) of the Code. </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Impracticability</w:t>
      </w:r>
      <w:r>
        <w:rPr>
          <w:rFonts w:ascii="Times New Roman;sans-serif" w:hAnsi="Times New Roman;sans-serif"/>
          <w:b w:val="false"/>
          <w:color w:val="000000"/>
          <w:sz w:val="22"/>
        </w:rPr>
        <w:t xml:space="preserve">. If the Administrator determines that (a) the direct costs paid to third parties to assist in enforcing recovery would exceed the Recoverable Amount, (b) the recovery would violate the Company’s home country law, adopted before November 28, 2022, pursuant to the opinion of home country counsel, or (c) the recovery would likely cause an otherwise tax-qualified retirement plan, under which benefits are broadly available to employees of the Company, to fail to meet the requirements of 26 U.S.C. 401(a)(13) or 26 U.S.C. 411(a) and regulations thereunder, then, subject to the following sentence, the Company shall not be required to recover the Recoverable Amounts. </w: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the Company shall make reasonable attempts to recover the Recoverable Amounts before determining that it is impracticable to do so for the aforementioned reasons and must document such attempts and provide such documentation to the relevant listing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01040"/>
                <wp:effectExtent l="0" t="0" r="0" b="0"/>
                <wp:wrapNone/>
                <wp:docPr id="107" name="Frame99"/>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CooperCompanies Compensation Recovery Policy</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Adopted: October 2021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Amended: October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CooperCompanies Compensation Recovery Policy</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Adopted: October 2021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Amended: October 2023</w:t>
                      </w:r>
                    </w:p>
                  </w:txbxContent>
                </v:textbox>
                <w10:wrap type="none"/>
              </v:rect>
            </w:pict>
          </mc:Fallback>
        </mc:AlternateConten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No Indemnification</w:t>
      </w:r>
      <w:r>
        <w:rPr>
          <w:rFonts w:ascii="Times New Roman;sans-serif" w:hAnsi="Times New Roman;sans-serif"/>
          <w:b w:val="false"/>
          <w:color w:val="000000"/>
          <w:sz w:val="22"/>
        </w:rPr>
        <w:t xml:space="preserve">. The Company shall not indemnify any Covered Employee against the loss of any erroneously awarded Incentive Compensation pursuant to the Policy, nor shall the Company directly or indirectly pay or reimburse any Covered Employee for any premiums for third-party insurance policies that such Covered Employees may elect to purchase to fund potential recovery obligations under the Policy. </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Amendment, Modification and Termination</w:t>
      </w:r>
      <w:r>
        <w:rPr>
          <w:rFonts w:ascii="Times New Roman;sans-serif" w:hAnsi="Times New Roman;sans-serif"/>
          <w:b w:val="false"/>
          <w:color w:val="000000"/>
          <w:sz w:val="22"/>
        </w:rPr>
        <w:t xml:space="preserve">. This Policy may at any time or from time to time be amended, modified or terminated by the Administrator, in whole or in part, provided that such amendment, modification or termination complies with applicable law. </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Enforceability</w:t>
      </w:r>
      <w:r>
        <w:rPr>
          <w:rFonts w:ascii="Times New Roman;sans-serif" w:hAnsi="Times New Roman;sans-serif"/>
          <w:b w:val="false"/>
          <w:color w:val="000000"/>
          <w:sz w:val="22"/>
        </w:rPr>
        <w:t>. The adoption of this Policy does not mitigate, and is intended to enhance, the effect of any recoupment, forfeiture or similar policies in any employment agreement, bonus plan, equity-based award agreement or similar agreement. The remedy specified in this Policy shall not be exclusive and shall be in addition to every other right or remedy at law or in equity that may be available to the Company.</w:t>
      </w:r>
    </w:p>
    <w:p>
      <w:pPr>
        <w:pStyle w:val="TextBody"/>
        <w:bidi w:val="0"/>
        <w:spacing w:lineRule="auto" w:line="240" w:before="240" w:after="283"/>
        <w:ind w:left="0" w:right="0" w:hanging="36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1040"/>
                <wp:effectExtent l="0" t="0" r="0" b="0"/>
                <wp:wrapNone/>
                <wp:docPr id="108" name="Frame10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CooperCompanies Compensation Recovery Policy</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Adopted: October 2021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Amended: October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CooperCompanies Compensation Recovery Policy</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Adopted: October 2021</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Amended: October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 descr=""/>
                    <pic:cNvPicPr>
                      <a:picLocks noChangeAspect="1" noChangeArrowheads="1"/>
                    </pic:cNvPicPr>
                  </pic:nvPicPr>
                  <pic:blipFill>
                    <a:blip r:embed="rId41"/>
                    <a:stretch>
                      <a:fillRect/>
                    </a:stretch>
                  </pic:blipFill>
                  <pic:spPr bwMode="auto">
                    <a:xfrm>
                      <a:off x="0" y="0"/>
                      <a:ext cx="1895475" cy="3619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0" w:after="0"/>
        <w:jc w:val="center"/>
        <w:rPr>
          <w:rFonts w:ascii="Cambria;sans-serif" w:hAnsi="Cambria;sans-serif"/>
          <w:b/>
          <w:color w:val="000000"/>
          <w:sz w:val="32"/>
        </w:rPr>
      </w:pPr>
      <w:r>
        <w:rPr>
          <w:rFonts w:ascii="Cambria;sans-serif" w:hAnsi="Cambria;sans-serif"/>
          <w:b/>
          <w:color w:val="000000"/>
          <w:sz w:val="32"/>
        </w:rPr>
        <w:t>STOCK TRADING POLICY</w:t>
      </w:r>
    </w:p>
    <w:p>
      <w:pPr>
        <w:pStyle w:val="TextBody"/>
        <w:bidi w:val="0"/>
        <w:spacing w:before="0" w:after="0"/>
        <w:jc w:val="center"/>
        <w:rPr/>
      </w:pPr>
      <w:r>
        <w:rPr/>
      </w:r>
    </w:p>
    <w:p>
      <w:pPr>
        <w:pStyle w:val="TextBody"/>
        <w:bidi w:val="0"/>
        <w:spacing w:lineRule="auto" w:line="240" w:before="0" w:after="0"/>
        <w:jc w:val="center"/>
        <w:rPr>
          <w:rFonts w:ascii="Cambria;sans-serif" w:hAnsi="Cambria;sans-serif"/>
          <w:b/>
          <w:color w:val="000000"/>
          <w:sz w:val="28"/>
        </w:rPr>
      </w:pPr>
      <w:r>
        <w:rPr>
          <w:rFonts w:ascii="Cambria;sans-serif" w:hAnsi="Cambria;sans-serif"/>
          <w:b/>
          <w:color w:val="000000"/>
          <w:sz w:val="28"/>
        </w:rPr>
        <w:t>Procedures And Guidelines Governing</w:t>
      </w:r>
    </w:p>
    <w:p>
      <w:pPr>
        <w:pStyle w:val="TextBody"/>
        <w:bidi w:val="0"/>
        <w:spacing w:lineRule="auto" w:line="240" w:before="0" w:after="0"/>
        <w:jc w:val="center"/>
        <w:rPr>
          <w:rFonts w:ascii="Cambria;sans-serif" w:hAnsi="Cambria;sans-serif"/>
          <w:b/>
          <w:color w:val="000000"/>
          <w:sz w:val="28"/>
        </w:rPr>
      </w:pPr>
      <w:r>
        <w:rPr>
          <w:rFonts w:ascii="Cambria;sans-serif" w:hAnsi="Cambria;sans-serif"/>
          <w:b/>
          <w:color w:val="000000"/>
          <w:sz w:val="28"/>
        </w:rPr>
        <w:t xml:space="preserve">Securities Trades By Directors And Senior Executives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I.    POLICY</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State and federal securities laws prohibit the use of material non-public information in breach of a duty of trust or confidence by any person in purchasing or selling securities, as well as the communication of such information to any other person who may purchase or sell securities.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In order to comply with these laws, The Cooper Companies, Inc. (together with its subsidiaries, the “Company”) has adopted this Stock Trading Policy (“Policy”).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II.    SCOPE</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Calibri;sans-serif" w:hAnsi="Calibri;sans-serif"/>
          <w:b w:val="false"/>
          <w:color w:val="000000"/>
          <w:sz w:val="22"/>
        </w:rPr>
        <w:t xml:space="preserve">A.    This Policy covers the directors and Senior Executives of the Company (as listed in </w:t>
      </w:r>
      <w:r>
        <w:rPr>
          <w:rFonts w:ascii="Calibri;sans-serif" w:hAnsi="Calibri;sans-serif"/>
          <w:b w:val="false"/>
          <w:color w:val="000000"/>
          <w:sz w:val="22"/>
          <w:u w:val="single"/>
        </w:rPr>
        <w:t xml:space="preserve">Exhibit A </w:t>
      </w:r>
      <w:r>
        <w:rPr>
          <w:rFonts w:ascii="Calibri;sans-serif" w:hAnsi="Calibri;sans-serif"/>
          <w:b w:val="false"/>
          <w:color w:val="000000"/>
          <w:sz w:val="22"/>
        </w:rPr>
        <w:t xml:space="preserve">of this Policy), their spouses, dependent children, and others living in their households and all entities (such as trusts and corporations) over which such directors and Senior Executives have or share voting or investment control (collectively referred to herein as </w:t>
      </w:r>
      <w:r>
        <w:rPr>
          <w:rFonts w:ascii="Calibri;sans-serif" w:hAnsi="Calibri;sans-serif"/>
          <w:b w:val="false"/>
          <w:i/>
          <w:color w:val="000000"/>
          <w:sz w:val="22"/>
        </w:rPr>
        <w:t xml:space="preserve">"directors and Senior Executives"). </w:t>
      </w:r>
      <w:r>
        <w:rPr>
          <w:rFonts w:ascii="Calibri;sans-serif" w:hAnsi="Calibri;sans-serif"/>
          <w:b w:val="false"/>
          <w:color w:val="000000"/>
          <w:sz w:val="22"/>
        </w:rPr>
        <w:t>Directors and Senior Executives are responsible for ensuring compliance by their families, other members of their households and entities over which they exercise voting or investment control.</w:t>
      </w:r>
    </w:p>
    <w:p>
      <w:pPr>
        <w:pStyle w:val="TextBody"/>
        <w:bidi w:val="0"/>
        <w:spacing w:lineRule="auto" w:line="240" w:before="0" w:after="0"/>
        <w:ind w:left="0" w:right="0" w:hanging="360"/>
        <w:jc w:val="both"/>
        <w:rPr/>
      </w:pPr>
      <w:r>
        <w:rPr>
          <w:rFonts w:ascii="Calibri;sans-serif" w:hAnsi="Calibri;sans-serif"/>
          <w:b w:val="false"/>
          <w:color w:val="000000"/>
          <w:sz w:val="22"/>
        </w:rPr>
        <w:t xml:space="preserve">B.    The Company has designated certain of the directors and Senior Executives as the directors, officers and entities who are subject to the reporting provisions and trading restrictions of Section 16 of the Exchange Act, and the underlying rules and regulations promulgated by the Securities and Exchange Commission (the "SEC"). Each of these individuals is identified as such on </w:t>
      </w:r>
      <w:r>
        <w:rPr>
          <w:rFonts w:ascii="Calibri;sans-serif" w:hAnsi="Calibri;sans-serif"/>
          <w:b w:val="false"/>
          <w:color w:val="000000"/>
          <w:sz w:val="22"/>
          <w:u w:val="single"/>
        </w:rPr>
        <w:t>Exhibit A</w:t>
      </w:r>
      <w:r>
        <w:rPr>
          <w:color w:val="000000"/>
        </w:rPr>
        <w:t xml:space="preserve"> </w:t>
      </w:r>
      <w:r>
        <w:rPr>
          <w:rFonts w:ascii="Calibri;sans-serif" w:hAnsi="Calibri;sans-serif"/>
          <w:b w:val="false"/>
          <w:color w:val="000000"/>
          <w:sz w:val="22"/>
        </w:rPr>
        <w:t xml:space="preserve">and is referred to herein as a "Section 16 Party." The Company will amend </w:t>
      </w:r>
      <w:r>
        <w:rPr>
          <w:rFonts w:ascii="Calibri;sans-serif" w:hAnsi="Calibri;sans-serif"/>
          <w:b w:val="false"/>
          <w:color w:val="000000"/>
          <w:sz w:val="22"/>
          <w:u w:val="single"/>
        </w:rPr>
        <w:t>Exhibit A</w:t>
      </w:r>
      <w:r>
        <w:rPr>
          <w:color w:val="000000"/>
        </w:rPr>
        <w:t xml:space="preserve"> </w:t>
      </w:r>
      <w:r>
        <w:rPr>
          <w:rFonts w:ascii="Calibri;sans-serif" w:hAnsi="Calibri;sans-serif"/>
          <w:b w:val="false"/>
          <w:color w:val="000000"/>
          <w:sz w:val="22"/>
        </w:rPr>
        <w:t>from time to time as necessary to update the list of Section 16 Parties.</w:t>
      </w:r>
    </w:p>
    <w:p>
      <w:pPr>
        <w:pStyle w:val="TextBody"/>
        <w:bidi w:val="0"/>
        <w:spacing w:before="0" w:after="0"/>
        <w:jc w:val="both"/>
        <w:rPr/>
      </w:pPr>
      <w:r>
        <w:rPr/>
      </w:r>
    </w:p>
    <w:p>
      <w:pPr>
        <w:pStyle w:val="TextBody"/>
        <w:bidi w:val="0"/>
        <w:spacing w:lineRule="auto" w:line="240"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C.    Directors and Senior Executives whose service with the Company terminates during a quarterly or special blackout period as provided for by Section V.A. shall remain subject to this Policy through the end of such blackout period. In addition, directors and Senior Executives whose service with the Company terminates at a time when they are in possession of material non-public information shall remain subject to this Policy until such time that the information has become public or is no longer material.</w:t>
      </w:r>
    </w:p>
    <w:p>
      <w:pPr>
        <w:pStyle w:val="TextBody"/>
        <w:bidi w:val="0"/>
        <w:spacing w:before="0" w:after="0"/>
        <w:jc w:val="both"/>
        <w:rPr/>
      </w:pPr>
      <w:r>
        <w:rPr/>
      </w:r>
    </w:p>
    <w:p>
      <w:pPr>
        <w:pStyle w:val="TextBody"/>
        <w:bidi w:val="0"/>
        <w:spacing w:lineRule="auto" w:line="240" w:before="0" w:after="0"/>
        <w:ind w:left="0" w:right="0" w:hanging="360"/>
        <w:jc w:val="both"/>
        <w:rPr/>
      </w:pPr>
      <w:r>
        <w:rPr>
          <w:rFonts w:ascii="Calibri;sans-serif" w:hAnsi="Calibri;sans-serif"/>
          <w:b w:val="false"/>
          <w:color w:val="000000"/>
          <w:sz w:val="22"/>
        </w:rPr>
        <w:t>D.    This Policy shall not apply to a trustee or custodian which holds shares for the benefit of any person subject to this Policy so long as (1) the trustee or custodian is not also a person subject to this Policy and (2) no person subject to this Policy, directly or indirectly, has or shares voting or investment control over such shares (including the right to direct the actions of the trustee or custodian), or has the right to replace the trustee</w:t>
      </w:r>
      <w:r>
        <w:rPr>
          <w:color w:val="000000"/>
        </w:rPr>
        <w:t xml:space="preserve"> </w:t>
      </w:r>
      <w:r>
        <w:rPr>
          <w:rFonts w:ascii="Calibri;sans-serif" w:hAnsi="Calibri;sans-serif"/>
          <w:b w:val="false"/>
          <w:color w:val="000000"/>
          <w:sz w:val="22"/>
        </w:rPr>
        <w:t>or custodian without cause or to terminate or revoke the trust without cause.</w:t>
      </w:r>
    </w:p>
    <w:p>
      <w:pPr>
        <w:pStyle w:val="TextBody"/>
        <w:bidi w:val="0"/>
        <w:spacing w:before="0" w:after="0"/>
        <w:jc w:val="both"/>
        <w:rPr/>
      </w:pPr>
      <w:r>
        <w:rPr/>
      </w:r>
    </w:p>
    <w:p>
      <w:pPr>
        <w:pStyle w:val="TextBody"/>
        <w:bidi w:val="0"/>
        <w:spacing w:lineRule="auto" w:line="240"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E.    This Policy applies to any and all transactions in the Company's securities, including its common stock and options to purchase common stock, and any other type of securities that the Company may issue, such as preferred stock, convertible debentures, warrants and exchange-traded options or other derivative securities, by persons and entities subject to this Policy.</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012825"/>
                <wp:effectExtent l="0" t="0" r="0" b="0"/>
                <wp:wrapNone/>
                <wp:docPr id="110" name="Frame101"/>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r>
                                    <w:br w:type="page"/>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1</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1</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 descr=""/>
                    <pic:cNvPicPr>
                      <a:picLocks noChangeAspect="1" noChangeArrowheads="1"/>
                    </pic:cNvPicPr>
                  </pic:nvPicPr>
                  <pic:blipFill>
                    <a:blip r:embed="rId42"/>
                    <a:stretch>
                      <a:fillRect/>
                    </a:stretch>
                  </pic:blipFill>
                  <pic:spPr bwMode="auto">
                    <a:xfrm>
                      <a:off x="0" y="0"/>
                      <a:ext cx="1895475" cy="361950"/>
                    </a:xfrm>
                    <a:prstGeom prst="rect">
                      <a:avLst/>
                    </a:prstGeom>
                  </pic:spPr>
                </pic:pic>
              </a:graphicData>
            </a:graphic>
          </wp:inline>
        </w:drawing>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III.    MATERIAL NON-PUBLIC INFORMATION</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Information is considered “material”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Examples of material information may include (but are not limited to) information about:</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2"/>
        </w:rPr>
        <w:t xml:space="preserve">corporate earnings or earnings forecasts;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possible mergers, acquisitions, tender offers, or dispositions;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major new products or product developments;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important business developments, such as the results of clinical trials and developments regarding strategic collaborations;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management or control changes;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significant financing developments including pending public sales or offerings of debt or equity securities;</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defaults on borrowings;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bankruptcies; </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cybersecurity or data security incidents; and</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2"/>
        </w:rPr>
        <w:t xml:space="preserve">significant litigation or regulatory actions.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Information is “non-public” if it is not available to the general public. In order for information to be considered “public,” it must be widely disseminated in a manner that makes it generally available to investors in a Regulation FD-compliant method, such as through a press release, a filing with the U.S. Securities and Exchange Commission (the “SEC”) or a Regulation FD-compliant conference call. The General Counsel shall have sole discretion to decide whether information is public for purposes of this Policy.</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IV.    POLICY AND PROCEDURES</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A.    PROHIBITED ACTIVITIES</w:t>
      </w:r>
    </w:p>
    <w:p>
      <w:pPr>
        <w:pStyle w:val="TextBody"/>
        <w:bidi w:val="0"/>
        <w:spacing w:before="0" w:after="0"/>
        <w:jc w:val="both"/>
        <w:rPr/>
      </w:pPr>
      <w:r>
        <w:rPr/>
      </w:r>
    </w:p>
    <w:p>
      <w:pPr>
        <w:pStyle w:val="TextBody"/>
        <w:bidi w:val="0"/>
        <w:spacing w:lineRule="auto" w:line="240"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1.    No director or Senior Executive may trade in Company securities, in breach of a duty of trust or confidence, while in possession of material non-public information concerning the Company or its securities. It does not matter that there is an independent, justifiable reason for a purchase or sale. The foregoing restriction(s) shall not apply to trades validly made pursuant to a Trading Plan adopted and approved in compliance with Sections VI.A and VI.B below.</w:t>
      </w:r>
    </w:p>
    <w:p>
      <w:pPr>
        <w:pStyle w:val="TextBody"/>
        <w:bidi w:val="0"/>
        <w:spacing w:before="0" w:after="0"/>
        <w:ind w:left="0" w:right="0" w:hanging="360"/>
        <w:jc w:val="both"/>
        <w:rPr/>
      </w:pPr>
      <w:r>
        <w:rPr/>
      </w:r>
    </w:p>
    <w:p>
      <w:pPr>
        <w:pStyle w:val="TextBody"/>
        <w:bidi w:val="0"/>
        <w:spacing w:lineRule="auto" w:line="240"/>
        <w:ind w:left="0" w:right="0" w:hanging="360"/>
        <w:jc w:val="both"/>
        <w:rPr>
          <w:rFonts w:ascii="Calibri;sans-serif" w:hAnsi="Calibri;sans-serif"/>
          <w:b w:val="false"/>
          <w:color w:val="000000"/>
          <w:sz w:val="22"/>
        </w:rPr>
      </w:pPr>
      <w:r>
        <w:rPr>
          <w:rFonts w:ascii="Calibri;sans-serif" w:hAnsi="Calibri;sans-serif"/>
          <w:b w:val="false"/>
          <w:color w:val="000000"/>
          <w:sz w:val="22"/>
        </w:rPr>
        <w:t xml:space="preserve">2.    No director or Senior Executive may disclose material non-public information concerning the Company or its securities to any outside person (including family members, analysts, individual investors, or members of the investment community and news media), unless required as part of that director’s or Senior Executive’s regular duties for the Company or authorized by the Company’s General Counsel. In any instance in which such information is disclosed to outsiders, the Company will take such steps as are necessary to preserve the confidentiality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012825"/>
                <wp:effectExtent l="0" t="0" r="0" b="0"/>
                <wp:wrapNone/>
                <wp:docPr id="112" name="Frame102"/>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r>
                                    <w:br w:type="page"/>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2</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2</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 descr=""/>
                    <pic:cNvPicPr>
                      <a:picLocks noChangeAspect="1" noChangeArrowheads="1"/>
                    </pic:cNvPicPr>
                  </pic:nvPicPr>
                  <pic:blipFill>
                    <a:blip r:embed="rId43"/>
                    <a:stretch>
                      <a:fillRect/>
                    </a:stretch>
                  </pic:blipFill>
                  <pic:spPr bwMode="auto">
                    <a:xfrm>
                      <a:off x="0" y="0"/>
                      <a:ext cx="1895475" cy="361950"/>
                    </a:xfrm>
                    <a:prstGeom prst="rect">
                      <a:avLst/>
                    </a:prstGeom>
                  </pic:spPr>
                </pic:pic>
              </a:graphicData>
            </a:graphic>
          </wp:inline>
        </w:drawing>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information, including requiring the outsider to agree in writing to comply with the terms of this Policy and/or to sign a confidentiality agreement. All inquiries from outsiders regarding material non-public information about the Company or its securities should be forwarded to the Company’s Investor Relations department. </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3.    No director or Senior Executive may give trading advice of any kind about the Company to anyone while possessing material non-public information about the Company or its securities, except that directors and Senior Executives should advise others not to trade if doing so might violate the law or this Policy. The Company strongly discourages all directors and Senior Executives from giving trading advice concerning the Company to third parties even when the directors and Senior Executives do not possess material non-public information about the Company or its securities.</w:t>
      </w:r>
    </w:p>
    <w:p>
      <w:pPr>
        <w:pStyle w:val="TextBody"/>
        <w:bidi w:val="0"/>
        <w:spacing w:before="0" w:after="0"/>
        <w:ind w:left="0" w:right="0" w:hanging="360"/>
        <w:jc w:val="both"/>
        <w:rPr/>
      </w:pPr>
      <w:r>
        <w:rPr/>
      </w:r>
    </w:p>
    <w:p>
      <w:pPr>
        <w:pStyle w:val="TextBody"/>
        <w:bidi w:val="0"/>
        <w:spacing w:lineRule="auto" w:line="240" w:before="60" w:after="283"/>
        <w:ind w:left="0" w:right="0" w:hanging="360"/>
        <w:jc w:val="both"/>
        <w:rPr>
          <w:rFonts w:ascii="Calibri;sans-serif" w:hAnsi="Calibri;sans-serif"/>
          <w:b w:val="false"/>
          <w:color w:val="000000"/>
          <w:sz w:val="22"/>
        </w:rPr>
      </w:pPr>
      <w:r>
        <w:rPr>
          <w:rFonts w:ascii="Calibri;sans-serif" w:hAnsi="Calibri;sans-serif"/>
          <w:b w:val="false"/>
          <w:color w:val="000000"/>
          <w:sz w:val="22"/>
        </w:rPr>
        <w:t>4.    No director or Senior Executive may:</w:t>
      </w:r>
    </w:p>
    <w:p>
      <w:pPr>
        <w:pStyle w:val="TextBody"/>
        <w:bidi w:val="0"/>
        <w:spacing w:lineRule="auto" w:line="240" w:before="60" w:after="283"/>
        <w:ind w:left="0" w:right="0" w:hanging="360"/>
        <w:jc w:val="both"/>
        <w:rPr>
          <w:rFonts w:ascii="Calibri;sans-serif" w:hAnsi="Calibri;sans-serif"/>
          <w:b w:val="false"/>
          <w:color w:val="000000"/>
          <w:sz w:val="22"/>
        </w:rPr>
      </w:pPr>
      <w:r>
        <w:rPr>
          <w:rFonts w:ascii="Calibri;sans-serif" w:hAnsi="Calibri;sans-serif"/>
          <w:b w:val="false"/>
          <w:color w:val="000000"/>
          <w:sz w:val="22"/>
        </w:rPr>
        <w:t xml:space="preserve">(a)    trade in the securities of any other public company while possessing material non-public information concerning that company or its securities obtained in the course of service as a director, officer, or employee of the Company, </w:t>
      </w:r>
    </w:p>
    <w:p>
      <w:pPr>
        <w:pStyle w:val="TextBody"/>
        <w:bidi w:val="0"/>
        <w:spacing w:lineRule="auto" w:line="240" w:before="60" w:after="283"/>
        <w:ind w:left="0" w:right="0" w:hanging="360"/>
        <w:jc w:val="both"/>
        <w:rPr>
          <w:rFonts w:ascii="Calibri;sans-serif" w:hAnsi="Calibri;sans-serif"/>
          <w:b w:val="false"/>
          <w:color w:val="000000"/>
          <w:sz w:val="22"/>
        </w:rPr>
      </w:pPr>
      <w:r>
        <w:rPr>
          <w:rFonts w:ascii="Calibri;sans-serif" w:hAnsi="Calibri;sans-serif"/>
          <w:b w:val="false"/>
          <w:color w:val="000000"/>
          <w:sz w:val="22"/>
        </w:rPr>
        <w:t>(b)    disclose such material non-public information concerning such other public company or its securities to anyone not subject to appropriate measures to preserve the confidentiality of the information and prohibit the trading on the basis of such material non-public information by such person, or</w:t>
      </w:r>
    </w:p>
    <w:p>
      <w:pPr>
        <w:pStyle w:val="TextBody"/>
        <w:bidi w:val="0"/>
        <w:spacing w:lineRule="auto" w:line="240" w:before="60" w:after="283"/>
        <w:ind w:left="0" w:right="0" w:hanging="360"/>
        <w:jc w:val="both"/>
        <w:rPr>
          <w:rFonts w:ascii="Calibri;sans-serif" w:hAnsi="Calibri;sans-serif"/>
          <w:b w:val="false"/>
          <w:color w:val="000000"/>
          <w:sz w:val="22"/>
        </w:rPr>
      </w:pPr>
      <w:r>
        <w:rPr>
          <w:rFonts w:ascii="Calibri;sans-serif" w:hAnsi="Calibri;sans-serif"/>
          <w:b w:val="false"/>
          <w:color w:val="000000"/>
          <w:sz w:val="22"/>
        </w:rPr>
        <w:t>(c)    give trading advice of any kind to anyone concerning such other public company while possessing such material non-public information about that company or its securities.</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5.    No director or Senior Executive may trade in the securities of any companies with which discussions of mergers, acquisitions, material contracts, or other negotiations are being conducted by the Company.</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rFonts w:ascii="Calibri;sans-serif" w:hAnsi="Calibri;sans-serif"/>
          <w:b w:val="false"/>
          <w:color w:val="000000"/>
          <w:sz w:val="22"/>
        </w:rPr>
      </w:pPr>
      <w:r>
        <w:rPr>
          <w:rFonts w:ascii="Calibri;sans-serif" w:hAnsi="Calibri;sans-serif"/>
          <w:b w:val="false"/>
          <w:color w:val="000000"/>
          <w:sz w:val="22"/>
        </w:rPr>
        <w:t>6.    The Company may change these procedures or adopt such other procedures in the future as the Company considers appropriate in order to carry out the purposes of this Policy.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B.    HEDGING/PLEDGING POLICY</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Hedging</w:t>
      </w:r>
      <w:r>
        <w:rPr>
          <w:rFonts w:ascii="Calibri;sans-serif" w:hAnsi="Calibri;sans-serif"/>
          <w:b w:val="false"/>
          <w:color w:val="000000"/>
          <w:sz w:val="22"/>
        </w:rPr>
        <w:t xml:space="preserve">: In addition to the prohibitions set out in Section IV.A above, no director or Senior Executive may engage in any of the following transactions in securities that suggest speculation in the Company’s stock (e.g., trying to profit in short-term movements, either increases or decreases, in the stock price): </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Short Selling</w:t>
      </w:r>
      <w:r>
        <w:rPr>
          <w:rFonts w:ascii="Calibri;sans-serif" w:hAnsi="Calibri;sans-serif"/>
          <w:b w:val="false"/>
          <w:color w:val="000000"/>
          <w:sz w:val="22"/>
        </w:rPr>
        <w:t>: selling borrowed securities that the seller anticipates can be replaced with securities purchased at a lower price in the future;</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Short Selling Against the Box</w:t>
      </w:r>
      <w:r>
        <w:rPr>
          <w:rFonts w:ascii="Calibri;sans-serif" w:hAnsi="Calibri;sans-serif"/>
          <w:b w:val="false"/>
          <w:color w:val="000000"/>
          <w:sz w:val="22"/>
        </w:rPr>
        <w:t>: selling securities but not delivering them in a timely fashion;</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Put or Call Options of All Types</w:t>
      </w:r>
      <w:r>
        <w:rPr>
          <w:rFonts w:ascii="Calibri;sans-serif" w:hAnsi="Calibri;sans-serif"/>
          <w:b w:val="false"/>
          <w:color w:val="000000"/>
          <w:sz w:val="22"/>
        </w:rPr>
        <w:t>: acquiring rights to sell and/or purchase securities within a certain time period at a specified price;</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Forward Sale (or Purchase) Contracts</w:t>
      </w:r>
      <w:r>
        <w:rPr>
          <w:rFonts w:ascii="Calibri;sans-serif" w:hAnsi="Calibri;sans-serif"/>
          <w:b w:val="false"/>
          <w:color w:val="000000"/>
          <w:sz w:val="22"/>
        </w:rPr>
        <w:t>: agreements to sell (or purchase) securities at a fixed price on a later date, thus avoiding (or assuming) the risks or rewards of ownership;</w:t>
      </w:r>
    </w:p>
    <w:p>
      <w:pPr>
        <w:pStyle w:val="TextBody"/>
        <w:bidi w:val="0"/>
        <w:spacing w:before="0" w:after="0"/>
        <w:ind w:left="0" w:right="0" w:hanging="36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Equity Swaps</w:t>
      </w:r>
      <w:r>
        <w:rPr>
          <w:rFonts w:ascii="Calibri;sans-serif" w:hAnsi="Calibri;sans-serif"/>
          <w:b w:val="false"/>
          <w:color w:val="000000"/>
          <w:sz w:val="22"/>
        </w:rPr>
        <w:t>: financial derivative contracts where a set of future cash flows are to be exchanged between two counterparties at a set future date; or</w:t>
      </w:r>
    </w:p>
    <w:p>
      <w:pPr>
        <w:pStyle w:val="TextBody"/>
        <w:bidi w:val="0"/>
        <w:ind w:left="0" w:right="0" w:hanging="36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012825"/>
                <wp:effectExtent l="0" t="0" r="0" b="0"/>
                <wp:wrapNone/>
                <wp:docPr id="114" name="Frame103"/>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r>
                                    <w:br w:type="page"/>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3</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3</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2" descr=""/>
                    <pic:cNvPicPr>
                      <a:picLocks noChangeAspect="1" noChangeArrowheads="1"/>
                    </pic:cNvPicPr>
                  </pic:nvPicPr>
                  <pic:blipFill>
                    <a:blip r:embed="rId44"/>
                    <a:stretch>
                      <a:fillRect/>
                    </a:stretch>
                  </pic:blipFill>
                  <pic:spPr bwMode="auto">
                    <a:xfrm>
                      <a:off x="0" y="0"/>
                      <a:ext cx="1895475" cy="361950"/>
                    </a:xfrm>
                    <a:prstGeom prst="rect">
                      <a:avLst/>
                    </a:prstGeom>
                  </pic:spPr>
                </pic:pic>
              </a:graphicData>
            </a:graphic>
          </wp:inline>
        </w:drawing>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Exchange Funds</w:t>
      </w:r>
      <w:r>
        <w:rPr>
          <w:rFonts w:ascii="Calibri;sans-serif" w:hAnsi="Calibri;sans-serif"/>
          <w:b w:val="false"/>
          <w:color w:val="000000"/>
          <w:sz w:val="22"/>
        </w:rPr>
        <w:t xml:space="preserve">: a mechanism allowing holders of a single stock to diversify into a group of other stocks without directly selling their stock. </w:t>
      </w:r>
    </w:p>
    <w:p>
      <w:pPr>
        <w:pStyle w:val="TextBody"/>
        <w:bidi w:val="0"/>
        <w:spacing w:before="0" w:after="0"/>
        <w:ind w:left="0" w:right="0" w:hanging="360"/>
        <w:jc w:val="both"/>
        <w:rPr/>
      </w:pPr>
      <w:r>
        <w:rPr/>
      </w:r>
    </w:p>
    <w:p>
      <w:pPr>
        <w:pStyle w:val="TextBody"/>
        <w:bidi w:val="0"/>
        <w:spacing w:lineRule="auto" w:line="240" w:before="0" w:after="0"/>
        <w:jc w:val="both"/>
        <w:rPr/>
      </w:pPr>
      <w:r>
        <w:rPr>
          <w:rFonts w:ascii="Calibri;sans-serif" w:hAnsi="Calibri;sans-serif"/>
          <w:b w:val="false"/>
          <w:color w:val="000000"/>
          <w:sz w:val="22"/>
        </w:rPr>
        <w:t xml:space="preserve">Note that many hedging transactions, such as “cashless” collars, forward sales, equity swaps and other similar or related arrangements may indirectly involve a short sale. Also, certain forms of short sales by executive officers and Directors are also currently illegal under the Securities Exchange Act of 1934, as amended (the </w:t>
      </w:r>
      <w:r>
        <w:rPr>
          <w:rFonts w:ascii="Calibri;sans-serif" w:hAnsi="Calibri;sans-serif"/>
          <w:b w:val="false"/>
          <w:i/>
          <w:color w:val="000000"/>
          <w:sz w:val="22"/>
        </w:rPr>
        <w:t>"Exchange Act"</w:t>
      </w:r>
      <w:r>
        <w:rPr>
          <w:rFonts w:ascii="Calibri;sans-serif" w:hAnsi="Calibri;sans-serif"/>
          <w:b w:val="false"/>
          <w:color w:val="000000"/>
          <w:sz w:val="22"/>
        </w:rPr>
        <w:t>).</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Calibri;sans-serif" w:hAnsi="Calibri;sans-serif"/>
          <w:b w:val="false"/>
          <w:i/>
          <w:color w:val="000000"/>
          <w:sz w:val="22"/>
          <w:u w:val="single"/>
        </w:rPr>
        <w:t>Pledging</w:t>
      </w:r>
      <w:r>
        <w:rPr>
          <w:rFonts w:ascii="Calibri;sans-serif" w:hAnsi="Calibri;sans-serif"/>
          <w:b w:val="false"/>
          <w:color w:val="000000"/>
          <w:sz w:val="22"/>
        </w:rPr>
        <w:t xml:space="preserve">: The Company requires that its executives and members of the Board do not margin or pledge Company stock to secure a loan or purchase Company stock “on margin” (that is, borrow funds to purchase stock, including in connection with exercising any Company stock options) without prior notification to and approval from the General Counsel or their designee(s). </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C.    PRIORITY OF STATUTORY OR REGULATORY TRADING RESTRICTIONS</w:t>
      </w:r>
    </w:p>
    <w:p>
      <w:pPr>
        <w:pStyle w:val="TextBody"/>
        <w:bidi w:val="0"/>
        <w:spacing w:before="0" w:after="0"/>
        <w:jc w:val="both"/>
        <w:rPr/>
      </w:pPr>
      <w:r>
        <w:rPr/>
      </w:r>
    </w:p>
    <w:p>
      <w:pPr>
        <w:pStyle w:val="TextBody"/>
        <w:bidi w:val="0"/>
        <w:spacing w:lineRule="auto" w:line="240" w:before="0" w:after="0"/>
        <w:jc w:val="both"/>
        <w:rPr/>
      </w:pPr>
      <w:r>
        <w:rPr>
          <w:rFonts w:ascii="Calibri;sans-serif" w:hAnsi="Calibri;sans-serif"/>
          <w:b w:val="false"/>
          <w:color w:val="000000"/>
          <w:sz w:val="22"/>
        </w:rPr>
        <w:t xml:space="preserve">The trading prohibitions and restrictions set forth in this Policy will be superseded by any greater prohibitions or restrictions prescribed by federal or state securities laws and regulations, </w:t>
      </w:r>
      <w:r>
        <w:rPr>
          <w:rFonts w:ascii="Calibri;sans-serif" w:hAnsi="Calibri;sans-serif"/>
          <w:b w:val="false"/>
          <w:color w:val="000000"/>
          <w:sz w:val="22"/>
          <w:u w:val="single"/>
        </w:rPr>
        <w:t>e.g.,</w:t>
      </w:r>
      <w:r>
        <w:rPr>
          <w:color w:val="000000"/>
        </w:rPr>
        <w:t xml:space="preserve"> </w:t>
      </w:r>
      <w:r>
        <w:rPr>
          <w:rFonts w:ascii="Calibri;sans-serif" w:hAnsi="Calibri;sans-serif"/>
          <w:b w:val="false"/>
          <w:color w:val="000000"/>
          <w:sz w:val="22"/>
        </w:rPr>
        <w:t xml:space="preserve">contractual restrictions on the sale of securities, short-swing trading by Section 16 Parties or restrictions on the sale of securities subject to Rule 144 under the Securities Act of 1933, as amended (the </w:t>
      </w:r>
      <w:r>
        <w:rPr>
          <w:rFonts w:ascii="Calibri;sans-serif" w:hAnsi="Calibri;sans-serif"/>
          <w:b w:val="false"/>
          <w:i/>
          <w:color w:val="000000"/>
          <w:sz w:val="22"/>
        </w:rPr>
        <w:t>"Securities Act”</w:t>
      </w:r>
      <w:r>
        <w:rPr>
          <w:rFonts w:ascii="Calibri;sans-serif" w:hAnsi="Calibri;sans-serif"/>
          <w:b w:val="false"/>
          <w:color w:val="000000"/>
          <w:sz w:val="22"/>
        </w:rPr>
        <w:t>). Any director or Senior Executive who is uncertain whether other prohibitions or restrictions apply should ask the General Counsel or their designee(s).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V.    BLACKOUT PERIODS</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 xml:space="preserve">A.    BLACKOUT PERIODS.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The directors and Senior Executives are subject to the policies and procedures adopted with regard to trading windows and blackout periods, as amended from time to time.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Such policies and procedures include provisions for regular blackout periods prior to the Company's public release of quarterly or year-end earnings information. From time to time, additional special blackout periods also may be implemented during which time trading restrictions will apply because of developments that have not yet been disclosed. Written notification of regular and special blackout periods will be sent by the General Counsel or their designee(s).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No director or Senior Executive may trade in Company securities outside of the applicable trading windows or during any special blackout periods that the Company may designate. </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B.    TRANSACTIONS WITH THE COMPANY</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Trading blackouts do not apply to purchases of the Company’s securities from the Company, or to sales of the Company’s securities to the Company.</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C.    STOCK OPTIONS AND OTHER EQUITY AWARDS.</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Trading blackouts do not apply to vesting of equity-based awards or exercises of stock options or other equity awards, or to the surrender of shares to the Company in payment of the exercise price or in satisfaction of any tax withholding obligations in a manner permitted by the applicable equity award agreement, that do not involve a market sale of the Company’s securities (the “cashless exercise” of a Company stock option or other equity award through a broker does involve a market sale of the Company’s securities, and therefore would not qualify under this exception). Notice of any transaction must still be provided in accordance with the procedures and policies adopted by the Company with regard to executive trading and Section 16 reporting.</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012825"/>
                <wp:effectExtent l="0" t="0" r="0" b="0"/>
                <wp:wrapNone/>
                <wp:docPr id="116" name="Frame104"/>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r>
                                    <w:br w:type="page"/>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4</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4</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3" descr=""/>
                    <pic:cNvPicPr>
                      <a:picLocks noChangeAspect="1" noChangeArrowheads="1"/>
                    </pic:cNvPicPr>
                  </pic:nvPicPr>
                  <pic:blipFill>
                    <a:blip r:embed="rId45"/>
                    <a:stretch>
                      <a:fillRect/>
                    </a:stretch>
                  </pic:blipFill>
                  <pic:spPr bwMode="auto">
                    <a:xfrm>
                      <a:off x="0" y="0"/>
                      <a:ext cx="1895475" cy="361950"/>
                    </a:xfrm>
                    <a:prstGeom prst="rect">
                      <a:avLst/>
                    </a:prstGeom>
                  </pic:spPr>
                </pic:pic>
              </a:graphicData>
            </a:graphic>
          </wp:inline>
        </w:drawing>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 xml:space="preserve">D.    GIFT TRANSFERS. </w:t>
      </w:r>
    </w:p>
    <w:p>
      <w:pPr>
        <w:pStyle w:val="TextBody"/>
        <w:bidi w:val="0"/>
        <w:spacing w:before="0" w:after="0"/>
        <w:jc w:val="both"/>
        <w:rPr/>
      </w:pPr>
      <w:r>
        <w:rPr/>
      </w:r>
    </w:p>
    <w:p>
      <w:pPr>
        <w:pStyle w:val="TextBody"/>
        <w:bidi w:val="0"/>
        <w:spacing w:lineRule="auto" w:line="240" w:before="0" w:after="0"/>
        <w:jc w:val="both"/>
        <w:rPr/>
      </w:pPr>
      <w:r>
        <w:rPr>
          <w:rFonts w:ascii="Calibri;sans-serif" w:hAnsi="Calibri;sans-serif"/>
          <w:b w:val="false"/>
          <w:color w:val="000000"/>
          <w:sz w:val="22"/>
        </w:rPr>
        <w:t xml:space="preserve">Notwithstanding the foregoing, a director or Senior Executive may make a gift transfer, including a transfer to a trust or custodian for the benefit of a minor, during a blackout period </w:t>
      </w:r>
      <w:r>
        <w:rPr>
          <w:rFonts w:ascii="Calibri;sans-serif" w:hAnsi="Calibri;sans-serif"/>
          <w:b w:val="false"/>
          <w:color w:val="000000"/>
          <w:sz w:val="22"/>
          <w:u w:val="single"/>
        </w:rPr>
        <w:t>provided that</w:t>
      </w:r>
      <w:r>
        <w:rPr>
          <w:color w:val="000000"/>
        </w:rPr>
        <w:t xml:space="preserve"> </w:t>
      </w:r>
      <w:r>
        <w:rPr>
          <w:rFonts w:ascii="Calibri;sans-serif" w:hAnsi="Calibri;sans-serif"/>
          <w:b w:val="false"/>
          <w:color w:val="000000"/>
          <w:sz w:val="22"/>
        </w:rPr>
        <w:t>the donee is subject to this Policy and the restrictions of this Policy to the same extent as the donor for the duration of such blackout period. Otherwise, gift transfers may only be made by a director or Senior Executive outside of a blackout period.</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 xml:space="preserve">E.    EXCEPTIONS FOR HARDSHIP CASES.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The Company may, on a case-by-case basis, authorize trading in Company securities during blackout periods due to financial hardships. Hardship authorizations for directors and Senior Executives will only be considered if the person trading has notified the General Counsel in writing of the circumstances of the hardship and the amount and nature of the proposed trade(s) at least two days in advance. Any hardship authorization for a director or Senior Executive will require approval by both the General Counsel and the Board.</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The existence of the foregoing approval procedures does not in any way obligate the approval of any trades requested by hardship applicants.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 xml:space="preserve">VI.    RULE 10B5-1 PLANS </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 xml:space="preserve">A.    TRADING PLANS. </w:t>
      </w:r>
    </w:p>
    <w:p>
      <w:pPr>
        <w:pStyle w:val="TextBody"/>
        <w:bidi w:val="0"/>
        <w:spacing w:before="0" w:after="0"/>
        <w:jc w:val="both"/>
        <w:rPr/>
      </w:pPr>
      <w:r>
        <w:rPr/>
      </w:r>
    </w:p>
    <w:p>
      <w:pPr>
        <w:pStyle w:val="TextBody"/>
        <w:bidi w:val="0"/>
        <w:spacing w:lineRule="auto" w:line="240" w:before="0" w:after="0"/>
        <w:jc w:val="both"/>
        <w:rPr/>
      </w:pPr>
      <w:r>
        <w:rPr>
          <w:rFonts w:ascii="Calibri;sans-serif" w:hAnsi="Calibri;sans-serif"/>
          <w:b w:val="false"/>
          <w:color w:val="000000"/>
          <w:sz w:val="22"/>
        </w:rPr>
        <w:t xml:space="preserve">A person subject to this Policy may adopt a written plan for trading Company securities </w:t>
      </w:r>
      <w:r>
        <w:rPr>
          <w:rFonts w:ascii="Calibri;sans-serif" w:hAnsi="Calibri;sans-serif"/>
          <w:b w:val="false"/>
          <w:i/>
          <w:color w:val="000000"/>
          <w:sz w:val="22"/>
        </w:rPr>
        <w:t>("Trading Plan")</w:t>
      </w:r>
      <w:r>
        <w:rPr>
          <w:color w:val="000000"/>
        </w:rPr>
        <w:t xml:space="preserve"> </w:t>
      </w:r>
      <w:r>
        <w:rPr>
          <w:rFonts w:ascii="Calibri;sans-serif" w:hAnsi="Calibri;sans-serif"/>
          <w:b w:val="false"/>
          <w:color w:val="000000"/>
          <w:sz w:val="22"/>
        </w:rPr>
        <w:t>and trade Company securities pursuant to such Trading Plan provided that each of the following conditions is satisfied:</w:t>
      </w:r>
    </w:p>
    <w:p>
      <w:pPr>
        <w:pStyle w:val="TextBody"/>
        <w:bidi w:val="0"/>
        <w:spacing w:before="0" w:after="0"/>
        <w:jc w:val="both"/>
        <w:rPr/>
      </w:pPr>
      <w:r>
        <w:rPr/>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the Trading Plan is intended to satisfy the affirmative defense conditions of Exchange Act Rule 10b5-1(c) and comply with all requirements of Rule 10b5-1 and includes a statement to that general effect (it being understood that a Trading Plan satisfying the conditions of this section is not intended to be the exclusive means by which a person subject to this Policy may avail himself or herself of the affirmative defense conditions of Exchange Act Rule 10b5-1(c));</w:t>
      </w:r>
    </w:p>
    <w:p>
      <w:pPr>
        <w:pStyle w:val="TextBody"/>
        <w:bidi w:val="0"/>
        <w:spacing w:lineRule="auto" w:line="240" w:before="0" w:after="120"/>
        <w:ind w:left="0" w:right="0" w:hanging="360"/>
        <w:jc w:val="both"/>
        <w:rPr/>
      </w:pPr>
      <w:r>
        <w:rPr>
          <w:color w:val="000000"/>
        </w:rPr>
        <w:t>•</w:t>
      </w:r>
      <w:r>
        <w:rPr>
          <w:rFonts w:ascii="Calibri;sans-serif" w:hAnsi="Calibri;sans-serif"/>
          <w:b w:val="false"/>
          <w:i/>
          <w:color w:val="000000"/>
          <w:sz w:val="22"/>
          <w:u w:val="single"/>
        </w:rPr>
        <w:t>for any Section 16 Party</w:t>
      </w:r>
      <w:r>
        <w:rPr>
          <w:rFonts w:ascii="Calibri;sans-serif" w:hAnsi="Calibri;sans-serif"/>
          <w:b w:val="false"/>
          <w:color w:val="000000"/>
          <w:sz w:val="22"/>
        </w:rPr>
        <w:t>, the Trading Plan, or any amendment or modification thereto, includes a representation that the Section 16 Party is (i) not aware of any material nonpublic information about the Company or its securities; and (2) adopting the Trading Plan, or the amendment or modification thereto, in good faith and not as part of a plan or scheme to evade Rule 10b5;</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with respect to any purchase or sale, the Trading Plan either (i) expressly specifies the amount, price and date, (ii) provides a written formula, algorithm or computer program for determining amounts, prices and dates, or (iii) does not permit the person subject to this Policy to exercise any subsequent influence over how, when, or whether to effect such purchase or sale (provided any other person with such influence does not have access to any material non-public information regarding the Company or its securities when exercising such influence);</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the Trading Plan is adopted, or amended or modified, in good faith at a time when the person is (i) not in possession of material non-public information concerning the Company and (ii) not subject to a blackout period with respect to the Company, and the person who entered into the Trading Plan has acted in good faith with respect to the Trading Plan;</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the person does not have more than one Trading Plan in effect at a time, except under the limited circumstances permitted by Rule 10b5-1 and subject to preapproval by the General Counsel;</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012825"/>
                <wp:effectExtent l="0" t="0" r="0" b="0"/>
                <wp:wrapNone/>
                <wp:docPr id="118" name="Frame105"/>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r>
                                    <w:br w:type="page"/>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5</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5</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4" descr=""/>
                    <pic:cNvPicPr>
                      <a:picLocks noChangeAspect="1" noChangeArrowheads="1"/>
                    </pic:cNvPicPr>
                  </pic:nvPicPr>
                  <pic:blipFill>
                    <a:blip r:embed="rId46"/>
                    <a:stretch>
                      <a:fillRect/>
                    </a:stretch>
                  </pic:blipFill>
                  <pic:spPr bwMode="auto">
                    <a:xfrm>
                      <a:off x="0" y="0"/>
                      <a:ext cx="1895475" cy="361950"/>
                    </a:xfrm>
                    <a:prstGeom prst="rect">
                      <a:avLst/>
                    </a:prstGeom>
                  </pic:spPr>
                </pic:pic>
              </a:graphicData>
            </a:graphic>
          </wp:inline>
        </w:drawing>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the trades under the Trading Plan, alone or taken together with the person's trading activity outside the Trading Plan, do not violate the trading restrictions of Section 16 of the Exchange Act or Rule 144 of the Securities Act;</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the trades under the Trading Plan, without consideration to the person’s trading activity outside the Trading Plan, would not cause the person to be in violation of any stock ownership guideline or requirement set by Company policy;</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during the term of the Trading Plan, the person shall not enter into or alter a hedging transaction or position with respect</w:t>
      </w:r>
      <w:r>
        <w:rPr>
          <w:color w:val="000000"/>
        </w:rPr>
        <w:t xml:space="preserve"> </w:t>
      </w:r>
      <w:r>
        <w:rPr>
          <w:rFonts w:ascii="Calibri;sans-serif" w:hAnsi="Calibri;sans-serif"/>
          <w:b w:val="false"/>
          <w:color w:val="000000"/>
          <w:sz w:val="22"/>
        </w:rPr>
        <w:t>to the Company securities covered by the Trading Plan while in possession of material non-public information concerning the Company or its securities;</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 xml:space="preserve">a copy of the Trading Plan, and any subsequent amendment or modification thereto, and notice of termination of the Trading Plan is provided to the General Counsel </w:t>
      </w:r>
      <w:r>
        <w:rPr>
          <w:rFonts w:ascii="Calibri;sans-serif" w:hAnsi="Calibri;sans-serif"/>
          <w:b w:val="false"/>
          <w:i/>
          <w:color w:val="000000"/>
          <w:sz w:val="22"/>
        </w:rPr>
        <w:t>at least ten (10) business</w:t>
      </w:r>
      <w:r>
        <w:rPr>
          <w:color w:val="000000"/>
        </w:rPr>
        <w:t xml:space="preserve"> </w:t>
      </w:r>
      <w:r>
        <w:rPr>
          <w:rFonts w:ascii="Calibri;sans-serif" w:hAnsi="Calibri;sans-serif"/>
          <w:b w:val="false"/>
          <w:i/>
          <w:color w:val="000000"/>
          <w:sz w:val="22"/>
        </w:rPr>
        <w:t>days prior</w:t>
      </w:r>
      <w:r>
        <w:rPr>
          <w:color w:val="000000"/>
        </w:rPr>
        <w:t xml:space="preserve"> </w:t>
      </w:r>
      <w:r>
        <w:rPr>
          <w:rFonts w:ascii="Calibri;sans-serif" w:hAnsi="Calibri;sans-serif"/>
          <w:b w:val="false"/>
          <w:i/>
          <w:color w:val="000000"/>
          <w:sz w:val="22"/>
        </w:rPr>
        <w:t>to the time they are to become effective</w:t>
      </w:r>
      <w:r>
        <w:rPr>
          <w:rFonts w:ascii="Calibri;sans-serif" w:hAnsi="Calibri;sans-serif"/>
          <w:b w:val="false"/>
          <w:color w:val="000000"/>
          <w:sz w:val="22"/>
        </w:rPr>
        <w:t>; and</w:t>
      </w:r>
    </w:p>
    <w:p>
      <w:pPr>
        <w:pStyle w:val="TextBody"/>
        <w:bidi w:val="0"/>
        <w:spacing w:lineRule="auto" w:line="240" w:before="0" w:after="120"/>
        <w:ind w:left="0" w:right="0" w:hanging="360"/>
        <w:jc w:val="both"/>
        <w:rPr/>
      </w:pPr>
      <w:r>
        <w:rPr>
          <w:color w:val="000000"/>
        </w:rPr>
        <w:t>•</w:t>
      </w:r>
      <w:r>
        <w:rPr>
          <w:rFonts w:ascii="Calibri;sans-serif" w:hAnsi="Calibri;sans-serif"/>
          <w:b w:val="false"/>
          <w:color w:val="000000"/>
          <w:sz w:val="22"/>
        </w:rPr>
        <w:t>trades under the Trading Plan, or any subsequent amendment or modification thereto that changes the amount, price or dates of purchases or sales (or the formula, algorithm, or computer program for determining the amount, price or dates of purchases or sales) (a “</w:t>
      </w:r>
      <w:r>
        <w:rPr>
          <w:rFonts w:ascii="Calibri;sans-serif" w:hAnsi="Calibri;sans-serif"/>
          <w:b w:val="false"/>
          <w:i/>
          <w:color w:val="000000"/>
          <w:sz w:val="22"/>
        </w:rPr>
        <w:t>Trading Term-Altering Amendment</w:t>
      </w:r>
      <w:r>
        <w:rPr>
          <w:color w:val="000000"/>
        </w:rPr>
        <w:t>”</w:t>
      </w:r>
      <w:r>
        <w:rPr>
          <w:rFonts w:ascii="Calibri;sans-serif" w:hAnsi="Calibri;sans-serif"/>
          <w:b w:val="false"/>
          <w:color w:val="000000"/>
          <w:sz w:val="22"/>
        </w:rPr>
        <w:t>), do not commence until:</w:t>
      </w:r>
    </w:p>
    <w:p>
      <w:pPr>
        <w:pStyle w:val="TextBody"/>
        <w:bidi w:val="0"/>
        <w:spacing w:lineRule="auto" w:line="240" w:before="0" w:after="120"/>
        <w:ind w:left="0" w:right="0" w:hanging="360"/>
        <w:jc w:val="both"/>
        <w:rPr/>
      </w:pPr>
      <w:r>
        <w:rPr>
          <w:rFonts w:ascii="Courier New;monospace" w:hAnsi="Courier New;monospace"/>
          <w:b w:val="false"/>
          <w:color w:val="000000"/>
          <w:sz w:val="22"/>
        </w:rPr>
        <w:t>o    </w:t>
      </w:r>
      <w:r>
        <w:rPr>
          <w:rFonts w:ascii="Calibri;sans-serif" w:hAnsi="Calibri;sans-serif"/>
          <w:b w:val="false"/>
          <w:i/>
          <w:color w:val="000000"/>
          <w:sz w:val="22"/>
          <w:u w:val="single"/>
        </w:rPr>
        <w:t>for any Section 16 Party</w:t>
      </w:r>
      <w:r>
        <w:rPr>
          <w:rFonts w:ascii="Calibri;sans-serif" w:hAnsi="Calibri;sans-serif"/>
          <w:b w:val="false"/>
          <w:color w:val="000000"/>
          <w:sz w:val="22"/>
        </w:rPr>
        <w:t xml:space="preserve">: the </w:t>
      </w:r>
      <w:r>
        <w:rPr>
          <w:rFonts w:ascii="Calibri;sans-serif" w:hAnsi="Calibri;sans-serif"/>
          <w:b w:val="false"/>
          <w:color w:val="000000"/>
          <w:sz w:val="22"/>
          <w:u w:val="single"/>
        </w:rPr>
        <w:t>later</w:t>
      </w:r>
      <w:r>
        <w:rPr>
          <w:color w:val="000000"/>
        </w:rPr>
        <w:t xml:space="preserve"> </w:t>
      </w:r>
      <w:r>
        <w:rPr>
          <w:rFonts w:ascii="Calibri;sans-serif" w:hAnsi="Calibri;sans-serif"/>
          <w:b w:val="false"/>
          <w:color w:val="000000"/>
          <w:sz w:val="22"/>
        </w:rPr>
        <w:t>of (i) 90 days after the adoption of the Trading Plan or of any Trading Term-Altering Amendment to the Trading Plan, as the case may be, or (ii) </w:t>
      </w:r>
      <w:r>
        <w:rPr>
          <w:rFonts w:ascii="Calibri;sans-serif" w:hAnsi="Calibri;sans-serif"/>
          <w:b w:val="false"/>
          <w:color w:val="000000"/>
          <w:sz w:val="22"/>
          <w:u w:val="single"/>
        </w:rPr>
        <w:t>two business days</w:t>
      </w:r>
      <w:r>
        <w:rPr>
          <w:color w:val="000000"/>
        </w:rPr>
        <w:t xml:space="preserve"> </w:t>
      </w:r>
      <w:r>
        <w:rPr>
          <w:rFonts w:ascii="Calibri;sans-serif" w:hAnsi="Calibri;sans-serif"/>
          <w:b w:val="false"/>
          <w:color w:val="000000"/>
          <w:sz w:val="22"/>
        </w:rPr>
        <w:t>after the Company’s filing of the Annual Report on Form 10-K or Quarterly Report on Form 10-Q covering the fiscal quarter in which the Trading Plan was adopted or in which a Trading Term-Altering Amendment to the Trading Plan was adopted, as the case may be; and</w:t>
      </w:r>
    </w:p>
    <w:p>
      <w:pPr>
        <w:pStyle w:val="TextBody"/>
        <w:bidi w:val="0"/>
        <w:spacing w:lineRule="auto" w:line="240" w:before="0" w:after="120"/>
        <w:ind w:left="0" w:right="0" w:hanging="360"/>
        <w:jc w:val="both"/>
        <w:rPr/>
      </w:pPr>
      <w:r>
        <w:rPr>
          <w:rFonts w:ascii="Courier New;monospace" w:hAnsi="Courier New;monospace"/>
          <w:b w:val="false"/>
          <w:color w:val="000000"/>
          <w:sz w:val="22"/>
        </w:rPr>
        <w:t>o    </w:t>
      </w:r>
      <w:r>
        <w:rPr>
          <w:rFonts w:ascii="Calibri;sans-serif" w:hAnsi="Calibri;sans-serif"/>
          <w:b w:val="false"/>
          <w:i/>
          <w:color w:val="000000"/>
          <w:sz w:val="22"/>
          <w:u w:val="single"/>
        </w:rPr>
        <w:t>for any other employees or persons</w:t>
      </w:r>
      <w:r>
        <w:rPr>
          <w:rFonts w:ascii="Calibri;sans-serif" w:hAnsi="Calibri;sans-serif"/>
          <w:b w:val="false"/>
          <w:color w:val="000000"/>
          <w:sz w:val="22"/>
        </w:rPr>
        <w:t xml:space="preserve">: </w:t>
      </w:r>
      <w:r>
        <w:rPr>
          <w:rFonts w:ascii="Calibri;sans-serif" w:hAnsi="Calibri;sans-serif"/>
          <w:b w:val="false"/>
          <w:color w:val="000000"/>
          <w:sz w:val="22"/>
          <w:u w:val="single"/>
        </w:rPr>
        <w:t>at least thirty (30) days</w:t>
      </w:r>
      <w:r>
        <w:rPr>
          <w:color w:val="000000"/>
        </w:rPr>
        <w:t xml:space="preserve"> </w:t>
      </w:r>
      <w:r>
        <w:rPr>
          <w:rFonts w:ascii="Calibri;sans-serif" w:hAnsi="Calibri;sans-serif"/>
          <w:b w:val="false"/>
          <w:color w:val="000000"/>
          <w:sz w:val="22"/>
        </w:rPr>
        <w:t>have elapsed from the date the Trading Plan or a Trading Term-Altering Amendment to the Trading Plan was adopted, as the case may be.</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 xml:space="preserve">B.    APPROVAL OF TRADING PLAN. </w:t>
      </w:r>
    </w:p>
    <w:p>
      <w:pPr>
        <w:pStyle w:val="TextBody"/>
        <w:bidi w:val="0"/>
        <w:spacing w:before="0" w:after="0"/>
        <w:jc w:val="both"/>
        <w:rPr/>
      </w:pPr>
      <w:r>
        <w:rPr/>
      </w:r>
    </w:p>
    <w:p>
      <w:pPr>
        <w:pStyle w:val="TextBody"/>
        <w:bidi w:val="0"/>
        <w:spacing w:lineRule="auto" w:line="240" w:before="0" w:after="0"/>
        <w:jc w:val="both"/>
        <w:rPr/>
      </w:pPr>
      <w:r>
        <w:rPr>
          <w:rFonts w:ascii="Calibri;sans-serif" w:hAnsi="Calibri;sans-serif"/>
          <w:b w:val="false"/>
          <w:color w:val="000000"/>
          <w:sz w:val="22"/>
        </w:rPr>
        <w:t xml:space="preserve">No trades may take place pursuant to </w:t>
      </w:r>
      <w:r>
        <w:rPr>
          <w:rFonts w:ascii="Calibri;sans-serif" w:hAnsi="Calibri;sans-serif"/>
          <w:b w:val="false"/>
          <w:color w:val="000000"/>
          <w:sz w:val="22"/>
          <w:u w:val="single"/>
        </w:rPr>
        <w:t>any</w:t>
      </w:r>
      <w:r>
        <w:rPr>
          <w:color w:val="000000"/>
        </w:rPr>
        <w:t xml:space="preserve"> </w:t>
      </w:r>
      <w:r>
        <w:rPr>
          <w:rFonts w:ascii="Calibri;sans-serif" w:hAnsi="Calibri;sans-serif"/>
          <w:b w:val="false"/>
          <w:color w:val="000000"/>
          <w:sz w:val="22"/>
        </w:rPr>
        <w:t xml:space="preserve">Trading Plan until (i) it is submitted to the General Counsel for review, together with a written certification from the person that all of the applicable conditions specified above are satisfied and (ii) it is approved by the General Counsel, who shall certify their approval in writing. </w:t>
      </w:r>
    </w:p>
    <w:p>
      <w:pPr>
        <w:pStyle w:val="TextBody"/>
        <w:bidi w:val="0"/>
        <w:spacing w:before="0" w:after="0"/>
        <w:jc w:val="both"/>
        <w:rPr/>
      </w:pPr>
      <w:r>
        <w:rPr/>
      </w:r>
    </w:p>
    <w:p>
      <w:pPr>
        <w:pStyle w:val="TextBody"/>
        <w:bidi w:val="0"/>
        <w:spacing w:lineRule="auto" w:line="240" w:before="0" w:after="0"/>
        <w:jc w:val="both"/>
        <w:rPr/>
      </w:pPr>
      <w:r>
        <w:rPr>
          <w:rFonts w:ascii="Calibri;sans-serif" w:hAnsi="Calibri;sans-serif"/>
          <w:b w:val="false"/>
          <w:color w:val="000000"/>
          <w:sz w:val="22"/>
        </w:rPr>
        <w:t xml:space="preserve">Provided the Trading Plan is so approved, individual trades under the Trading Plan need </w:t>
      </w:r>
      <w:r>
        <w:rPr>
          <w:rFonts w:ascii="Calibri;sans-serif" w:hAnsi="Calibri;sans-serif"/>
          <w:b w:val="false"/>
          <w:color w:val="000000"/>
          <w:sz w:val="22"/>
          <w:u w:val="single"/>
        </w:rPr>
        <w:t>not</w:t>
      </w:r>
      <w:r>
        <w:rPr>
          <w:color w:val="000000"/>
        </w:rPr>
        <w:t xml:space="preserve"> </w:t>
      </w:r>
      <w:r>
        <w:rPr>
          <w:rFonts w:ascii="Calibri;sans-serif" w:hAnsi="Calibri;sans-serif"/>
          <w:b w:val="false"/>
          <w:color w:val="000000"/>
          <w:sz w:val="22"/>
        </w:rPr>
        <w:t xml:space="preserve">be resubmitted for approval by the General Counsel. However, any subsequent amendment or modification to the Trading Plan, or termination of such plan, must be resubmitted to the General Counsel for approval in the preceding manner. </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 xml:space="preserve">C.    NO OBLIGATION TO APPROVE TRADES.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The existence of the foregoing approval procedures does not in any way obligate the General Counsel to approve any Trading Plans requested by a director or Senior Executive. The General Counsel may reject any request at its reasonable discretion. </w:t>
      </w:r>
    </w:p>
    <w:p>
      <w:pPr>
        <w:pStyle w:val="TextBody"/>
        <w:bidi w:val="0"/>
        <w:spacing w:before="0" w:after="0"/>
        <w:jc w:val="both"/>
        <w:rPr/>
      </w:pPr>
      <w:r>
        <w:rPr/>
      </w:r>
    </w:p>
    <w:p>
      <w:pPr>
        <w:pStyle w:val="TextBody"/>
        <w:bidi w:val="0"/>
        <w:spacing w:lineRule="auto" w:line="240" w:before="0" w:after="0"/>
        <w:jc w:val="both"/>
        <w:rPr/>
      </w:pPr>
      <w:r>
        <w:rPr>
          <w:rFonts w:ascii="Calibri;sans-serif" w:hAnsi="Calibri;sans-serif"/>
          <w:b w:val="false"/>
          <w:color w:val="000000"/>
          <w:sz w:val="22"/>
        </w:rPr>
        <w:t>Please also note that persons subject to this Policy bear responsibility for the compliance of their Trading Plans with Rule 10b5-1 and other applicable securities laws, and that approval by the General Counsel</w:t>
      </w:r>
      <w:r>
        <w:rPr>
          <w:color w:val="000000"/>
        </w:rPr>
        <w:t xml:space="preserve"> </w:t>
      </w:r>
      <w:r>
        <w:rPr>
          <w:rFonts w:ascii="Calibri;sans-serif" w:hAnsi="Calibri;sans-serif"/>
          <w:b w:val="false"/>
          <w:color w:val="000000"/>
          <w:sz w:val="22"/>
        </w:rPr>
        <w:t>of a Trading Plan's compliance with this Policy does not constitute an assurance or an opinion by the Company or the General Counsel that the plan complies with Rule 10b5-1 or other applicable securities laws.</w:t>
      </w:r>
    </w:p>
    <w:p>
      <w:pPr>
        <w:pStyle w:val="TextBody"/>
        <w:bidi w:val="0"/>
        <w:spacing w:before="0" w:after="0"/>
        <w:jc w:val="both"/>
        <w:rPr/>
      </w:pPr>
      <w:r>
        <w:rPr/>
      </w:r>
    </w:p>
    <w:p>
      <w:pPr>
        <w:pStyle w:val="TextBody"/>
        <w:bidi w:val="0"/>
        <w:spacing w:lineRule="auto" w:line="240"/>
        <w:ind w:left="0" w:right="0" w:hanging="360"/>
        <w:jc w:val="both"/>
        <w:rPr>
          <w:rFonts w:ascii="Cambria;sans-serif" w:hAnsi="Cambria;sans-serif"/>
          <w:b w:val="false"/>
          <w:color w:val="000000"/>
          <w:sz w:val="22"/>
        </w:rPr>
      </w:pPr>
      <w:r>
        <w:rPr>
          <w:rFonts w:ascii="Cambria;sans-serif" w:hAnsi="Cambria;sans-serif"/>
          <w:b w:val="false"/>
          <w:color w:val="000000"/>
          <w:sz w:val="22"/>
        </w:rPr>
        <w:t>D.    DISCLOSURE OF TRADING PLANS.</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012825"/>
                <wp:effectExtent l="0" t="0" r="0" b="0"/>
                <wp:wrapNone/>
                <wp:docPr id="120" name="Frame106"/>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r>
                                    <w:br w:type="page"/>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6</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6</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before="0" w:after="0"/>
        <w:jc w:val="both"/>
        <w:rPr/>
      </w:pPr>
      <w:r>
        <w:rPr/>
        <w:drawing>
          <wp:inline distT="0" distB="0" distL="0" distR="0">
            <wp:extent cx="1895475" cy="361950"/>
            <wp:effectExtent l="0" t="0" r="0" b="0"/>
            <wp:docPr id="1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5" descr=""/>
                    <pic:cNvPicPr>
                      <a:picLocks noChangeAspect="1" noChangeArrowheads="1"/>
                    </pic:cNvPicPr>
                  </pic:nvPicPr>
                  <pic:blipFill>
                    <a:blip r:embed="rId47"/>
                    <a:stretch>
                      <a:fillRect/>
                    </a:stretch>
                  </pic:blipFill>
                  <pic:spPr bwMode="auto">
                    <a:xfrm>
                      <a:off x="0" y="0"/>
                      <a:ext cx="1895475" cy="3619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The Company reserves the right to publicly disclose, announce or respond to inquiries from the media regarding the adoption, amendment, modification or termination of a Trading Plan and non-Rule 10b5-1 trading arrangements, or the execution of transactions made under a Trading Plan.</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E.    SUSPENSION OR DISCONTINUANCE OF TRADING PLANS.</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The Company reserves the right from time to time to suspend, discontinue, or otherwise prohibit transactions under a Trading Plan if the General Counsel or the Board, in its discretion, determines that such suspension, discontinuance or other prohibition is in the best interests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VII.    POTENTIAL CIVIL, CRIMINAL AND DISCIPLINARY SANCTIONS</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A.    COMPANY DISCIPLINE</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Violation of this Policy or federal or state insider trading or tipping laws by any director or Senior Executive may subject a director to dismissal proceedings and a Senior Executive to disciplinary action by the Company up to and including termination for cause.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The Company may, in its discretion, issue any necessary stop-transfer orders to the Company's transfer agent to enforce compliance with this Policy and reserves the right to determine, in its own discretion and on the basis of the information available to it, whether its Policy has been violated. The Company may determine that specific conduct violates its Policy, whether or not the conduct also violates the law. It is not necessary for the Company to await the filing or conclusion of a civil or criminal action against the alleged violator before taking disciplinary action.</w:t>
      </w:r>
    </w:p>
    <w:p>
      <w:pPr>
        <w:pStyle w:val="TextBody"/>
        <w:bidi w:val="0"/>
        <w:spacing w:before="0" w:after="0"/>
        <w:jc w:val="both"/>
        <w:rPr/>
      </w:pPr>
      <w:r>
        <w:rPr/>
      </w:r>
    </w:p>
    <w:p>
      <w:pPr>
        <w:pStyle w:val="TextBody"/>
        <w:bidi w:val="0"/>
        <w:spacing w:lineRule="auto" w:line="240" w:before="0" w:after="0"/>
        <w:ind w:left="0" w:right="0" w:hanging="360"/>
        <w:jc w:val="both"/>
        <w:rPr>
          <w:rFonts w:ascii="Cambria;sans-serif" w:hAnsi="Cambria;sans-serif"/>
          <w:b w:val="false"/>
          <w:color w:val="000000"/>
          <w:sz w:val="22"/>
        </w:rPr>
      </w:pPr>
      <w:r>
        <w:rPr>
          <w:rFonts w:ascii="Cambria;sans-serif" w:hAnsi="Cambria;sans-serif"/>
          <w:b w:val="false"/>
          <w:color w:val="000000"/>
          <w:sz w:val="22"/>
        </w:rPr>
        <w:t>B.    REPORTING OF VIOLATIONS</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 xml:space="preserve">Any director or Senior Executive who violates this Policy or any federal or state laws governing insider trading or tipping, or who knows of any such violation by any other directors, officers, or employees, must report the violation immediately to the General Counsel. </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Upon learning of any such violation, the General Counsel, in consultation with the Company's external legal counsel, will determine whether the Company should release any material non-public information, or whether the Company should report the violation to the SEC or other appropriate governmental authority.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VIII.    INTERPRETATION, AMENDMENT, AND IMPLEMENTATION OF THIS POLICY</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The General Counsel shall have the authority to interpret and update this Policy and all related policies and procedures. In particular, such interpretations and updates of this Policy, as authorized by the General Counsel, may include amendments to, or departures from, the terms of this Policy, to the extent consistent with the general purpose of this Policy and applicable securities laws.</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2"/>
        </w:rPr>
      </w:pPr>
      <w:r>
        <w:rPr>
          <w:rFonts w:ascii="Calibri;sans-serif" w:hAnsi="Calibri;sans-serif"/>
          <w:b w:val="false"/>
          <w:color w:val="000000"/>
          <w:sz w:val="22"/>
        </w:rPr>
        <w:t>Actions taken by the Company, the General Counsel, or any other Company personnel do not constitute legal advice, nor do they insulate persons subject to this Policy from the consequences of noncompliance with this Policy or with securities laws.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40" w:after="283"/>
        <w:ind w:left="0" w:right="0" w:hanging="360"/>
        <w:jc w:val="both"/>
        <w:rPr>
          <w:rFonts w:ascii="Cambria;sans-serif" w:hAnsi="Cambria;sans-serif"/>
          <w:b/>
          <w:color w:val="000000"/>
          <w:sz w:val="22"/>
        </w:rPr>
      </w:pPr>
      <w:r>
        <w:rPr>
          <w:rFonts w:ascii="Cambria;sans-serif" w:hAnsi="Cambria;sans-serif"/>
          <w:b/>
          <w:color w:val="000000"/>
          <w:sz w:val="22"/>
        </w:rPr>
        <w:t>IX.    CERTIFICATION OF COMPLIANCE</w:t>
      </w:r>
    </w:p>
    <w:p>
      <w:pPr>
        <w:pStyle w:val="TextBody"/>
        <w:bidi w:val="0"/>
        <w:spacing w:before="0" w:after="0"/>
        <w:jc w:val="both"/>
        <w:rPr/>
      </w:pPr>
      <w:r>
        <w:rPr/>
      </w:r>
    </w:p>
    <w:p>
      <w:pPr>
        <w:pStyle w:val="TextBody"/>
        <w:bidi w:val="0"/>
        <w:spacing w:lineRule="auto" w:line="240"/>
        <w:jc w:val="both"/>
        <w:rPr>
          <w:rFonts w:ascii="Calibri;sans-serif" w:hAnsi="Calibri;sans-serif"/>
          <w:b w:val="false"/>
          <w:color w:val="000000"/>
          <w:sz w:val="22"/>
        </w:rPr>
      </w:pPr>
      <w:r>
        <w:rPr>
          <w:rFonts w:ascii="Calibri;sans-serif" w:hAnsi="Calibri;sans-serif"/>
          <w:b w:val="false"/>
          <w:color w:val="000000"/>
          <w:sz w:val="22"/>
        </w:rPr>
        <w:t>All directors and Senior Executives subject to this Policy may be asked periodically to certify their compliance with the terms and provisions of this Policy and any related policies or procedures.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012825"/>
                <wp:effectExtent l="0" t="0" r="0" b="0"/>
                <wp:wrapNone/>
                <wp:docPr id="122" name="Frame107"/>
                <a:graphic xmlns:a="http://schemas.openxmlformats.org/drawingml/2006/main">
                  <a:graphicData uri="http://schemas.microsoft.com/office/word/2010/wordprocessingShape">
                    <wps:wsp>
                      <wps:cNvSpPr txBox="1"/>
                      <wps:spPr>
                        <a:xfrm>
                          <a:off x="0" y="0"/>
                          <a:ext cx="6480175" cy="1012825"/>
                        </a:xfrm>
                        <a:prstGeom prst="rect"/>
                        <a:solidFill>
                          <a:srgbClr val="FFFFFF"/>
                        </a:solidFill>
                      </wps:spPr>
                      <wps:txb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7</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75pt;mso-wrap-distance-left:0pt;mso-wrap-distance-right:0pt;mso-wrap-distance-top:0pt;mso-wrap-distance-bottom:0pt;margin-top:0pt;mso-position-vertical:top;mso-position-vertical-relative:text;margin-left:0pt;mso-position-horizontal:left;mso-position-horizontal-relative:text">
                <v:textbox>
                  <w:txbxContent>
                    <w:tbl>
                      <w:tblPr>
                        <w:tblW w:w="1064" w:type="dxa"/>
                        <w:jc w:val="left"/>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bottom w:val="single" w:sz="4" w:space="0" w:color="D9D9D9"/>
                            </w:tcBorders>
                            <w:tcMar>
                              <w:top w:w="0" w:type="dxa"/>
                              <w:left w:w="0" w:type="dxa"/>
                              <w:bottom w:w="30" w:type="dxa"/>
                              <w:right w:w="0" w:type="dxa"/>
                            </w:tcMar>
                            <w:vAlign w:val="center"/>
                          </w:tcPr>
                          <w:p>
                            <w:pPr>
                              <w:pStyle w:val="TableContents"/>
                              <w:bidi w:val="0"/>
                              <w:spacing w:lineRule="auto" w:line="240" w:before="120" w:after="283"/>
                              <w:jc w:val="right"/>
                              <w:rPr/>
                            </w:pPr>
                            <w:r>
                              <w:rPr>
                                <w:rFonts w:ascii="Calibri;sans-serif" w:hAnsi="Calibri;sans-serif"/>
                                <w:b w:val="false"/>
                                <w:color w:val="000000"/>
                                <w:sz w:val="16"/>
                              </w:rPr>
                              <w:t>|</w:t>
                            </w:r>
                            <w:r>
                              <w:rPr>
                                <w:color w:val="7F7F7F"/>
                              </w:rPr>
                              <w:t xml:space="preserve"> </w:t>
                            </w:r>
                            <w:r>
                              <w:rPr>
                                <w:rFonts w:ascii="Calibri;sans-serif" w:hAnsi="Calibri;sans-serif"/>
                                <w:b w:val="false"/>
                                <w:color w:val="7F7F7F"/>
                                <w:sz w:val="22"/>
                              </w:rPr>
                              <w:t>Page</w:t>
                            </w:r>
                            <w:r>
                              <w:rPr>
                                <w:color w:val="000000"/>
                              </w:rPr>
                              <w:t xml:space="preserve"> </w:t>
                            </w:r>
                            <w:r>
                              <w:rPr>
                                <w:rFonts w:ascii="Calibri;sans-serif" w:hAnsi="Calibri;sans-serif"/>
                                <w:b w:val="false"/>
                                <w:color w:val="000000"/>
                                <w:sz w:val="22"/>
                              </w:rPr>
                              <w:t>| 7</w:t>
                            </w:r>
                          </w:p>
                        </w:tc>
                      </w:tr>
                    </w:tbl>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CooperCompanies Stock Trading Policy</w:t>
                      </w:r>
                    </w:p>
                    <w:p>
                      <w:pPr>
                        <w:pStyle w:val="TextBody"/>
                        <w:bidi w:val="0"/>
                        <w:spacing w:lineRule="auto" w:line="240" w:before="0" w:after="0"/>
                        <w:jc w:val="both"/>
                        <w:rPr>
                          <w:rFonts w:ascii="Calibri;sans-serif" w:hAnsi="Calibri;sans-serif"/>
                          <w:b w:val="false"/>
                          <w:i/>
                          <w:color w:val="000000"/>
                          <w:sz w:val="20"/>
                        </w:rPr>
                      </w:pPr>
                      <w:r>
                        <w:rPr>
                          <w:rFonts w:ascii="Calibri;sans-serif" w:hAnsi="Calibri;sans-serif"/>
                          <w:b w:val="false"/>
                          <w:i/>
                          <w:color w:val="000000"/>
                          <w:sz w:val="20"/>
                        </w:rPr>
                        <w:t>Adopted: March 22, 2023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SUBSIDIARIES OF THE COOPER COMPANIES, INC. A DELAWARE CORPORATION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1"/>
        <w:gridCol w:w="111"/>
        <w:gridCol w:w="111"/>
        <w:gridCol w:w="111"/>
        <w:gridCol w:w="111"/>
        <w:gridCol w:w="111"/>
        <w:gridCol w:w="111"/>
        <w:gridCol w:w="111"/>
        <w:gridCol w:w="111"/>
        <w:gridCol w:w="111"/>
        <w:gridCol w:w="111"/>
        <w:gridCol w:w="111"/>
        <w:gridCol w:w="122"/>
        <w:gridCol w:w="122"/>
        <w:gridCol w:w="122"/>
        <w:gridCol w:w="122"/>
        <w:gridCol w:w="122"/>
        <w:gridCol w:w="122"/>
        <w:gridCol w:w="122"/>
        <w:gridCol w:w="122"/>
        <w:gridCol w:w="122"/>
        <w:gridCol w:w="122"/>
        <w:gridCol w:w="122"/>
        <w:gridCol w:w="122"/>
        <w:gridCol w:w="1098"/>
        <w:gridCol w:w="2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60" w:type="dxa"/>
            <w:gridSpan w:val="7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8160" w:type="dxa"/>
            <w:gridSpan w:val="7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7" w:type="dxa"/>
            <w:gridSpan w:val="6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Eyecare Prime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California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7" w:type="dxa"/>
            <w:gridSpan w:val="6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Paragon Vision Sciences,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Arizona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SynergEyes,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SynergEyes UK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7" w:type="dxa"/>
            <w:gridSpan w:val="6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 Global Holdings,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TCC Holdings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Cooper Companies Global Holdings LP</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England-Wales</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Global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International Holding Company, LP</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England-Wales</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do Brasil Ltda</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Brazil</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Singapore Pte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Singapore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Optical Trade (Shanghai)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China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CVI Contact Lens Pvt.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International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Vision Manufacturing Puerto Rico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Puerto Rico</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 Costa Rica SRL</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Costa Rica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(UK) Holdings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Manufacturing Limited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Australia Pty Limited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Distribution SRL</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Belgium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Canada Corp.</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Canada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S.A.S.</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France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GmbH</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Germany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Italia srl</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Italy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Nederland BV</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Netherlands</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Nederland, Belgian Branch</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Belgium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Japan,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Japan</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Iberia SL</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Spain</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S.A. (Pty) Limited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South Africa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Nordic AB</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Sweden</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Sarl</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Switzerland</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RUS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Russia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Israel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Israel</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Lens Care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Sauflon CL Ltd.</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CL Kft</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Hungary</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1" w:type="dxa"/>
            <w:gridSpan w:val="6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 Medical,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7" w:type="dxa"/>
            <w:gridSpan w:val="6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CooperGenomics,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Invitro Genetics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Reprogenetics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LifeGlobal Group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Connecticut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5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Parent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5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Intermediate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Life Sciences, Inc.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GCP Coinvest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L Blocker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NQ Blocker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Generate LNQ Holdings LLC </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Cryobank Holdings LLC </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California Cryobank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CCB-Kitazato LLC</w:t>
            </w:r>
          </w:p>
        </w:tc>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25780"/>
                <wp:effectExtent l="0" t="0" r="0" b="0"/>
                <wp:wrapNone/>
                <wp:docPr id="123" name="Frame10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0"/>
        <w:gridCol w:w="110"/>
        <w:gridCol w:w="110"/>
        <w:gridCol w:w="432"/>
        <w:gridCol w:w="698"/>
        <w:gridCol w:w="1033"/>
        <w:gridCol w:w="1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CCB-DEB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CCB-Fertility Tech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Donor Application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 Donor Egg Bank Canada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Canada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California Cryobank Stem Cell Services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CCB-NWC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CCB-MCB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IP Holdings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Sperm Bank Canada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Canada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CBR Acquisition Holding Corp.</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CBR Systems, Inc.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International LLC</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Delaware</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Insception Biosciences, Inc. </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Canada</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6" w:type="dxa"/>
            <w:gridSpan w:val="39"/>
            <w:tcBorders/>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Life Sciences Australia Pty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Generate CC Australia Pty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SC Storage Holdings Pty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SC Storage Finance Pty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SC Storage Operations Pty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Cell Care Australia Pty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Cell Care Australia Pty Ltd, New Zealand Branch</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Australia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6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Distribution B.V.</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Netherlands</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60"/>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 Surgical Holdings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57"/>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CooperMedical S.r.l.</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Costa Rica</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57"/>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Invitro Genetics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57"/>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Research Instruments Ltd.</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Kingdom</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4" w:type="dxa"/>
            <w:gridSpan w:val="51"/>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Origio A/S</w:t>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Denmark</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19"/>
        </w:rPr>
      </w:pPr>
      <w:r>
        <w:rPr>
          <w:rFonts w:ascii="Times New Roman;sans-serif" w:hAnsi="Times New Roman;sans-serif"/>
          <w:b w:val="false"/>
          <w:color w:val="000000"/>
          <w:sz w:val="19"/>
        </w:rPr>
        <w:t>Each subsidiary is wholly-owned either by The Cooper Companies, Inc. or by the wholly-owned subsidiary under which it is indented in the list above.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23</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25780"/>
                <wp:effectExtent l="0" t="0" r="0" b="0"/>
                <wp:wrapNone/>
                <wp:docPr id="124" name="Frame10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Consent of Independent Registered Public Accounting Firm</w:t>
      </w:r>
    </w:p>
    <w:p>
      <w:pPr>
        <w:pStyle w:val="TextBody"/>
        <w:bidi w:val="0"/>
        <w:spacing w:before="0" w:after="0"/>
        <w:jc w:val="both"/>
        <w:rPr/>
      </w:pPr>
      <w:r>
        <w:rPr/>
      </w:r>
    </w:p>
    <w:p>
      <w:pPr>
        <w:pStyle w:val="TextBody"/>
        <w:bidi w:val="0"/>
        <w:spacing w:before="0" w:after="36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statements (Nos.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333-22417, 333-25051, 333-27639, 333-40431, 333-80795, 333-34206, 333-48152, and 333-108066) on Form S-3 and registration statements (Nos. 333-10997, 333-58839, 333-67954, 333-101366, 333-104346, 333-115520, 333-133719, 333-133720, 333-143338, 333-158892, 333-174682, 333-233577, 333-237505, and 333-270957) on Form S-8 of our report dated December 8, 2023, with respect to the consolidated financial statements of The Cooper Companies, Inc. and the effectiveness of internal control over financial reporting.</w:t>
      </w:r>
    </w:p>
    <w:p>
      <w:pPr>
        <w:pStyle w:val="TextBody"/>
        <w:bidi w:val="0"/>
        <w:spacing w:before="0" w:after="200"/>
        <w:jc w:val="both"/>
        <w:rPr/>
      </w:pPr>
      <w:r>
        <w:rPr/>
      </w:r>
    </w:p>
    <w:p>
      <w:pPr>
        <w:pStyle w:val="TextBody"/>
        <w:bidi w:val="0"/>
        <w:spacing w:before="0" w:after="100"/>
        <w:jc w:val="left"/>
        <w:rPr/>
      </w:pPr>
      <w:r>
        <w:rPr/>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100" w:after="100"/>
        <w:jc w:val="left"/>
        <w:rPr/>
      </w:pPr>
      <w:r>
        <w:rPr/>
      </w:r>
    </w:p>
    <w:p>
      <w:pPr>
        <w:pStyle w:val="TextBody"/>
        <w:bidi w:val="0"/>
        <w:spacing w:lineRule="auto" w:line="345"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lineRule="auto" w:line="345"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December 8, 2023</w:t>
      </w:r>
    </w:p>
    <w:p>
      <w:pPr>
        <w:pStyle w:val="TextBody"/>
        <w:bidi w:val="0"/>
        <w:spacing w:before="0" w:after="2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Albert G. White III, certify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The Cooper Companies, Inc. (the “registrant”);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754" w:type="dxa"/>
        <w:jc w:val="left"/>
        <w:tblInd w:w="0" w:type="dxa"/>
        <w:tblLayout w:type="fixed"/>
        <w:tblCellMar>
          <w:top w:w="28" w:type="dxa"/>
          <w:left w:w="28" w:type="dxa"/>
          <w:bottom w:w="28" w:type="dxa"/>
          <w:right w:w="28" w:type="dxa"/>
        </w:tblCellMar>
      </w:tblPr>
      <w:tblGrid>
        <w:gridCol w:w="216"/>
        <w:gridCol w:w="191"/>
        <w:gridCol w:w="192"/>
        <w:gridCol w:w="524"/>
        <w:gridCol w:w="524"/>
        <w:gridCol w:w="526"/>
        <w:gridCol w:w="1068"/>
        <w:gridCol w:w="1068"/>
        <w:gridCol w:w="1073"/>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8, 2023</w:t>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certify that: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The Cooper Companies, Inc. (the “registrant”);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059" w:type="dxa"/>
        <w:jc w:val="left"/>
        <w:tblInd w:w="0" w:type="dxa"/>
        <w:tblLayout w:type="fixed"/>
        <w:tblCellMar>
          <w:top w:w="28" w:type="dxa"/>
          <w:left w:w="28" w:type="dxa"/>
          <w:bottom w:w="28" w:type="dxa"/>
          <w:right w:w="28" w:type="dxa"/>
        </w:tblCellMar>
      </w:tblPr>
      <w:tblGrid>
        <w:gridCol w:w="216"/>
        <w:gridCol w:w="191"/>
        <w:gridCol w:w="192"/>
        <w:gridCol w:w="524"/>
        <w:gridCol w:w="524"/>
        <w:gridCol w:w="526"/>
        <w:gridCol w:w="1503"/>
        <w:gridCol w:w="1503"/>
        <w:gridCol w:w="1508"/>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8, 2023</w:t>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Albert G. White III,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Annual Report on Form 10-K of The Cooper Companies, Inc. (the "Company") for the fiscal year ended October 31, 2023,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5382" w:type="dxa"/>
        <w:jc w:val="left"/>
        <w:tblInd w:w="0" w:type="dxa"/>
        <w:tblLayout w:type="fixed"/>
        <w:tblCellMar>
          <w:top w:w="28" w:type="dxa"/>
          <w:left w:w="28" w:type="dxa"/>
          <w:bottom w:w="28" w:type="dxa"/>
          <w:right w:w="28" w:type="dxa"/>
        </w:tblCellMar>
      </w:tblPr>
      <w:tblGrid>
        <w:gridCol w:w="216"/>
        <w:gridCol w:w="191"/>
        <w:gridCol w:w="192"/>
        <w:gridCol w:w="524"/>
        <w:gridCol w:w="524"/>
        <w:gridCol w:w="526"/>
        <w:gridCol w:w="939"/>
        <w:gridCol w:w="939"/>
        <w:gridCol w:w="1331"/>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8, 2023</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Annual Report on Form 10-K of The Cooper Companies, Inc. (the "Company") for the fiscal year ended October 31, 2023,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7409" w:type="dxa"/>
        <w:jc w:val="left"/>
        <w:tblInd w:w="0" w:type="dxa"/>
        <w:tblLayout w:type="fixed"/>
        <w:tblCellMar>
          <w:top w:w="28" w:type="dxa"/>
          <w:left w:w="28" w:type="dxa"/>
          <w:bottom w:w="28" w:type="dxa"/>
          <w:right w:w="28" w:type="dxa"/>
        </w:tblCellMar>
      </w:tblPr>
      <w:tblGrid>
        <w:gridCol w:w="200"/>
        <w:gridCol w:w="177"/>
        <w:gridCol w:w="178"/>
        <w:gridCol w:w="524"/>
        <w:gridCol w:w="524"/>
        <w:gridCol w:w="526"/>
        <w:gridCol w:w="1542"/>
        <w:gridCol w:w="1542"/>
        <w:gridCol w:w="219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8, 2023</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mbria">
    <w:altName w:val="sans-serif"/>
    <w:charset w:val="01"/>
    <w:family w:val="auto"/>
    <w:pitch w:val="default"/>
  </w:font>
  <w:font w:name="Calibri">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www.sec.gov/Archives/edgar/data/711404/000119312506006352/dex31.htm" TargetMode="External"/><Relationship Id="rId10" Type="http://schemas.openxmlformats.org/officeDocument/2006/relationships/hyperlink" Target="http://www.sec.gov/Archives/edgar/data/711404/000119312518351217/d657351dex31.htm" TargetMode="External"/><Relationship Id="rId11" Type="http://schemas.openxmlformats.org/officeDocument/2006/relationships/hyperlink" Target="http://www.sec.gov/Archives/edgar/data/711404/000071140423000048/coo-form8xatransferfromnys.htm" TargetMode="External"/><Relationship Id="rId12" Type="http://schemas.openxmlformats.org/officeDocument/2006/relationships/hyperlink" Target="http://www.sec.gov/Archives/edgar/data/711404/000119312507197691/dex101.htm" TargetMode="External"/><Relationship Id="rId13" Type="http://schemas.openxmlformats.org/officeDocument/2006/relationships/hyperlink" Target="http://www.sec.gov/Archives/edgar/data/711404/000071140419000026/coo-ex101_2019x04x30x10q.htm" TargetMode="External"/><Relationship Id="rId14" Type="http://schemas.openxmlformats.org/officeDocument/2006/relationships/hyperlink" Target="http://www.sec.gov/Archives/edgar/data/711404/000071140419000026/coo-ex103_2019x04x30x10q.htm" TargetMode="External"/><Relationship Id="rId15" Type="http://schemas.openxmlformats.org/officeDocument/2006/relationships/hyperlink" Target="http://www.sec.gov/Archives/edgar/data/711404/000071140419000026/coo-ex102_2019x04x30x10q.htm" TargetMode="External"/><Relationship Id="rId16" Type="http://schemas.openxmlformats.org/officeDocument/2006/relationships/hyperlink" Target="http://www.sec.gov/Archives/edgar/data/711404/000071140419000026/coo-ex104_2019x04x30x10q.htm" TargetMode="External"/><Relationship Id="rId17" Type="http://schemas.openxmlformats.org/officeDocument/2006/relationships/hyperlink" Target="http://www.sec.gov/Archives/edgar/data/711404/000119312516443302/d117679ddef14a.htm" TargetMode="External"/><Relationship Id="rId18" Type="http://schemas.openxmlformats.org/officeDocument/2006/relationships/hyperlink" Target="http://www.sec.gov/Archives/edgar/data/711404/000119312507270797/dex1032.htm" TargetMode="External"/><Relationship Id="rId19" Type="http://schemas.openxmlformats.org/officeDocument/2006/relationships/hyperlink" Target="http://www.sec.gov/Archives/edgar/data/711404/000119312507270797/dex1034.htm" TargetMode="External"/><Relationship Id="rId20" Type="http://schemas.openxmlformats.org/officeDocument/2006/relationships/hyperlink" Target="http://www.sec.gov/Archives/edgar/data/711404/000119312509029284/dex101.htm" TargetMode="External"/><Relationship Id="rId21" Type="http://schemas.openxmlformats.org/officeDocument/2006/relationships/hyperlink" Target="http://www.sec.gov/Archives/edgar/data/711404/000119312519025849/d686735ddef14a.htm" TargetMode="External"/><Relationship Id="rId22" Type="http://schemas.openxmlformats.org/officeDocument/2006/relationships/hyperlink" Target="http://www.sec.gov/Archives/edgar/data/711404/000119312519315153/d844723dex101.htm" TargetMode="External"/><Relationship Id="rId23" Type="http://schemas.openxmlformats.org/officeDocument/2006/relationships/hyperlink" Target="http://www.sec.gov/Archives/edgar/data/711404/000119312508257120/dex1041.htm" TargetMode="External"/><Relationship Id="rId24" Type="http://schemas.openxmlformats.org/officeDocument/2006/relationships/hyperlink" Target="http://www.sec.gov/Archives/edgar/data/711404/000119312512513185/d458352dex991.htm" TargetMode="External"/><Relationship Id="rId25" Type="http://schemas.openxmlformats.org/officeDocument/2006/relationships/hyperlink" Target="http://www.sec.gov/Archives/edgar/data/711404/000119312505004815/dex101.htm" TargetMode="External"/><Relationship Id="rId26" Type="http://schemas.openxmlformats.org/officeDocument/2006/relationships/hyperlink" Target="http://www.sec.gov/Archives/edgar/data/711404/000119312505004815/dex102.htm" TargetMode="External"/><Relationship Id="rId27" Type="http://schemas.openxmlformats.org/officeDocument/2006/relationships/hyperlink" Target="http://www.sec.gov/Archives/edgar/data/711404/000119312505004815/dex103.htm" TargetMode="External"/><Relationship Id="rId28" Type="http://schemas.openxmlformats.org/officeDocument/2006/relationships/hyperlink" Target="http://www.sec.gov/Archives/edgar/data/711404/000156459020014844/coo-ex101_8.htm" TargetMode="External"/><Relationship Id="rId29" Type="http://schemas.openxmlformats.org/officeDocument/2006/relationships/hyperlink" Target="https://www.sec.gov/Archives/edgar/data/711404/000071140420000042/c00-ex102020201031x10k.htm" TargetMode="External"/><Relationship Id="rId30" Type="http://schemas.openxmlformats.org/officeDocument/2006/relationships/hyperlink" Target="http://www.sec.gov/Archives/edgar/data/711404/000119312521361145/d272863dex101.htm" TargetMode="External"/><Relationship Id="rId31" Type="http://schemas.openxmlformats.org/officeDocument/2006/relationships/hyperlink" Target="http://www.sec.gov/Archives/edgar/data/711404/000071140422000015/coo-ex103_2022x01x31x10q.htm" TargetMode="External"/><Relationship Id="rId32" Type="http://schemas.openxmlformats.org/officeDocument/2006/relationships/hyperlink" Target="https://www.sec.gov/Archives/edgar/data/711404/000119312521326207/d204711dex21.htm" TargetMode="External"/><Relationship Id="rId33" Type="http://schemas.openxmlformats.org/officeDocument/2006/relationships/hyperlink" Target="http://www.sec.gov/Archives/edgar/data/711404/000071140423000013/coo-ex101_2023x01x31x10q.htm" TargetMode="External"/><Relationship Id="rId34" Type="http://schemas.openxmlformats.org/officeDocument/2006/relationships/hyperlink" Target="http://www.sec.gov/Archives/edgar/data/711404/000071140423000013/coo-ex102_2023x01x31x10q.htm" TargetMode="External"/><Relationship Id="rId35" Type="http://schemas.openxmlformats.org/officeDocument/2006/relationships/hyperlink" Target="http://www.sec.gov/Archives/edgar/data/711404/000071140422000058/a2023incentivepaymentplan.htm" TargetMode="External"/><Relationship Id="rId36" Type="http://schemas.openxmlformats.org/officeDocument/2006/relationships/hyperlink" Target="http://www.sec.gov/Archives/edgar/data/711404/000071140423000033/coo-ex102_2023x04x30x10q.htm" TargetMode="External"/><Relationship Id="rId37" Type="http://schemas.openxmlformats.org/officeDocument/2006/relationships/hyperlink" Target="http://www.sec.gov/Archives/edgar/data/711404/000071140423000033/coo-ex103_2023x04x30x10q.htm" TargetMode="External"/><Relationship Id="rId38" Type="http://schemas.openxmlformats.org/officeDocument/2006/relationships/hyperlink" Target="http://www.sec.gov/Archives/edgar/data/711404/000071140423000033/coo-ex104_2023x04x30x10q.htm" TargetMode="External"/><Relationship Id="rId39" Type="http://schemas.openxmlformats.org/officeDocument/2006/relationships/hyperlink" Target="http://www.sec.gov/Archives/edgar/data/711404/000119312517021098/d306891ddef14a.htm" TargetMode="External"/><Relationship Id="rId40" Type="http://schemas.openxmlformats.org/officeDocument/2006/relationships/image" Target="media/image8.png"/><Relationship Id="rId41" Type="http://schemas.openxmlformats.org/officeDocument/2006/relationships/image" Target="media/image9.jpeg"/><Relationship Id="rId42" Type="http://schemas.openxmlformats.org/officeDocument/2006/relationships/image" Target="media/image9.jpeg"/><Relationship Id="rId43" Type="http://schemas.openxmlformats.org/officeDocument/2006/relationships/image" Target="media/image9.jpeg"/><Relationship Id="rId44" Type="http://schemas.openxmlformats.org/officeDocument/2006/relationships/image" Target="media/image9.jpeg"/><Relationship Id="rId45" Type="http://schemas.openxmlformats.org/officeDocument/2006/relationships/image" Target="media/image9.jpeg"/><Relationship Id="rId46" Type="http://schemas.openxmlformats.org/officeDocument/2006/relationships/image" Target="media/image9.jpeg"/><Relationship Id="rId47" Type="http://schemas.openxmlformats.org/officeDocument/2006/relationships/image" Target="media/image9.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58817</Words>
  <Characters>335229</Characters>
  <CharactersWithSpaces>391276</CharactersWithSpaces>
  <Paragraphs>4739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