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6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sectPr>
      </w:pPr>
    </w:p>
    <w:p>
      <w:pPr>
        <w:spacing w:after="0" w:line="192" w:lineRule="exact"/>
        <w:rPr>
          <w:sz w:val="24"/>
          <w:szCs w:val="24"/>
          <w:color w:val="auto"/>
        </w:rPr>
      </w:pPr>
    </w:p>
    <w:p>
      <w:pPr>
        <w:ind w:left="100"/>
        <w:spacing w:after="0" w:line="191" w:lineRule="exact"/>
        <w:rPr>
          <w:sz w:val="20"/>
          <w:szCs w:val="20"/>
          <w:color w:val="auto"/>
        </w:rPr>
      </w:pP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800"/>
        <w:spacing w:after="0"/>
        <w:rPr>
          <w:sz w:val="20"/>
          <w:szCs w:val="20"/>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8" w:lineRule="exact"/>
        <w:rPr>
          <w:sz w:val="24"/>
          <w:szCs w:val="24"/>
          <w:color w:val="auto"/>
        </w:rPr>
      </w:pPr>
    </w:p>
    <w:p>
      <w:pPr>
        <w:sectPr>
          <w:pgSz w:w="11900" w:h="16838" w:orient="portrait"/>
          <w:cols w:equalWidth="0" w:num="2">
            <w:col w:w="1440" w:space="720"/>
            <w:col w:w="926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For Quarterly Period Ended April 30, 2018</w:t>
      </w:r>
    </w:p>
    <w:p>
      <w:pPr>
        <w:sectPr>
          <w:pgSz w:w="11900" w:h="16838" w:orient="portrait"/>
          <w:cols w:equalWidth="0" w:num="1">
            <w:col w:w="11420"/>
          </w:cols>
          <w:pgMar w:left="240" w:top="274" w:right="239" w:bottom="1440" w:gutter="0" w:footer="0" w:header="0"/>
          <w:type w:val="continuous"/>
        </w:sectPr>
      </w:pPr>
    </w:p>
    <w:p>
      <w:pPr>
        <w:spacing w:after="0" w:line="245" w:lineRule="exact"/>
        <w:rPr>
          <w:sz w:val="24"/>
          <w:szCs w:val="24"/>
          <w:color w:val="auto"/>
        </w:rPr>
      </w:pPr>
    </w:p>
    <w:p>
      <w:pPr>
        <w:ind w:left="14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center"/>
        <w:ind w:right="1780"/>
        <w:spacing w:after="0"/>
        <w:rPr>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44" w:lineRule="exact"/>
        <w:rPr>
          <w:sz w:val="24"/>
          <w:szCs w:val="24"/>
          <w:color w:val="auto"/>
        </w:rPr>
      </w:pPr>
    </w:p>
    <w:p>
      <w:pPr>
        <w:sectPr>
          <w:pgSz w:w="11900" w:h="16838" w:orient="portrait"/>
          <w:cols w:equalWidth="0" w:num="2">
            <w:col w:w="1420" w:space="720"/>
            <w:col w:w="9280"/>
          </w:cols>
          <w:pgMar w:left="240" w:top="274" w:right="239" w:bottom="1440" w:gutter="0" w:footer="0" w:header="0"/>
          <w:type w:val="continuous"/>
        </w:sectPr>
      </w:pPr>
    </w:p>
    <w:p>
      <w:pPr>
        <w:ind w:left="38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to</w:t>
      </w:r>
    </w:p>
    <w:p>
      <w:pPr>
        <w:spacing w:after="0" w:line="86" w:lineRule="exact"/>
        <w:rPr>
          <w:sz w:val="24"/>
          <w:szCs w:val="24"/>
          <w:color w:val="auto"/>
        </w:rPr>
      </w:pPr>
    </w:p>
    <w:p>
      <w:pPr>
        <w:sectPr>
          <w:pgSz w:w="11900" w:h="16838" w:orient="portrait"/>
          <w:cols w:equalWidth="0" w:num="2">
            <w:col w:w="6200" w:space="620"/>
            <w:col w:w="460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Commission File Number 1-8597</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The Cooper Companies, Inc.</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ectPr>
          <w:pgSz w:w="11900" w:h="16838" w:orient="portrait"/>
          <w:cols w:equalWidth="0" w:num="1">
            <w:col w:w="11420"/>
          </w:cols>
          <w:pgMar w:left="240" w:top="274" w:right="239" w:bottom="1440" w:gutter="0" w:footer="0" w:header="0"/>
          <w:type w:val="continuous"/>
        </w:sectPr>
      </w:pPr>
    </w:p>
    <w:p>
      <w:pPr>
        <w:spacing w:after="0" w:line="222" w:lineRule="exact"/>
        <w:rPr>
          <w:sz w:val="24"/>
          <w:szCs w:val="24"/>
          <w:color w:val="auto"/>
        </w:rPr>
      </w:pPr>
    </w:p>
    <w:p>
      <w:pPr>
        <w:ind w:left="27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94-2657368</w:t>
      </w:r>
    </w:p>
    <w:p>
      <w:pPr>
        <w:spacing w:after="0" w:line="82" w:lineRule="exact"/>
        <w:rPr>
          <w:sz w:val="24"/>
          <w:szCs w:val="24"/>
          <w:color w:val="auto"/>
        </w:rPr>
      </w:pPr>
    </w:p>
    <w:p>
      <w:pPr>
        <w:sectPr>
          <w:pgSz w:w="11900" w:h="16838" w:orient="portrait"/>
          <w:cols w:equalWidth="0" w:num="2">
            <w:col w:w="7640" w:space="720"/>
            <w:col w:w="3060"/>
          </w:cols>
          <w:pgMar w:left="240" w:top="274" w:right="239" w:bottom="1440" w:gutter="0" w:footer="0" w:header="0"/>
          <w:type w:val="continuous"/>
        </w:sectPr>
      </w:pPr>
    </w:p>
    <w:p>
      <w:pPr>
        <w:ind w:left="22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21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8" w:lineRule="exact"/>
        <w:rPr>
          <w:sz w:val="24"/>
          <w:szCs w:val="24"/>
          <w:color w:val="auto"/>
        </w:rPr>
      </w:pPr>
    </w:p>
    <w:p>
      <w:pPr>
        <w:sectPr>
          <w:pgSz w:w="11900" w:h="16838" w:orient="portrait"/>
          <w:cols w:equalWidth="0" w:num="2">
            <w:col w:w="7520" w:space="720"/>
            <w:col w:w="318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6140 Stoneridge Mall Road, Suite 590, Pleasanton, CA 94588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(925) 460-3600</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4"/>
          <w:szCs w:val="14"/>
          <w:b w:val="1"/>
          <w:bCs w:val="1"/>
          <w:color w:val="auto"/>
        </w:rPr>
        <w:t>_____________________________________________________________</w:t>
      </w:r>
    </w:p>
    <w:p>
      <w:pPr>
        <w:spacing w:after="0" w:line="6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3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4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980" w:type="dxa"/>
            <w:vAlign w:val="bottom"/>
            <w:gridSpan w:val="2"/>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3180" w:type="dxa"/>
            <w:vAlign w:val="bottom"/>
          </w:tcPr>
          <w:p>
            <w:pPr>
              <w:ind w:left="78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04"/>
        </w:trPr>
        <w:tc>
          <w:tcPr>
            <w:tcW w:w="2460" w:type="dxa"/>
            <w:vAlign w:val="bottom"/>
          </w:tcPr>
          <w:p>
            <w:pPr>
              <w:spacing w:after="0"/>
              <w:rPr>
                <w:sz w:val="20"/>
                <w:szCs w:val="20"/>
                <w:color w:val="auto"/>
              </w:rPr>
            </w:pPr>
            <w:r>
              <w:rPr>
                <w:rFonts w:ascii="Arial" w:cs="Arial" w:eastAsia="Arial" w:hAnsi="Arial"/>
                <w:sz w:val="18"/>
                <w:szCs w:val="18"/>
                <w:color w:val="auto"/>
              </w:rPr>
              <w:t>Non-accelerated filer</w:t>
            </w:r>
          </w:p>
        </w:tc>
        <w:tc>
          <w:tcPr>
            <w:tcW w:w="720" w:type="dxa"/>
            <w:vAlign w:val="bottom"/>
          </w:tcPr>
          <w:p>
            <w:pPr>
              <w:ind w:left="500"/>
              <w:spacing w:after="0"/>
              <w:rPr>
                <w:sz w:val="20"/>
                <w:szCs w:val="20"/>
                <w:color w:val="auto"/>
              </w:rPr>
            </w:pPr>
            <w:r>
              <w:rPr>
                <w:rFonts w:ascii="Arial" w:cs="Arial" w:eastAsia="Arial" w:hAnsi="Arial"/>
                <w:sz w:val="18"/>
                <w:szCs w:val="18"/>
                <w:color w:val="auto"/>
              </w:rPr>
              <w:t>o</w:t>
            </w:r>
          </w:p>
        </w:tc>
        <w:tc>
          <w:tcPr>
            <w:tcW w:w="4260" w:type="dxa"/>
            <w:vAlign w:val="bottom"/>
          </w:tcPr>
          <w:p>
            <w:pPr>
              <w:ind w:left="140"/>
              <w:spacing w:after="0"/>
              <w:rPr>
                <w:sz w:val="20"/>
                <w:szCs w:val="20"/>
                <w:color w:val="auto"/>
              </w:rPr>
            </w:pPr>
            <w:r>
              <w:rPr>
                <w:rFonts w:ascii="Arial" w:cs="Arial" w:eastAsia="Arial" w:hAnsi="Arial"/>
                <w:sz w:val="18"/>
                <w:szCs w:val="18"/>
                <w:color w:val="auto"/>
              </w:rPr>
              <w:t>(Do not check if a smaller reporting company)</w:t>
            </w:r>
          </w:p>
        </w:tc>
        <w:tc>
          <w:tcPr>
            <w:tcW w:w="3180" w:type="dxa"/>
            <w:vAlign w:val="bottom"/>
          </w:tcPr>
          <w:p>
            <w:pPr>
              <w:ind w:left="78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440"/>
              <w:spacing w:after="0"/>
              <w:rPr>
                <w:sz w:val="20"/>
                <w:szCs w:val="20"/>
                <w:color w:val="auto"/>
              </w:rPr>
            </w:pPr>
            <w:r>
              <w:rPr>
                <w:rFonts w:ascii="Arial" w:cs="Arial" w:eastAsia="Arial" w:hAnsi="Arial"/>
                <w:sz w:val="18"/>
                <w:szCs w:val="18"/>
                <w:color w:val="auto"/>
                <w:w w:val="79"/>
              </w:rPr>
              <w:t>o</w:t>
            </w:r>
          </w:p>
        </w:tc>
      </w:tr>
      <w:tr>
        <w:trPr>
          <w:trHeight w:val="324"/>
        </w:trPr>
        <w:tc>
          <w:tcPr>
            <w:tcW w:w="246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500"/>
              <w:spacing w:after="0"/>
              <w:rPr>
                <w:sz w:val="20"/>
                <w:szCs w:val="20"/>
                <w:color w:val="auto"/>
              </w:rPr>
            </w:pPr>
            <w:r>
              <w:rPr>
                <w:rFonts w:ascii="Arial" w:cs="Arial" w:eastAsia="Arial" w:hAnsi="Arial"/>
                <w:sz w:val="18"/>
                <w:szCs w:val="18"/>
                <w:color w:val="auto"/>
              </w:rPr>
              <w:t>o</w:t>
            </w:r>
          </w:p>
        </w:tc>
        <w:tc>
          <w:tcPr>
            <w:tcW w:w="4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38" w:lineRule="exact"/>
        <w:rPr>
          <w:sz w:val="24"/>
          <w:szCs w:val="24"/>
          <w:color w:val="auto"/>
        </w:rPr>
      </w:pPr>
    </w:p>
    <w:p>
      <w:pPr>
        <w:ind w:right="19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the number of shares outstanding of each of issuer’s classes of common stock, as of the latest practicable date.</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6740" w:type="dxa"/>
            <w:vAlign w:val="bottom"/>
            <w:gridSpan w:val="2"/>
          </w:tcPr>
          <w:p>
            <w:pPr>
              <w:jc w:val="center"/>
              <w:ind w:right="2140"/>
              <w:spacing w:after="0"/>
              <w:rPr>
                <w:sz w:val="20"/>
                <w:szCs w:val="20"/>
                <w:color w:val="auto"/>
              </w:rPr>
            </w:pPr>
            <w:r>
              <w:rPr>
                <w:rFonts w:ascii="Arial" w:cs="Arial" w:eastAsia="Arial" w:hAnsi="Arial"/>
                <w:sz w:val="18"/>
                <w:szCs w:val="18"/>
                <w:color w:val="auto"/>
                <w:w w:val="90"/>
              </w:rPr>
              <w:t>Common Stock, $.10 par value</w:t>
            </w:r>
          </w:p>
        </w:tc>
        <w:tc>
          <w:tcPr>
            <w:tcW w:w="4680" w:type="dxa"/>
            <w:vAlign w:val="bottom"/>
          </w:tcPr>
          <w:p>
            <w:pPr>
              <w:jc w:val="right"/>
              <w:ind w:right="1850"/>
              <w:spacing w:after="0"/>
              <w:rPr>
                <w:sz w:val="20"/>
                <w:szCs w:val="20"/>
                <w:color w:val="auto"/>
              </w:rPr>
            </w:pPr>
            <w:r>
              <w:rPr>
                <w:rFonts w:ascii="Arial" w:cs="Arial" w:eastAsia="Arial" w:hAnsi="Arial"/>
                <w:sz w:val="18"/>
                <w:szCs w:val="18"/>
                <w:color w:val="auto"/>
              </w:rPr>
              <w:t>49,104,101</w:t>
            </w:r>
          </w:p>
        </w:tc>
      </w:tr>
      <w:tr>
        <w:trPr>
          <w:trHeight w:val="27"/>
        </w:trPr>
        <w:tc>
          <w:tcPr>
            <w:tcW w:w="4580" w:type="dxa"/>
            <w:vAlign w:val="bottom"/>
            <w:tcBorders>
              <w:bottom w:val="single" w:sz="8" w:color="auto"/>
            </w:tcBorders>
          </w:tcPr>
          <w:p>
            <w:pPr>
              <w:spacing w:after="0"/>
              <w:rPr>
                <w:sz w:val="2"/>
                <w:szCs w:val="2"/>
                <w:color w:val="auto"/>
              </w:rPr>
            </w:pPr>
          </w:p>
        </w:tc>
        <w:tc>
          <w:tcPr>
            <w:tcW w:w="216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2"/>
          </w:tcPr>
          <w:p>
            <w:pPr>
              <w:jc w:val="center"/>
              <w:ind w:right="2140"/>
              <w:spacing w:after="0"/>
              <w:rPr>
                <w:sz w:val="20"/>
                <w:szCs w:val="20"/>
                <w:color w:val="auto"/>
              </w:rPr>
            </w:pPr>
            <w:r>
              <w:rPr>
                <w:rFonts w:ascii="Arial" w:cs="Arial" w:eastAsia="Arial" w:hAnsi="Arial"/>
                <w:sz w:val="18"/>
                <w:szCs w:val="18"/>
                <w:color w:val="auto"/>
                <w:w w:val="88"/>
              </w:rPr>
              <w:t>Class</w:t>
            </w:r>
          </w:p>
        </w:tc>
        <w:tc>
          <w:tcPr>
            <w:tcW w:w="4680" w:type="dxa"/>
            <w:vAlign w:val="bottom"/>
          </w:tcPr>
          <w:p>
            <w:pPr>
              <w:jc w:val="center"/>
              <w:spacing w:after="0"/>
              <w:rPr>
                <w:sz w:val="20"/>
                <w:szCs w:val="20"/>
                <w:color w:val="auto"/>
              </w:rPr>
            </w:pPr>
            <w:r>
              <w:rPr>
                <w:rFonts w:ascii="Arial" w:cs="Arial" w:eastAsia="Arial" w:hAnsi="Arial"/>
                <w:sz w:val="18"/>
                <w:szCs w:val="18"/>
                <w:color w:val="auto"/>
                <w:w w:val="90"/>
              </w:rPr>
              <w:t>Outstanding at May 31, 2018</w:t>
            </w:r>
          </w:p>
        </w:tc>
      </w:tr>
    </w:tbl>
    <w:p>
      <w:pPr>
        <w:sectPr>
          <w:pgSz w:w="11900" w:h="16838" w:orient="portrait"/>
          <w:cols w:equalWidth="0" w:num="1">
            <w:col w:w="11420"/>
          </w:cols>
          <w:pgMar w:left="240" w:top="274" w:right="239" w:bottom="1440" w:gutter="0" w:footer="0" w:header="0"/>
          <w:type w:val="continuous"/>
        </w:sectPr>
      </w:pPr>
    </w:p>
    <w:bookmarkStart w:id="1" w:name="page2"/>
    <w:bookmarkEnd w:id="1"/>
    <w:p>
      <w:pPr>
        <w:spacing w:after="0" w:line="36"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color w:val="auto"/>
              </w:rPr>
              <w:t>Page No.</w:t>
            </w:r>
          </w:p>
        </w:tc>
      </w:tr>
      <w:tr>
        <w:trPr>
          <w:trHeight w:val="203"/>
        </w:trPr>
        <w:tc>
          <w:tcPr>
            <w:tcW w:w="1380" w:type="dxa"/>
            <w:vAlign w:val="bottom"/>
            <w:gridSpan w:val="3"/>
          </w:tcPr>
          <w:p>
            <w:pPr>
              <w:spacing w:after="0" w:line="202" w:lineRule="exact"/>
              <w:rPr>
                <w:sz w:val="20"/>
                <w:szCs w:val="20"/>
                <w:color w:val="auto"/>
              </w:rPr>
            </w:pPr>
            <w:r>
              <w:rPr>
                <w:rFonts w:ascii="Arial" w:cs="Arial" w:eastAsia="Arial" w:hAnsi="Arial"/>
                <w:sz w:val="18"/>
                <w:szCs w:val="18"/>
                <w:color w:val="auto"/>
              </w:rPr>
              <w:t>PART I.</w:t>
            </w:r>
          </w:p>
        </w:tc>
        <w:tc>
          <w:tcPr>
            <w:tcW w:w="8400" w:type="dxa"/>
            <w:vAlign w:val="bottom"/>
            <w:gridSpan w:val="18"/>
          </w:tcPr>
          <w:p>
            <w:pP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0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Financial Statements</w:t>
              </w:r>
            </w:hyperlink>
          </w:p>
        </w:tc>
        <w:tc>
          <w:tcPr>
            <w:tcW w:w="6100" w:type="dxa"/>
            <w:vAlign w:val="bottom"/>
            <w:gridSpan w:val="9"/>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7"/>
          </w:tcPr>
          <w:p>
            <w:pPr>
              <w:spacing w:after="0"/>
              <w:rPr>
                <w:sz w:val="20"/>
                <w:szCs w:val="20"/>
                <w:color w:val="auto"/>
              </w:rPr>
            </w:pPr>
            <w:r>
              <w:rPr>
                <w:rFonts w:ascii="Arial" w:cs="Arial" w:eastAsia="Arial" w:hAnsi="Arial"/>
                <w:sz w:val="18"/>
                <w:szCs w:val="18"/>
                <w:color w:val="0000FF"/>
              </w:rPr>
              <w:t>Consolidated Statements of Income (Loss) - Three and Six Months Ended April 30, 2018 and 2017</w:t>
            </w:r>
          </w:p>
        </w:tc>
        <w:tc>
          <w:tcPr>
            <w:tcW w:w="16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9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w w:val="90"/>
              </w:rPr>
              <w:t>Consolidated Statements of Comprehensive Income (Loss) - Three and Six Months Ended April 30, 2018 and</w:t>
            </w: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0000FF"/>
            </w:tcBorders>
          </w:tcPr>
          <w:p>
            <w:pPr>
              <w:spacing w:after="0" w:line="196" w:lineRule="exact"/>
              <w:rPr>
                <w:sz w:val="20"/>
                <w:szCs w:val="20"/>
                <w:color w:val="auto"/>
              </w:rPr>
            </w:pPr>
            <w:r>
              <w:rPr>
                <w:rFonts w:ascii="Arial" w:cs="Arial" w:eastAsia="Arial" w:hAnsi="Arial"/>
                <w:sz w:val="18"/>
                <w:szCs w:val="18"/>
                <w:color w:val="0000FF"/>
                <w:w w:val="84"/>
              </w:rPr>
              <w:t>2017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r>
      <w:tr>
        <w:trPr>
          <w:trHeight w:val="372"/>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7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9"/>
              </w:rPr>
              <w:t>Consolidated Condensed Balance Sheets - April 30, 2018 and October 31, 2017</w:t>
            </w:r>
          </w:p>
        </w:tc>
        <w:tc>
          <w:tcPr>
            <w:tcW w:w="2520" w:type="dxa"/>
            <w:vAlign w:val="bottom"/>
            <w:gridSpan w:val="5"/>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80" w:type="dxa"/>
            <w:vAlign w:val="bottom"/>
            <w:gridSpan w:val="17"/>
          </w:tcPr>
          <w:p>
            <w:pPr>
              <w:spacing w:after="0"/>
              <w:rPr>
                <w:sz w:val="20"/>
                <w:szCs w:val="20"/>
                <w:color w:val="auto"/>
              </w:rPr>
            </w:pPr>
            <w:r>
              <w:rPr>
                <w:rFonts w:ascii="Arial" w:cs="Arial" w:eastAsia="Arial" w:hAnsi="Arial"/>
                <w:sz w:val="18"/>
                <w:szCs w:val="18"/>
                <w:color w:val="0000FF"/>
              </w:rPr>
              <w:t>Consolidated Condensed Statements of Cash Flows - Six Months Ended April 30, 2018 and 2017</w:t>
            </w:r>
          </w:p>
        </w:tc>
        <w:tc>
          <w:tcPr>
            <w:tcW w:w="16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385"/>
        </w:trPr>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20" w:type="dxa"/>
            <w:vAlign w:val="bottom"/>
            <w:tcBorders>
              <w:top w:val="single" w:sz="8" w:color="0000FF"/>
            </w:tcBorders>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Consolidated Condensed Financial Statements</w:t>
              </w:r>
            </w:hyperlink>
          </w:p>
        </w:tc>
        <w:tc>
          <w:tcPr>
            <w:tcW w:w="1260" w:type="dxa"/>
            <w:vAlign w:val="bottom"/>
            <w:gridSpan w:val="3"/>
          </w:tcPr>
          <w:p>
            <w:pPr>
              <w:spacing w:after="0"/>
              <w:rPr>
                <w:sz w:val="24"/>
                <w:szCs w:val="24"/>
                <w:color w:val="auto"/>
              </w:rPr>
            </w:pPr>
          </w:p>
        </w:tc>
        <w:tc>
          <w:tcPr>
            <w:tcW w:w="1480" w:type="dxa"/>
            <w:vAlign w:val="bottom"/>
            <w:gridSpan w:val="2"/>
          </w:tcPr>
          <w:p>
            <w:pPr>
              <w:spacing w:after="0"/>
              <w:rPr>
                <w:sz w:val="24"/>
                <w:szCs w:val="24"/>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20" w:type="dxa"/>
            <w:vAlign w:val="bottom"/>
          </w:tcPr>
          <w:p>
            <w:pPr>
              <w:spacing w:after="0"/>
              <w:rPr>
                <w:sz w:val="24"/>
                <w:szCs w:val="24"/>
                <w:color w:val="auto"/>
              </w:rPr>
            </w:pPr>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4"/>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1940" w:type="dxa"/>
            <w:vAlign w:val="bottom"/>
            <w:gridSpan w:val="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120" w:type="dxa"/>
            <w:vAlign w:val="bottom"/>
            <w:gridSpan w:val="2"/>
            <w:shd w:val="clear" w:color="auto" w:fill="0000EE"/>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6460" w:type="dxa"/>
            <w:vAlign w:val="bottom"/>
            <w:gridSpan w:val="14"/>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 About Market Risk</w:t>
              </w:r>
            </w:hyperlink>
          </w:p>
        </w:tc>
        <w:tc>
          <w:tcPr>
            <w:tcW w:w="1940" w:type="dxa"/>
            <w:vAlign w:val="bottom"/>
            <w:gridSpan w:val="4"/>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80" w:type="dxa"/>
            <w:vAlign w:val="bottom"/>
            <w:gridSpan w:val="11"/>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4120" w:type="dxa"/>
            <w:vAlign w:val="bottom"/>
            <w:gridSpan w:val="7"/>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gridSpan w:val="5"/>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38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188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43">
              <w:r>
                <w:rPr>
                  <w:rFonts w:ascii="Arial" w:cs="Arial" w:eastAsia="Arial" w:hAnsi="Arial"/>
                  <w:sz w:val="18"/>
                  <w:szCs w:val="18"/>
                  <w:color w:val="0000EE"/>
                  <w:w w:val="95"/>
                </w:rPr>
                <w:t>OTHER INFORMATION</w:t>
              </w:r>
            </w:hyperlink>
          </w:p>
        </w:tc>
        <w:tc>
          <w:tcPr>
            <w:tcW w:w="6520" w:type="dxa"/>
            <w:vAlign w:val="bottom"/>
            <w:gridSpan w:val="11"/>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400" w:type="dxa"/>
            <w:vAlign w:val="bottom"/>
            <w:gridSpan w:val="18"/>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Legal Proceedings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EE"/>
                <w:w w:val="87"/>
              </w:rPr>
            </w:pPr>
            <w:hyperlink w:anchor="page43">
              <w:r>
                <w:rPr>
                  <w:rFonts w:ascii="Arial" w:cs="Arial" w:eastAsia="Arial" w:hAnsi="Arial"/>
                  <w:sz w:val="18"/>
                  <w:szCs w:val="18"/>
                  <w:color w:val="0000EE"/>
                  <w:w w:val="87"/>
                </w:rPr>
                <w:t>Risk Factors</w:t>
              </w:r>
            </w:hyperlink>
          </w:p>
        </w:tc>
        <w:tc>
          <w:tcPr>
            <w:tcW w:w="420" w:type="dxa"/>
            <w:vAlign w:val="bottom"/>
          </w:tcPr>
          <w:p>
            <w:pPr>
              <w:spacing w:after="0"/>
              <w:rPr>
                <w:sz w:val="24"/>
                <w:szCs w:val="24"/>
                <w:color w:val="auto"/>
              </w:rPr>
            </w:pPr>
          </w:p>
        </w:tc>
        <w:tc>
          <w:tcPr>
            <w:tcW w:w="7080" w:type="dxa"/>
            <w:vAlign w:val="bottom"/>
            <w:gridSpan w:val="13"/>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40" w:type="dxa"/>
            <w:vAlign w:val="bottom"/>
            <w:gridSpan w:val="8"/>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400" w:type="dxa"/>
            <w:vAlign w:val="bottom"/>
            <w:gridSpan w:val="18"/>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Unregistered Sales of Equity Securities and Use of Proceeds</w:t>
              </w:r>
            </w:hyperlink>
          </w:p>
        </w:tc>
        <w:tc>
          <w:tcPr>
            <w:tcW w:w="1600" w:type="dxa"/>
            <w:vAlign w:val="bottom"/>
            <w:gridSpan w:val="4"/>
          </w:tcPr>
          <w:p>
            <w:pPr>
              <w:jc w:val="right"/>
              <w:ind w:right="20"/>
              <w:spacing w:after="0"/>
              <w:rPr>
                <w:rFonts w:ascii="Arial" w:cs="Arial" w:eastAsia="Arial" w:hAnsi="Arial"/>
                <w:sz w:val="18"/>
                <w:szCs w:val="18"/>
                <w:color w:val="0000EE"/>
              </w:rPr>
            </w:pPr>
            <w:hyperlink w:anchor="page45">
              <w:r>
                <w:rPr>
                  <w:rFonts w:ascii="Arial" w:cs="Arial" w:eastAsia="Arial" w:hAnsi="Arial"/>
                  <w:sz w:val="18"/>
                  <w:szCs w:val="18"/>
                  <w:color w:val="0000EE"/>
                </w:rPr>
                <w:t>45</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740" w:type="dxa"/>
            <w:vAlign w:val="bottom"/>
            <w:gridSpan w:val="9"/>
            <w:shd w:val="clear" w:color="auto" w:fill="0000EE"/>
          </w:tcPr>
          <w:p>
            <w:pPr>
              <w:spacing w:after="0" w:line="20" w:lineRule="exact"/>
              <w:rPr>
                <w:sz w:val="1"/>
                <w:szCs w:val="1"/>
                <w:color w:val="auto"/>
              </w:rPr>
            </w:pPr>
          </w:p>
        </w:tc>
        <w:tc>
          <w:tcPr>
            <w:tcW w:w="4060" w:type="dxa"/>
            <w:vAlign w:val="bottom"/>
            <w:gridSpan w:val="6"/>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3"/>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Exhibits</w:t>
              </w:r>
            </w:hyperlink>
          </w:p>
        </w:tc>
        <w:tc>
          <w:tcPr>
            <w:tcW w:w="3740" w:type="dxa"/>
            <w:vAlign w:val="bottom"/>
            <w:gridSpan w:val="9"/>
          </w:tcPr>
          <w:p>
            <w:pPr>
              <w:spacing w:after="0"/>
              <w:rPr>
                <w:sz w:val="24"/>
                <w:szCs w:val="24"/>
                <w:color w:val="auto"/>
              </w:rPr>
            </w:pPr>
          </w:p>
        </w:tc>
        <w:tc>
          <w:tcPr>
            <w:tcW w:w="4060" w:type="dxa"/>
            <w:vAlign w:val="bottom"/>
            <w:gridSpan w:val="6"/>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6">
              <w:r>
                <w:rPr>
                  <w:rFonts w:ascii="Arial" w:cs="Arial" w:eastAsia="Arial" w:hAnsi="Arial"/>
                  <w:sz w:val="18"/>
                  <w:szCs w:val="18"/>
                  <w:color w:val="0000EE"/>
                </w:rPr>
                <w:t>46</w:t>
              </w:r>
            </w:hyperlink>
          </w:p>
        </w:tc>
      </w:tr>
      <w:tr>
        <w:trPr>
          <w:trHeight w:val="20"/>
        </w:trPr>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40" w:type="dxa"/>
            <w:vAlign w:val="bottom"/>
          </w:tcPr>
          <w:p>
            <w:pPr>
              <w:spacing w:after="0"/>
              <w:rPr>
                <w:sz w:val="24"/>
                <w:szCs w:val="24"/>
                <w:color w:val="auto"/>
              </w:rPr>
            </w:pPr>
          </w:p>
        </w:tc>
        <w:tc>
          <w:tcPr>
            <w:tcW w:w="1240" w:type="dxa"/>
            <w:vAlign w:val="bottom"/>
            <w:gridSpan w:val="2"/>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Signature</w:t>
              </w:r>
            </w:hyperlink>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4"/>
          </w:tcPr>
          <w:p>
            <w:pPr>
              <w:jc w:val="right"/>
              <w:ind w:right="2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507"/>
        </w:trPr>
        <w:tc>
          <w:tcPr>
            <w:tcW w:w="140" w:type="dxa"/>
            <w:vAlign w:val="bottom"/>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4340" w:type="dxa"/>
            <w:vAlign w:val="bottom"/>
            <w:gridSpan w:val="12"/>
          </w:tcPr>
          <w:p>
            <w:pPr>
              <w:ind w:left="4240"/>
              <w:spacing w:after="0"/>
              <w:rPr>
                <w:sz w:val="20"/>
                <w:szCs w:val="20"/>
                <w:color w:val="auto"/>
              </w:rPr>
            </w:pPr>
            <w:r>
              <w:rPr>
                <w:rFonts w:ascii="Arial" w:cs="Arial" w:eastAsia="Arial" w:hAnsi="Arial"/>
                <w:sz w:val="18"/>
                <w:szCs w:val="18"/>
                <w:color w:val="auto"/>
                <w:w w:val="79"/>
              </w:rPr>
              <w:t>2</w:t>
            </w: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144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PART I. FINANCIAL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 Unaudited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 except for earnings 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226.8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178.5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445.9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365.3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404.5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247.9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193.3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473.8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intangibles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(Benefit) provision for income taxes</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Cooper stockholders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(loss) per share attributable to Cooper stockholders - basic</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67"/>
        </w:trPr>
        <w:tc>
          <w:tcPr>
            <w:tcW w:w="65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share attributable to Cooper stockholders - diluted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Number of shares used to compute earnings (loss) per share: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60" w:right="239" w:bottom="1440" w:gutter="0" w:footer="0" w:header="0"/>
        </w:sectPr>
      </w:pPr>
    </w:p>
    <w:bookmarkStart w:id="3" w:name="page4"/>
    <w:bookmarkEnd w:id="3"/>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Six Months</w:t>
            </w:r>
          </w:p>
        </w:tc>
        <w:tc>
          <w:tcPr>
            <w:tcW w:w="940" w:type="dxa"/>
            <w:vAlign w:val="bottom"/>
            <w:tcBorders>
              <w:bottom w:val="single" w:sz="8" w:color="auto"/>
            </w:tcBorders>
          </w:tcPr>
          <w:p>
            <w:pPr>
              <w:spacing w:after="0"/>
              <w:rPr>
                <w:sz w:val="16"/>
                <w:szCs w:val="16"/>
                <w:color w:val="auto"/>
              </w:rPr>
            </w:pPr>
          </w:p>
        </w:tc>
      </w:tr>
      <w:tr>
        <w:trPr>
          <w:trHeight w:val="263"/>
        </w:trPr>
        <w:tc>
          <w:tcPr>
            <w:tcW w:w="5620" w:type="dxa"/>
            <w:vAlign w:val="bottom"/>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860" w:type="dxa"/>
            <w:vAlign w:val="bottom"/>
          </w:tcPr>
          <w:p>
            <w:pPr>
              <w:spacing w:after="0"/>
              <w:rPr>
                <w:sz w:val="21"/>
                <w:szCs w:val="21"/>
                <w:color w:val="auto"/>
              </w:rPr>
            </w:pPr>
          </w:p>
        </w:tc>
        <w:tc>
          <w:tcPr>
            <w:tcW w:w="520" w:type="dxa"/>
            <w:vAlign w:val="bottom"/>
          </w:tcPr>
          <w:p>
            <w:pPr>
              <w:jc w:val="right"/>
              <w:ind w:right="14"/>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180.7</w:t>
            </w: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w:t>
            </w: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w:t>
            </w:r>
          </w:p>
        </w:tc>
        <w:tc>
          <w:tcPr>
            <w:tcW w:w="8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(43.0)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59.3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66.5</w:t>
            </w:r>
          </w:p>
        </w:tc>
      </w:tr>
      <w:tr>
        <w:trPr>
          <w:trHeight w:val="27"/>
        </w:trPr>
        <w:tc>
          <w:tcPr>
            <w:tcW w:w="5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(loss) attributable to Cooper stockholders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60" w:right="239" w:bottom="1440" w:gutter="0" w:footer="0" w:header="0"/>
        </w:sectPr>
      </w:pPr>
    </w:p>
    <w:bookmarkStart w:id="4" w:name="page5"/>
    <w:bookmarkEnd w:id="4"/>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30, 2018</w:t>
            </w:r>
          </w:p>
        </w:tc>
        <w:tc>
          <w:tcPr>
            <w:tcW w:w="260" w:type="dxa"/>
            <w:vAlign w:val="bottom"/>
          </w:tcPr>
          <w:p>
            <w:pPr>
              <w:spacing w:after="0"/>
              <w:rPr>
                <w:sz w:val="16"/>
                <w:szCs w:val="16"/>
                <w:color w:val="auto"/>
              </w:rPr>
            </w:pPr>
          </w:p>
        </w:tc>
        <w:tc>
          <w:tcPr>
            <w:tcW w:w="156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31, 2017</w:t>
            </w:r>
          </w:p>
        </w:tc>
        <w:tc>
          <w:tcPr>
            <w:tcW w:w="0" w:type="dxa"/>
            <w:vAlign w:val="bottom"/>
          </w:tcPr>
          <w:p>
            <w:pPr>
              <w:spacing w:after="0"/>
              <w:rPr>
                <w:sz w:val="1"/>
                <w:szCs w:val="1"/>
                <w:color w:val="auto"/>
              </w:rPr>
            </w:pP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29"/>
        </w:trPr>
        <w:tc>
          <w:tcPr>
            <w:tcW w:w="7660" w:type="dxa"/>
            <w:vAlign w:val="bottom"/>
          </w:tcPr>
          <w:p>
            <w:pPr>
              <w:ind w:left="380"/>
              <w:spacing w:after="0"/>
              <w:rPr>
                <w:sz w:val="20"/>
                <w:szCs w:val="20"/>
                <w:color w:val="auto"/>
              </w:rPr>
            </w:pPr>
            <w:r>
              <w:rPr>
                <w:rFonts w:ascii="Arial" w:cs="Arial" w:eastAsia="Arial" w:hAnsi="Arial"/>
                <w:sz w:val="18"/>
                <w:szCs w:val="18"/>
                <w:color w:val="auto"/>
                <w:w w:val="94"/>
              </w:rPr>
              <w:t>Trade accounts receivable, net of allowance for doubtful accounts of $15.0 at April 30, 2018 and</w:t>
            </w:r>
          </w:p>
        </w:tc>
        <w:tc>
          <w:tcPr>
            <w:tcW w:w="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380"/>
              <w:spacing w:after="0"/>
              <w:rPr>
                <w:sz w:val="20"/>
                <w:szCs w:val="20"/>
                <w:color w:val="auto"/>
              </w:rPr>
            </w:pPr>
            <w:r>
              <w:rPr>
                <w:rFonts w:ascii="Arial" w:cs="Arial" w:eastAsia="Arial" w:hAnsi="Arial"/>
                <w:sz w:val="18"/>
                <w:szCs w:val="18"/>
                <w:color w:val="auto"/>
              </w:rPr>
              <w:t>$10.8 at October 31, 2017</w:t>
            </w:r>
          </w:p>
        </w:tc>
        <w:tc>
          <w:tcPr>
            <w:tcW w:w="300" w:type="dxa"/>
            <w:vAlign w:val="bottom"/>
          </w:tcPr>
          <w:p>
            <w:pPr>
              <w:spacing w:after="0"/>
              <w:rPr>
                <w:sz w:val="20"/>
                <w:szCs w:val="20"/>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432.6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316.6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 and other current assets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953.2</w:t>
            </w:r>
          </w:p>
        </w:tc>
        <w:tc>
          <w:tcPr>
            <w:tcW w:w="0" w:type="dxa"/>
            <w:vAlign w:val="bottom"/>
          </w:tcPr>
          <w:p>
            <w:pPr>
              <w:spacing w:after="0"/>
              <w:rPr>
                <w:sz w:val="1"/>
                <w:szCs w:val="1"/>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1,887.3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1,757.5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966.5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2,354.8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1,602.0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504.7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6,414.4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Employee compensation and benefits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146.5</w:t>
            </w:r>
          </w:p>
        </w:tc>
        <w:tc>
          <w:tcPr>
            <w:tcW w:w="0" w:type="dxa"/>
            <w:vAlign w:val="bottom"/>
          </w:tcPr>
          <w:p>
            <w:pPr>
              <w:spacing w:after="0"/>
              <w:rPr>
                <w:sz w:val="1"/>
                <w:szCs w:val="1"/>
                <w:color w:val="auto"/>
              </w:rPr>
            </w:pPr>
          </w:p>
        </w:tc>
      </w:tr>
      <w:tr>
        <w:trPr>
          <w:trHeight w:val="237"/>
        </w:trPr>
        <w:tc>
          <w:tcPr>
            <w:tcW w:w="76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460.4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2,442.4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1,149.3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tax payable</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Accrued pension liability and other</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3,226.4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1,682.9</w:t>
            </w:r>
          </w:p>
        </w:tc>
        <w:tc>
          <w:tcPr>
            <w:tcW w:w="0" w:type="dxa"/>
            <w:vAlign w:val="bottom"/>
          </w:tcPr>
          <w:p>
            <w:pPr>
              <w:spacing w:after="0"/>
              <w:rPr>
                <w:sz w:val="1"/>
                <w:szCs w:val="1"/>
                <w:color w:val="auto"/>
              </w:rPr>
            </w:pPr>
          </w:p>
        </w:tc>
      </w:tr>
      <w:tr>
        <w:trPr>
          <w:trHeight w:val="223"/>
        </w:trPr>
        <w:tc>
          <w:tcPr>
            <w:tcW w:w="76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3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w w:val="97"/>
              </w:rPr>
              <w:t>Preferred stock, 10 cents par value, shares authorized: 1.0; zero shares issued or outstanding</w:t>
            </w:r>
          </w:p>
        </w:tc>
        <w:tc>
          <w:tcPr>
            <w:tcW w:w="30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10 cents par value, shares authorized: 120.0; issued 52.7 at April 30, 2018 and 52.4</w:t>
            </w:r>
          </w:p>
        </w:tc>
        <w:tc>
          <w:tcPr>
            <w:tcW w:w="3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 October 31, 2017</w:t>
            </w: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1,542.5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1,526.7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2,371.2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2,434.2</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Treasury stock at cost: 3.6 shares at April 30, 2018 and 3.6 shares at October 31, 2017</w:t>
            </w: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0" w:type="dxa"/>
            <w:vAlign w:val="bottom"/>
          </w:tcPr>
          <w:p>
            <w:pPr>
              <w:spacing w:after="0"/>
              <w:rPr>
                <w:sz w:val="1"/>
                <w:szCs w:val="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66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Stockholders’ equity</w:t>
            </w:r>
          </w:p>
        </w:tc>
        <w:tc>
          <w:tcPr>
            <w:tcW w:w="3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3,188.0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3,175.8</w:t>
            </w:r>
          </w:p>
        </w:tc>
        <w:tc>
          <w:tcPr>
            <w:tcW w:w="0" w:type="dxa"/>
            <w:vAlign w:val="bottom"/>
          </w:tcPr>
          <w:p>
            <w:pPr>
              <w:spacing w:after="0"/>
              <w:rPr>
                <w:sz w:val="1"/>
                <w:szCs w:val="1"/>
                <w:color w:val="auto"/>
              </w:rPr>
            </w:pPr>
          </w:p>
        </w:tc>
      </w:tr>
      <w:tr>
        <w:trPr>
          <w:trHeight w:val="237"/>
        </w:trPr>
        <w:tc>
          <w:tcPr>
            <w:tcW w:w="76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6,414.4</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40" w:right="239" w:bottom="1440" w:gutter="0" w:footer="0" w:header="0"/>
        </w:sectPr>
      </w:pPr>
    </w:p>
    <w:bookmarkStart w:id="5" w:name="page6"/>
    <w:bookmarkEnd w:id="5"/>
    <w:p>
      <w:pPr>
        <w:ind w:left="3560"/>
        <w:spacing w:after="0"/>
        <w:rPr>
          <w:sz w:val="20"/>
          <w:szCs w:val="20"/>
          <w:color w:val="auto"/>
        </w:rPr>
      </w:pPr>
      <w:r>
        <w:rPr>
          <w:rFonts w:ascii="Arial" w:cs="Arial" w:eastAsia="Arial" w:hAnsi="Arial"/>
          <w:sz w:val="18"/>
          <w:szCs w:val="18"/>
          <w:color w:val="auto"/>
        </w:rPr>
        <w:t>THE COOPER COMPANIES, INC.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April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2017</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Net (loss) income</w:t>
            </w:r>
          </w:p>
        </w:tc>
        <w:tc>
          <w:tcPr>
            <w:tcW w:w="1180" w:type="dxa"/>
            <w:vAlign w:val="bottom"/>
          </w:tcPr>
          <w:p>
            <w:pPr>
              <w:jc w:val="right"/>
              <w:ind w:right="979"/>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180.7</w:t>
            </w:r>
          </w:p>
        </w:tc>
      </w:tr>
      <w:tr>
        <w:trPr>
          <w:trHeight w:val="27"/>
        </w:trPr>
        <w:tc>
          <w:tcPr>
            <w:tcW w:w="7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Impairment of intangibles</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operating capital</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Other non-cash items</w:t>
            </w:r>
          </w:p>
        </w:tc>
        <w:tc>
          <w:tcPr>
            <w:tcW w:w="11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286.3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ind w:right="11"/>
              <w:spacing w:after="0"/>
              <w:rPr>
                <w:sz w:val="20"/>
                <w:szCs w:val="20"/>
                <w:color w:val="auto"/>
              </w:rPr>
            </w:pPr>
            <w:r>
              <w:rPr>
                <w:rFonts w:ascii="Arial" w:cs="Arial" w:eastAsia="Arial" w:hAnsi="Arial"/>
                <w:sz w:val="18"/>
                <w:szCs w:val="18"/>
                <w:color w:val="auto"/>
              </w:rPr>
              <w:t>24.9</w:t>
            </w:r>
          </w:p>
        </w:tc>
      </w:tr>
      <w:tr>
        <w:trPr>
          <w:trHeight w:val="27"/>
        </w:trPr>
        <w:tc>
          <w:tcPr>
            <w:tcW w:w="7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197.1</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240.1</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1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Acquisitions of assets and businesses, net of cash acquired, and other</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7"/>
              </w:rPr>
              <w:t>(1,320.7)</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7"/>
        </w:trPr>
        <w:tc>
          <w:tcPr>
            <w:tcW w:w="73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(1,418.6)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1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560" w:type="dxa"/>
            <w:vAlign w:val="bottom"/>
          </w:tcPr>
          <w:p>
            <w:pPr>
              <w:spacing w:after="0"/>
              <w:rPr>
                <w:sz w:val="3"/>
                <w:szCs w:val="3"/>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long-term debt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619.0</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Repayments of long-term debt</w:t>
            </w:r>
          </w:p>
        </w:tc>
        <w:tc>
          <w:tcPr>
            <w:tcW w:w="1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(374.0)</w:t>
            </w:r>
          </w:p>
        </w:tc>
      </w:tr>
      <w:tr>
        <w:trPr>
          <w:trHeight w:val="27"/>
        </w:trPr>
        <w:tc>
          <w:tcPr>
            <w:tcW w:w="7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proceeds (repayments) from short-term debt</w:t>
            </w:r>
          </w:p>
        </w:tc>
        <w:tc>
          <w:tcPr>
            <w:tcW w:w="1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(192.4)</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118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0"/>
        </w:trPr>
        <w:tc>
          <w:tcPr>
            <w:tcW w:w="7320" w:type="dxa"/>
            <w:vAlign w:val="bottom"/>
          </w:tcPr>
          <w:p>
            <w:pPr>
              <w:ind w:left="380"/>
              <w:spacing w:after="0"/>
              <w:rPr>
                <w:sz w:val="20"/>
                <w:szCs w:val="20"/>
                <w:color w:val="auto"/>
              </w:rPr>
            </w:pPr>
            <w:r>
              <w:rPr>
                <w:rFonts w:ascii="Arial" w:cs="Arial" w:eastAsia="Arial" w:hAnsi="Arial"/>
                <w:sz w:val="18"/>
                <w:szCs w:val="18"/>
                <w:color w:val="auto"/>
              </w:rPr>
              <w:t>Net payments related to share-based compensation awards</w:t>
            </w:r>
          </w:p>
        </w:tc>
        <w:tc>
          <w:tcPr>
            <w:tcW w:w="11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p>
      <w:pPr>
        <w:spacing w:after="0" w:line="25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Dividends on common stock</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Debt acquisition costs</w:t>
      </w:r>
    </w:p>
    <w:p>
      <w:pPr>
        <w:spacing w:after="0" w:line="63" w:lineRule="exact"/>
        <w:rPr>
          <w:sz w:val="20"/>
          <w:szCs w:val="20"/>
          <w:color w:val="auto"/>
        </w:rPr>
      </w:pPr>
    </w:p>
    <w:p>
      <w:pPr>
        <w:ind w:left="380" w:right="1320"/>
        <w:spacing w:after="0" w:line="352" w:lineRule="auto"/>
        <w:rPr>
          <w:sz w:val="20"/>
          <w:szCs w:val="20"/>
          <w:color w:val="auto"/>
        </w:rPr>
      </w:pPr>
      <w:r>
        <w:rPr>
          <w:rFonts w:ascii="Arial" w:cs="Arial" w:eastAsia="Arial" w:hAnsi="Arial"/>
          <w:sz w:val="16"/>
          <w:szCs w:val="16"/>
          <w:color w:val="auto"/>
        </w:rPr>
        <w:t>Payment of contingent consideration Proceeds from construction allowance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cash provided by financing activities</w:t>
      </w:r>
    </w:p>
    <w:p>
      <w:pPr>
        <w:spacing w:after="0" w:line="77" w:lineRule="exact"/>
        <w:rPr>
          <w:sz w:val="20"/>
          <w:szCs w:val="20"/>
          <w:color w:val="auto"/>
        </w:rPr>
      </w:pPr>
    </w:p>
    <w:p>
      <w:pPr>
        <w:ind w:left="40"/>
        <w:spacing w:after="0" w:line="321" w:lineRule="auto"/>
        <w:rPr>
          <w:sz w:val="20"/>
          <w:szCs w:val="20"/>
          <w:color w:val="auto"/>
        </w:rPr>
      </w:pPr>
      <w:r>
        <w:rPr>
          <w:rFonts w:ascii="Arial" w:cs="Arial" w:eastAsia="Arial" w:hAnsi="Arial"/>
          <w:sz w:val="18"/>
          <w:szCs w:val="18"/>
          <w:color w:val="auto"/>
        </w:rPr>
        <w:t>Effect of exchange rate changes on cash and cash equivalents Net increase in cash and cash equivalents</w:t>
      </w:r>
    </w:p>
    <w:p>
      <w:pPr>
        <w:ind w:left="40" w:right="960"/>
        <w:spacing w:after="0" w:line="412" w:lineRule="auto"/>
        <w:rPr>
          <w:sz w:val="20"/>
          <w:szCs w:val="20"/>
          <w:color w:val="auto"/>
        </w:rPr>
      </w:pPr>
      <w:r>
        <w:rPr>
          <w:rFonts w:ascii="Arial" w:cs="Arial" w:eastAsia="Arial" w:hAnsi="Arial"/>
          <w:sz w:val="16"/>
          <w:szCs w:val="16"/>
          <w:color w:val="auto"/>
        </w:rPr>
        <w:t>Cash and cash equivalents - beginning of period Cash and cash equivalents -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52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56"/>
        </w:trPr>
        <w:tc>
          <w:tcPr>
            <w:tcW w:w="7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7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7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70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w:t>
            </w:r>
          </w:p>
        </w:tc>
      </w:tr>
      <w:tr>
        <w:trPr>
          <w:trHeight w:val="27"/>
        </w:trPr>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1,296.3</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70"/>
        </w:trPr>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0"/>
        </w:trPr>
        <w:tc>
          <w:tcPr>
            <w:tcW w:w="70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100.8</w:t>
            </w:r>
          </w:p>
        </w:tc>
      </w:tr>
      <w:tr>
        <w:trPr>
          <w:trHeight w:val="27"/>
        </w:trPr>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0"/>
                <w:szCs w:val="20"/>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121.3</w:t>
            </w:r>
          </w:p>
        </w:tc>
      </w:tr>
      <w:tr>
        <w:trPr>
          <w:trHeight w:val="27"/>
        </w:trPr>
        <w:tc>
          <w:tcPr>
            <w:tcW w:w="7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-1423035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-1080135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-728345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-376555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4800"/>
        <w:spacing w:after="0"/>
        <w:rPr>
          <w:sz w:val="20"/>
          <w:szCs w:val="20"/>
          <w:color w:val="auto"/>
        </w:rPr>
      </w:pPr>
      <w:r>
        <w:rPr>
          <w:rFonts w:ascii="Arial" w:cs="Arial" w:eastAsia="Arial" w:hAnsi="Arial"/>
          <w:sz w:val="15"/>
          <w:szCs w:val="15"/>
          <w:color w:val="auto"/>
        </w:rPr>
        <w:t>See accompanying notes.</w:t>
      </w:r>
    </w:p>
    <w:p>
      <w:pPr>
        <w:spacing w:after="0" w:line="28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6</w:t>
      </w:r>
    </w:p>
    <w:p>
      <w:pPr>
        <w:sectPr>
          <w:pgSz w:w="11900" w:h="16838" w:orient="portrait"/>
          <w:cols w:equalWidth="0" w:num="2">
            <w:col w:w="4460" w:space="340"/>
            <w:col w:w="6620"/>
          </w:cols>
          <w:pgMar w:left="240" w:top="1260"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 General</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accompanying unaudited interim consolidated condensed financial statements and related notes should be read in conjunction with the audited Consolidated Financial Statements of the Cooper Companies, Inc and its subsidiaries (the Company) and related notes as contained in the Company’s Annual Report on Form 10-K for the fiscal year ended October 31, 2017. The unaudited interim financial statements include all adjustments (consisting only of normal recurring adjustments) and accruals necessary in the judgment of management for a fair statement of the results for the periods presented. Readers should not assume that the results reported here either indicate or guarantee future performance.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Issued Not Yet Adopted</w:t>
      </w:r>
    </w:p>
    <w:p>
      <w:pPr>
        <w:spacing w:after="0" w:line="3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2018, the FASB issued ASU 2018-02, Income Statement - Reporting Comprehensive Income (Topic 220), which allows a reclassification from accumulated other comprehensive income (loss) to retained earnings (accumulated deficit) for stranded tax effects resulting from the Tax Cuts and Jobs Act of 2017 and requires certain disclosures regarding stranded tax effects in accumulated other comprehensive income (loss). This guidance is effective for fiscal years, and interim periods within those fiscal years, beginning after December 15, 2018, with early adoption permitted during interim or annual periods. We are currently evaluating the impact of ASU 2018-02 which is effective for the Company in our fiscal year and interim periods beginning on November 1, 2019.</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March 2017, the Financial Accounting Standards Board (FASB) issued Accounting Standards Update (ASU) 2017-07,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715): Improving the Presentation of Net Periodic Pension Cost and Net Periodic Postretirement Benefit Cost. </w:t>
      </w:r>
      <w:r>
        <w:rPr>
          <w:rFonts w:ascii="Arial" w:cs="Arial" w:eastAsia="Arial" w:hAnsi="Arial"/>
          <w:sz w:val="16"/>
          <w:szCs w:val="16"/>
          <w:color w:val="auto"/>
        </w:rPr>
        <w:t>The ASU requires an entity to</w:t>
      </w:r>
      <w:r>
        <w:rPr>
          <w:rFonts w:ascii="Arial" w:cs="Arial" w:eastAsia="Arial" w:hAnsi="Arial"/>
          <w:sz w:val="16"/>
          <w:szCs w:val="16"/>
          <w:i w:val="1"/>
          <w:iCs w:val="1"/>
          <w:color w:val="auto"/>
        </w:rPr>
        <w:t xml:space="preserve"> </w:t>
      </w:r>
      <w:r>
        <w:rPr>
          <w:rFonts w:ascii="Arial" w:cs="Arial" w:eastAsia="Arial" w:hAnsi="Arial"/>
          <w:sz w:val="16"/>
          <w:szCs w:val="16"/>
          <w:color w:val="auto"/>
        </w:rPr>
        <w:t>disaggregate the service cost component from the other components of net benefit cost. The service cost component is presented in the same line items as other compensation costs arising from services rendered by the pertinent employees during the period and the other components of net benefit costs are presented separately as other income/expense below income from operations. ASU 2017-07 is effective for the Company in fiscal year and interim periods beginning on November 1, 2019, and is not expected to have a significant impact on the Company's consolidated financial statements.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provides guidance on the classification and presentation of changes in restricted cash and cash equivalents in the statement of cash flows. ASU 2016-18 will be effective for the Company in fiscal year and interim periods beginning on November 1, 2019, and is not expected to have a significant impact on the Company's Consolidated Statements of Cash Flows.</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which requires entities to recognize the income tax consequences on an intra-entity transfer of an asset other than inventory when the transfer occurs. The ASU changes the timing of the recognition of the income tax consequences of non-inventory transfers which under current guidance defers the income tax consequences until the asset is sold to an outside party or otherwise recognized. The guidance for the amendments of ASU 2016-16 requires companies to apply a modified retrospective approach with a cumulative catch-up adjustment to opening retained earnings in the period of adoption. We are currently evaluating the impact of ASU 2016-16 which is effective for the Company in our fiscal year and interim periods beginning on November 1, 2018.</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ASU 2016-02 requires that a lessee recognize the assets and liabilities that arise from operating leases. A lessee should recognize in the statement of financial position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In transition, lessees and lessors are required to recognize and measure leases at the beginning of the earliest period presented using a modified retrospective approach. We are currently evaluating the impact of ASU 2016-02, which is effective for the Company in our fiscal year and interim periods beginning on November 1, 2019.</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ASU 2014-09 requires revenue recognition to depict the transfer of goods or services to customers in an amount that reflects the consideration to which the entity expects to be entitled in exchange for those goods or services. ASU 2014-09 sets forth a new revenue recognition model that requires identifying the contract, identifying the performance obligations, determining the transaction price, allocating the transaction price to performance obligations and recognizing the revenue upon satisfaction of performance obligations. The amendments in the ASU can be applied either retrospectively to each prior reporting period presented or retrospectively with the cumulative effect of initially applying the update recognized at the date of the initial application along with additional disclosures.</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been monitoring the activity of the FASB and the Transition Resource Group as it relates to specific industry interpretive guidance and further overall interpretations and clarifications. In fiscal year 2017, we began our plan on adoption of ASU 2014-09. Our plan entails activities such as reviewing significant revenue streams (and related costs) and representative contracts to determine the potential changes to existing accounting policies, completion of an accounting guidance gap analysis, and identifying and addressing the impact that ASU 2014-09 will have on business processes, systems and internal controls to support the recognition and disclosure requirements. We are currently in the process of finalizing our accounting gap analysis and monitoring any changes in contracts that may occur prior to our planned adoption on November 1, 2018.</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currently evaluating the full impact of ASU 2014-09 and related amendments on our consolidated financial statements and related disclosures. Currently, we have not identified any material expected changes due to the adoption of ASU 2014-09 on the Company’s consolidated financial statements. We plan to adopt ASU 2014-09, in our fiscal year and interim periods beginning on November 1, 2018 and we currently expect to apply the modified retrospective transition method. This would result in an adjustment to retained earnings for the cumulative effect, if any, of applying the ASU 2014-09 to contracts in process as of the adoption date. Under this method, the Company would not restate the prior consolidated financial statements presented. However, the Company would include additional disclosures of the amount by which each financial statement line item is affected in the current reporting period during our fiscal year 2019, as compared to the guidance that was in effect before the change, and an explanation of the reasons for significant changes, if 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 Recently Adopted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Company adopted ASU 2018-05, Income Taxes (Topic 740): Amendments to SEC Paragraphs Pursuant to SEC Staff Accounting Bulletin No. 118, which updates the income tax accounting in U.S. generally accepted accounting principles (GAAP) to reflect the SEC interpretive guidance released on December 22, 2017, when the Tax Cuts and Jobs Act of 2017 was signed into law. Additional information regarding the adoption of this standard is contained in Note 6. Income Taxes.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2015-11, </w:t>
      </w:r>
      <w:r>
        <w:rPr>
          <w:rFonts w:ascii="Arial" w:cs="Arial" w:eastAsia="Arial" w:hAnsi="Arial"/>
          <w:sz w:val="18"/>
          <w:szCs w:val="18"/>
          <w:i w:val="1"/>
          <w:iCs w:val="1"/>
          <w:color w:val="auto"/>
        </w:rPr>
        <w:t>Simplifying the Measurement of Inventory</w:t>
      </w:r>
      <w:r>
        <w:rPr>
          <w:rFonts w:ascii="Arial" w:cs="Arial" w:eastAsia="Arial" w:hAnsi="Arial"/>
          <w:sz w:val="18"/>
          <w:szCs w:val="18"/>
          <w:color w:val="auto"/>
        </w:rPr>
        <w:t>. Under current guidance, an entity subsequently measures inventory at the lower of cost or market, with market defined as replacement cost, net realizable value (NRV), or NRV less a normal profit margin. An entity uses current replacement cost provided that it is not above NRV (i.e., the ceiling) or below NRV less an approximately normal profit margin (i.e., the floor). ASU 2015-11 eliminates this analysis and requires entities to measure inventory “at the lower of cost and NRV.” ASU 2015-11 is effective prospectively for annual periods beginning after December 15, 2016, and interim periods therein. The Company adopted this guidance on November 1, 2017, and it did not have a material impact on the Company's reported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2.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the allocation of the total purchase consideration for business and asset acquisitions that the Company completed during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1960" w:type="dxa"/>
            <w:vAlign w:val="bottom"/>
            <w:gridSpan w:val="2"/>
          </w:tcPr>
          <w:p>
            <w:pPr>
              <w:ind w:left="500"/>
              <w:spacing w:after="0"/>
              <w:rPr>
                <w:sz w:val="20"/>
                <w:szCs w:val="20"/>
                <w:color w:val="auto"/>
              </w:rPr>
            </w:pPr>
            <w:r>
              <w:rPr>
                <w:rFonts w:ascii="Arial" w:cs="Arial" w:eastAsia="Arial" w:hAnsi="Arial"/>
                <w:sz w:val="14"/>
                <w:szCs w:val="14"/>
                <w:b w:val="1"/>
                <w:bCs w:val="1"/>
                <w:color w:val="auto"/>
              </w:rPr>
              <w:t>April 30, 2018</w:t>
            </w:r>
          </w:p>
        </w:tc>
        <w:tc>
          <w:tcPr>
            <w:tcW w:w="1800" w:type="dxa"/>
            <w:vAlign w:val="bottom"/>
          </w:tcPr>
          <w:p>
            <w:pPr>
              <w:jc w:val="right"/>
              <w:ind w:right="292"/>
              <w:spacing w:after="0"/>
              <w:rPr>
                <w:sz w:val="20"/>
                <w:szCs w:val="20"/>
                <w:color w:val="auto"/>
              </w:rPr>
            </w:pPr>
            <w:r>
              <w:rPr>
                <w:rFonts w:ascii="Arial" w:cs="Arial" w:eastAsia="Arial" w:hAnsi="Arial"/>
                <w:sz w:val="14"/>
                <w:szCs w:val="14"/>
                <w:b w:val="1"/>
                <w:bCs w:val="1"/>
                <w:color w:val="auto"/>
              </w:rPr>
              <w:t>October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Customer relationships</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43.1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Composite intangible asset</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1,061.9</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Total identifiable intangible assets</w:t>
            </w:r>
          </w:p>
        </w:tc>
        <w:tc>
          <w:tcPr>
            <w:tcW w:w="1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1,189.6</w:t>
            </w:r>
          </w:p>
        </w:tc>
        <w:tc>
          <w:tcPr>
            <w:tcW w:w="120" w:type="dxa"/>
            <w:vAlign w:val="bottom"/>
          </w:tcPr>
          <w:p>
            <w:pPr>
              <w:spacing w:after="0"/>
              <w:rPr>
                <w:sz w:val="20"/>
                <w:szCs w:val="20"/>
                <w:color w:val="auto"/>
              </w:rPr>
            </w:pPr>
          </w:p>
        </w:tc>
        <w:tc>
          <w:tcPr>
            <w:tcW w:w="1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123.1</w:t>
            </w:r>
          </w:p>
        </w:tc>
      </w:tr>
      <w:tr>
        <w:trPr>
          <w:trHeight w:val="243"/>
        </w:trPr>
        <w:tc>
          <w:tcPr>
            <w:tcW w:w="7660" w:type="dxa"/>
            <w:vAlign w:val="bottom"/>
            <w:gridSpan w:val="3"/>
          </w:tcPr>
          <w:p>
            <w:pPr>
              <w:ind w:left="40"/>
              <w:spacing w:after="0"/>
              <w:rPr>
                <w:sz w:val="20"/>
                <w:szCs w:val="20"/>
                <w:color w:val="auto"/>
              </w:rPr>
            </w:pPr>
            <w:r>
              <w:rPr>
                <w:rFonts w:ascii="Arial" w:cs="Arial" w:eastAsia="Arial" w:hAnsi="Arial"/>
                <w:sz w:val="18"/>
                <w:szCs w:val="18"/>
                <w:color w:val="auto"/>
              </w:rPr>
              <w:t>Net tangible assets (liabilities)</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68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76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1,319.8</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All the acquisitions were paid in cash and funded by our debt borrowings.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assets acquisition, we recorded the tangible and intangible assets acquired and liabilities assumed at their estimated and relative fair values as of the applicable date of acquisition. For business acquisition, we recorded the tangible and intangible assets acquired and liabilities assumed at their fair values as of the applicable date of acquisition.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believe these acquisitions strengthen CooperSurgical's and CooperVision's businesses through the addition of new or complementary products and services.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PARAGARD</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1, 2017, CooperSurgical acquired the assets of the PARAGARD Intrauterine Device (IUD) business (PARAGARD) from Teva Pharmaceuticals Industries Limited (Teva) for $1.1 billion.</w:t>
      </w:r>
    </w:p>
    <w:p>
      <w:pPr>
        <w:spacing w:after="0" w:line="184"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This asset acquisition broadens and strengthens CooperSurgical's current product portfolio.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the only hormone-free, long lasting, reversible contraceptive approved by the United States Food and Drug Administration (FDA) available in the United States.</w:t>
      </w:r>
    </w:p>
    <w:p>
      <w:pPr>
        <w:spacing w:after="0" w:line="20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Company has accounted for the acquisition of PARAGARD as a purchase of assets in accordance with FASB Accounting Standards Codification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ASU No.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whereby the Company recognized assets acquired based on their estimated fair values on the acquisition date. Due to the required screening test, the acquisition does not meet the definition of a business as substantially all the fair value of the gross assets acquired is concentrated in a single identifiable asset. The Company retained independent appraisers to advise management in the determination of the relative fair value of the various assets acquired and liabilities assumed. The values assigned in these financial statements represent management’s best estimate of relative fair values as of the acquisition date.</w:t>
      </w:r>
    </w:p>
    <w:p>
      <w:pPr>
        <w:spacing w:after="0" w:line="165"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The following table summarizes the relative fair values of net assets acquired and liabilities assumed using the cost accumulation and allocation model:</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8160" w:type="dxa"/>
            <w:vAlign w:val="bottom"/>
            <w:gridSpan w:val="4"/>
          </w:tcPr>
          <w:p>
            <w:pPr>
              <w:jc w:val="center"/>
              <w:ind w:right="3150"/>
              <w:spacing w:after="0"/>
              <w:rPr>
                <w:sz w:val="20"/>
                <w:szCs w:val="20"/>
                <w:color w:val="auto"/>
              </w:rPr>
            </w:pPr>
            <w:r>
              <w:rPr>
                <w:rFonts w:ascii="Arial" w:cs="Arial" w:eastAsia="Arial" w:hAnsi="Arial"/>
                <w:sz w:val="18"/>
                <w:szCs w:val="18"/>
                <w:color w:val="auto"/>
                <w:w w:val="95"/>
              </w:rPr>
              <w:t>THE COOPER COMPANIES, INC. AND SUBSIDIARIES</w:t>
            </w:r>
          </w:p>
        </w:tc>
      </w:tr>
      <w:tr>
        <w:trPr>
          <w:trHeight w:val="190"/>
        </w:trPr>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89"/>
              </w:rPr>
              <w:t>Notes to Consolidated Condensed Financial Statements</w:t>
            </w:r>
          </w:p>
        </w:tc>
        <w:tc>
          <w:tcPr>
            <w:tcW w:w="3700" w:type="dxa"/>
            <w:vAlign w:val="bottom"/>
            <w:gridSpan w:val="2"/>
          </w:tcPr>
          <w:p>
            <w:pPr>
              <w:spacing w:after="0"/>
              <w:rPr>
                <w:sz w:val="16"/>
                <w:szCs w:val="16"/>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700" w:type="dxa"/>
            <w:vAlign w:val="bottom"/>
            <w:gridSpan w:val="3"/>
          </w:tcPr>
          <w:p>
            <w:pPr>
              <w:jc w:val="center"/>
              <w:ind w:right="3630"/>
              <w:spacing w:after="0"/>
              <w:rPr>
                <w:sz w:val="20"/>
                <w:szCs w:val="20"/>
                <w:color w:val="auto"/>
              </w:rPr>
            </w:pPr>
            <w:r>
              <w:rPr>
                <w:rFonts w:ascii="Arial" w:cs="Arial" w:eastAsia="Arial" w:hAnsi="Arial"/>
                <w:sz w:val="18"/>
                <w:szCs w:val="18"/>
                <w:color w:val="auto"/>
                <w:w w:val="91"/>
              </w:rPr>
              <w:t>(Unaudited)</w:t>
            </w:r>
          </w:p>
        </w:tc>
      </w:tr>
      <w:tr>
        <w:trPr>
          <w:trHeight w:val="581"/>
        </w:trPr>
        <w:tc>
          <w:tcPr>
            <w:tcW w:w="3260" w:type="dxa"/>
            <w:vAlign w:val="bottom"/>
            <w:gridSpan w:val="3"/>
          </w:tcPr>
          <w:p>
            <w:pPr>
              <w:ind w:left="40"/>
              <w:spacing w:after="0"/>
              <w:rPr>
                <w:sz w:val="20"/>
                <w:szCs w:val="20"/>
                <w:color w:val="auto"/>
              </w:rPr>
            </w:pPr>
            <w:r>
              <w:rPr>
                <w:rFonts w:ascii="Arial" w:cs="Arial" w:eastAsia="Arial" w:hAnsi="Arial"/>
                <w:sz w:val="18"/>
                <w:szCs w:val="18"/>
                <w:b w:val="1"/>
                <w:bCs w:val="1"/>
                <w:color w:val="auto"/>
              </w:rPr>
              <w:t>(In millions)</w:t>
            </w:r>
          </w:p>
        </w:tc>
        <w:tc>
          <w:tcPr>
            <w:tcW w:w="4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b w:val="1"/>
                <w:bCs w:val="1"/>
                <w:color w:val="auto"/>
              </w:rPr>
              <w:t>Relative Fair Value</w:t>
            </w:r>
          </w:p>
        </w:tc>
      </w:tr>
      <w:tr>
        <w:trPr>
          <w:trHeight w:val="48"/>
        </w:trPr>
        <w:tc>
          <w:tcPr>
            <w:tcW w:w="40" w:type="dxa"/>
            <w:vAlign w:val="bottom"/>
            <w:tcBorders>
              <w:bottom w:val="single" w:sz="8" w:color="CCEEFF"/>
            </w:tcBorders>
          </w:tcPr>
          <w:p>
            <w:pPr>
              <w:spacing w:after="0"/>
              <w:rPr>
                <w:sz w:val="4"/>
                <w:szCs w:val="4"/>
                <w:color w:val="auto"/>
              </w:rPr>
            </w:pPr>
          </w:p>
        </w:tc>
        <w:tc>
          <w:tcPr>
            <w:tcW w:w="940" w:type="dxa"/>
            <w:vAlign w:val="bottom"/>
            <w:tcBorders>
              <w:top w:val="single" w:sz="8" w:color="auto"/>
              <w:bottom w:val="single" w:sz="8" w:color="CCEEFF"/>
            </w:tcBorders>
          </w:tcPr>
          <w:p>
            <w:pPr>
              <w:spacing w:after="0"/>
              <w:rPr>
                <w:sz w:val="4"/>
                <w:szCs w:val="4"/>
                <w:color w:val="auto"/>
              </w:rPr>
            </w:pPr>
          </w:p>
        </w:tc>
        <w:tc>
          <w:tcPr>
            <w:tcW w:w="228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0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r>
      <w:tr>
        <w:trPr>
          <w:trHeight w:val="264"/>
        </w:trPr>
        <w:tc>
          <w:tcPr>
            <w:tcW w:w="3260" w:type="dxa"/>
            <w:vAlign w:val="bottom"/>
            <w:gridSpan w:val="3"/>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Composite intangible asset </w:t>
            </w:r>
            <w:r>
              <w:rPr>
                <w:rFonts w:ascii="Arial" w:cs="Arial" w:eastAsia="Arial" w:hAnsi="Arial"/>
                <w:sz w:val="25"/>
                <w:szCs w:val="25"/>
                <w:color w:val="auto"/>
                <w:vertAlign w:val="superscript"/>
              </w:rPr>
              <w:t>(1)</w:t>
            </w:r>
          </w:p>
        </w:tc>
        <w:tc>
          <w:tcPr>
            <w:tcW w:w="8160" w:type="dxa"/>
            <w:vAlign w:val="bottom"/>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1,061.9</w:t>
            </w:r>
          </w:p>
        </w:tc>
      </w:tr>
      <w:tr>
        <w:trPr>
          <w:trHeight w:val="270"/>
        </w:trPr>
        <w:tc>
          <w:tcPr>
            <w:tcW w:w="3260" w:type="dxa"/>
            <w:vAlign w:val="bottom"/>
            <w:gridSpan w:val="3"/>
          </w:tcPr>
          <w:p>
            <w:pPr>
              <w:ind w:left="40"/>
              <w:spacing w:after="0" w:line="270" w:lineRule="exact"/>
              <w:rPr>
                <w:sz w:val="20"/>
                <w:szCs w:val="20"/>
                <w:color w:val="auto"/>
              </w:rPr>
            </w:pPr>
            <w:r>
              <w:rPr>
                <w:rFonts w:ascii="Arial" w:cs="Arial" w:eastAsia="Arial" w:hAnsi="Arial"/>
                <w:sz w:val="18"/>
                <w:szCs w:val="18"/>
                <w:color w:val="auto"/>
                <w:w w:val="97"/>
              </w:rPr>
              <w:t xml:space="preserve">Assembled workforce intangible asset </w:t>
            </w:r>
            <w:r>
              <w:rPr>
                <w:rFonts w:ascii="Arial" w:cs="Arial" w:eastAsia="Arial" w:hAnsi="Arial"/>
                <w:sz w:val="25"/>
                <w:szCs w:val="25"/>
                <w:color w:val="auto"/>
                <w:w w:val="97"/>
                <w:vertAlign w:val="superscript"/>
              </w:rPr>
              <w:t>(2)</w:t>
            </w:r>
          </w:p>
        </w:tc>
        <w:tc>
          <w:tcPr>
            <w:tcW w:w="8160" w:type="dxa"/>
            <w:vAlign w:val="bottom"/>
            <w:gridSpan w:val="4"/>
          </w:tcPr>
          <w:p>
            <w:pPr>
              <w:jc w:val="right"/>
              <w:ind w:right="10"/>
              <w:spacing w:after="0"/>
              <w:rPr>
                <w:sz w:val="20"/>
                <w:szCs w:val="20"/>
                <w:color w:val="auto"/>
              </w:rPr>
            </w:pPr>
            <w:r>
              <w:rPr>
                <w:rFonts w:ascii="Arial" w:cs="Arial" w:eastAsia="Arial" w:hAnsi="Arial"/>
                <w:sz w:val="18"/>
                <w:szCs w:val="18"/>
                <w:color w:val="auto"/>
              </w:rPr>
              <w:t>1.2</w:t>
            </w:r>
          </w:p>
        </w:tc>
      </w:tr>
      <w:tr>
        <w:trPr>
          <w:trHeight w:val="250"/>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w:t>
            </w:r>
          </w:p>
        </w:tc>
        <w:tc>
          <w:tcPr>
            <w:tcW w:w="81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70"/>
        </w:trPr>
        <w:tc>
          <w:tcPr>
            <w:tcW w:w="326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Inventory </w:t>
            </w:r>
            <w:r>
              <w:rPr>
                <w:rFonts w:ascii="Arial" w:cs="Arial" w:eastAsia="Arial" w:hAnsi="Arial"/>
                <w:sz w:val="25"/>
                <w:szCs w:val="25"/>
                <w:color w:val="auto"/>
                <w:vertAlign w:val="superscript"/>
              </w:rPr>
              <w:t>(3)</w:t>
            </w:r>
          </w:p>
        </w:tc>
        <w:tc>
          <w:tcPr>
            <w:tcW w:w="8160" w:type="dxa"/>
            <w:vAlign w:val="bottom"/>
            <w:gridSpan w:val="4"/>
          </w:tcPr>
          <w:p>
            <w:pPr>
              <w:jc w:val="right"/>
              <w:ind w:right="10"/>
              <w:spacing w:after="0"/>
              <w:rPr>
                <w:sz w:val="20"/>
                <w:szCs w:val="20"/>
                <w:color w:val="auto"/>
              </w:rPr>
            </w:pPr>
            <w:r>
              <w:rPr>
                <w:rFonts w:ascii="Arial" w:cs="Arial" w:eastAsia="Arial" w:hAnsi="Arial"/>
                <w:sz w:val="18"/>
                <w:szCs w:val="18"/>
                <w:color w:val="auto"/>
              </w:rPr>
              <w:t>47.3</w:t>
            </w:r>
          </w:p>
        </w:tc>
      </w:tr>
      <w:tr>
        <w:trPr>
          <w:trHeight w:val="270"/>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6340" w:type="dxa"/>
            <w:vAlign w:val="bottom"/>
            <w:tcBorders>
              <w:bottom w:val="single" w:sz="8" w:color="CCEEFF"/>
            </w:tcBorders>
            <w:gridSpan w:val="3"/>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w:t>
            </w:r>
          </w:p>
        </w:tc>
      </w:tr>
      <w:tr>
        <w:trPr>
          <w:trHeight w:val="237"/>
        </w:trPr>
        <w:tc>
          <w:tcPr>
            <w:tcW w:w="3260" w:type="dxa"/>
            <w:vAlign w:val="bottom"/>
            <w:gridSpan w:val="3"/>
          </w:tcPr>
          <w:p>
            <w:pPr>
              <w:ind w:left="40"/>
              <w:spacing w:after="0"/>
              <w:rPr>
                <w:sz w:val="20"/>
                <w:szCs w:val="20"/>
                <w:color w:val="auto"/>
              </w:rPr>
            </w:pPr>
            <w:r>
              <w:rPr>
                <w:rFonts w:ascii="Arial" w:cs="Arial" w:eastAsia="Arial" w:hAnsi="Arial"/>
                <w:sz w:val="18"/>
                <w:szCs w:val="18"/>
                <w:color w:val="auto"/>
              </w:rPr>
              <w:t>Total assets acquired</w:t>
            </w:r>
          </w:p>
        </w:tc>
        <w:tc>
          <w:tcPr>
            <w:tcW w:w="6340" w:type="dxa"/>
            <w:vAlign w:val="bottom"/>
            <w:gridSpan w:val="3"/>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1,121.8</w:t>
            </w:r>
          </w:p>
        </w:tc>
      </w:tr>
      <w:tr>
        <w:trPr>
          <w:trHeight w:val="27"/>
        </w:trPr>
        <w:tc>
          <w:tcPr>
            <w:tcW w:w="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32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liabilities assumed</w:t>
            </w:r>
          </w:p>
        </w:tc>
        <w:tc>
          <w:tcPr>
            <w:tcW w:w="6340" w:type="dxa"/>
            <w:vAlign w:val="bottom"/>
            <w:tcBorders>
              <w:bottom w:val="single" w:sz="8" w:color="CCEEFF"/>
            </w:tcBorders>
            <w:gridSpan w:val="3"/>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r>
      <w:tr>
        <w:trPr>
          <w:trHeight w:val="237"/>
        </w:trPr>
        <w:tc>
          <w:tcPr>
            <w:tcW w:w="326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Purchase Price</w:t>
            </w:r>
          </w:p>
        </w:tc>
        <w:tc>
          <w:tcPr>
            <w:tcW w:w="6340" w:type="dxa"/>
            <w:vAlign w:val="bottom"/>
            <w:gridSpan w:val="3"/>
          </w:tcPr>
          <w:p>
            <w:pPr>
              <w:spacing w:after="0"/>
              <w:rPr>
                <w:sz w:val="20"/>
                <w:szCs w:val="20"/>
                <w:color w:val="auto"/>
              </w:rPr>
            </w:pPr>
          </w:p>
        </w:tc>
        <w:tc>
          <w:tcPr>
            <w:tcW w:w="1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1,105.4</w:t>
            </w:r>
          </w:p>
        </w:tc>
      </w:tr>
      <w:tr>
        <w:trPr>
          <w:trHeight w:val="27"/>
        </w:trPr>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proportionally allocated the acquisition costs to the net assets acquired. The acquisition-related costs included advisory, legal, valuation and other professional fees.</w:t>
      </w:r>
    </w:p>
    <w:p>
      <w:pPr>
        <w:spacing w:after="0" w:line="170" w:lineRule="exact"/>
        <w:rPr>
          <w:sz w:val="20"/>
          <w:szCs w:val="20"/>
          <w:color w:val="auto"/>
        </w:rPr>
      </w:pPr>
    </w:p>
    <w:p>
      <w:pPr>
        <w:jc w:val="both"/>
        <w:ind w:firstLine="8"/>
        <w:spacing w:after="0" w:line="256" w:lineRule="auto"/>
        <w:tabs>
          <w:tab w:leader="none" w:pos="192" w:val="left"/>
        </w:tabs>
        <w:numPr>
          <w:ilvl w:val="0"/>
          <w:numId w:val="1"/>
        </w:numPr>
        <w:rPr>
          <w:rFonts w:ascii="Arial" w:cs="Arial" w:eastAsia="Arial" w:hAnsi="Arial"/>
          <w:sz w:val="22"/>
          <w:szCs w:val="22"/>
          <w:i w:val="1"/>
          <w:iCs w:val="1"/>
          <w:color w:val="auto"/>
          <w:vertAlign w:val="superscript"/>
        </w:rPr>
      </w:pPr>
      <w:r>
        <w:rPr>
          <w:rFonts w:ascii="Arial" w:cs="Arial" w:eastAsia="Arial" w:hAnsi="Arial"/>
          <w:sz w:val="16"/>
          <w:szCs w:val="16"/>
          <w:i w:val="1"/>
          <w:iCs w:val="1"/>
          <w:color w:val="auto"/>
        </w:rPr>
        <w:t>Composite Intangible asset consists of technology, trade name, New Drug Application (NDA) approval and physician relationships, which have been valued as a single composite intangible asset as they are inextricably linked. The composite asset was identified as the primary asset acquired, was valued using the Multi-Period Excess Earnings Method and will be amortized over 15 years.</w:t>
      </w:r>
    </w:p>
    <w:p>
      <w:pPr>
        <w:ind w:left="180" w:hanging="172"/>
        <w:spacing w:after="0" w:line="214" w:lineRule="auto"/>
        <w:tabs>
          <w:tab w:leader="none" w:pos="180" w:val="left"/>
        </w:tabs>
        <w:numPr>
          <w:ilvl w:val="0"/>
          <w:numId w:val="1"/>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An assembled workforce was recognized as a separate acquired intangible asset, given the purchase of assets and will be amortized over 5 years.</w:t>
      </w:r>
    </w:p>
    <w:p>
      <w:pPr>
        <w:spacing w:after="0" w:line="2" w:lineRule="exact"/>
        <w:rPr>
          <w:rFonts w:ascii="Arial" w:cs="Arial" w:eastAsia="Arial" w:hAnsi="Arial"/>
          <w:sz w:val="21"/>
          <w:szCs w:val="21"/>
          <w:i w:val="1"/>
          <w:iCs w:val="1"/>
          <w:color w:val="auto"/>
          <w:vertAlign w:val="superscript"/>
        </w:rPr>
      </w:pPr>
    </w:p>
    <w:p>
      <w:pPr>
        <w:ind w:left="180" w:hanging="172"/>
        <w:spacing w:after="0" w:line="213" w:lineRule="auto"/>
        <w:tabs>
          <w:tab w:leader="none" w:pos="180" w:val="left"/>
        </w:tabs>
        <w:numPr>
          <w:ilvl w:val="0"/>
          <w:numId w:val="1"/>
        </w:numPr>
        <w:rPr>
          <w:rFonts w:ascii="Arial" w:cs="Arial" w:eastAsia="Arial" w:hAnsi="Arial"/>
          <w:sz w:val="21"/>
          <w:szCs w:val="21"/>
          <w:i w:val="1"/>
          <w:iCs w:val="1"/>
          <w:color w:val="auto"/>
          <w:vertAlign w:val="superscript"/>
        </w:rPr>
      </w:pPr>
      <w:r>
        <w:rPr>
          <w:rFonts w:ascii="Arial" w:cs="Arial" w:eastAsia="Arial" w:hAnsi="Arial"/>
          <w:sz w:val="15"/>
          <w:szCs w:val="15"/>
          <w:i w:val="1"/>
          <w:iCs w:val="1"/>
          <w:color w:val="auto"/>
        </w:rPr>
        <w:t>Inventory relative fair value includes step up of $45.4 million.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PARAGARD was considered an asset purchase as opposed to a business acquisition in accordance with the guidance under FASB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and ASU No. 2017-01,</w:t>
      </w:r>
      <w:r>
        <w:rPr>
          <w:rFonts w:ascii="Arial" w:cs="Arial" w:eastAsia="Arial" w:hAnsi="Arial"/>
          <w:sz w:val="18"/>
          <w:szCs w:val="18"/>
          <w:i w:val="1"/>
          <w:iCs w:val="1"/>
          <w:color w:val="auto"/>
        </w:rPr>
        <w:t xml:space="preserve"> Business Combinations (Topic 805): Clarifying the Definition of a Business</w:t>
      </w:r>
      <w:r>
        <w:rPr>
          <w:rFonts w:ascii="Arial" w:cs="Arial" w:eastAsia="Arial" w:hAnsi="Arial"/>
          <w:sz w:val="18"/>
          <w:szCs w:val="18"/>
          <w:color w:val="auto"/>
        </w:rPr>
        <w:t>, the Company has not included proforma</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information which is applicable for a business acquisition.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April 3, 2018, CooperSurgical completed the acquisition of The LifeGlobal Group (LifeGlobal). LifeGlobal was a privately held company that specializes primarily in IVF media. LifeGlobal’s product categories include media products as well as IVF laboratory air filtration products and dishware. The purchase price allocation is preliminary and we are in the process of finalizing information related to assets, liabilities and the corresponding impact on goodwill.</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 2017, CooperVision acquired Paragon Vision Sciences, a leading provider of orthokeratology (ortho-k) specialty contact lenses and oxygen permeable rigid contact lens materials. Ortho-k contact lenses are overnight lenses which enable corneal topography correction for myopia (nearsightedness) patients. The purchase price allocation is preliminary and we are in the process of finalizing information related to assets, liabilities and the corresponding impact on goodwill.</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4, 2018, CooperVision acquired Blueyes Ltd, a long-standing distribution partner, with a leading position in the distribution of contact lenses to the Optical and Pharmacy sector in Israel. The purchase price allocation is preliminary and we are in the process of finalizing information related to assets, liabilities and the corresponding impact on goodwill.</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 forma results of operations of these acquisitions have not been presented because the effects of the business combinations described above, individually and in the aggregate, were not material to our consolidated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2017</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3, 2017, CooperVision completed the acquisition of Procornea Holding B.V. (Procornea). Procornea is a Netherlands based manufacturer and distributor of specialty contact lenses, mainly orthokeratology (ortho-k) which expands CooperVision's access to myopia (nearsightedness) management markets with new products. We have completed the purchase price allocation for this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2017, CooperVision completed the acquisition of Grand Vista LLC, a long-standing distribution partner in Russia. Grand Vista LLC is engaged in contact lens and contact lens solutions and lens care product distribution business in Russia. We have completed the purchase price allocation for this acquisition.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4, 2016, CooperSurgical completed the acquisition of Wallace, the in vitro fertilization (IVF) segment of Smiths Medical International, Ltd., a division of Smiths Group plc. Wallace manufactures a range of IVF and ob/gyn products. We have completed the purchase price allocation for this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Inventories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4"/>
                <w:szCs w:val="14"/>
                <w:color w:val="auto"/>
              </w:rPr>
            </w:pPr>
          </w:p>
        </w:tc>
        <w:tc>
          <w:tcPr>
            <w:tcW w:w="1900" w:type="dxa"/>
            <w:vAlign w:val="bottom"/>
            <w:gridSpan w:val="2"/>
          </w:tcPr>
          <w:p>
            <w:pPr>
              <w:ind w:left="280"/>
              <w:spacing w:after="0"/>
              <w:rPr>
                <w:sz w:val="20"/>
                <w:szCs w:val="20"/>
                <w:color w:val="auto"/>
              </w:rPr>
            </w:pPr>
            <w:r>
              <w:rPr>
                <w:rFonts w:ascii="Arial" w:cs="Arial" w:eastAsia="Arial" w:hAnsi="Arial"/>
                <w:sz w:val="14"/>
                <w:szCs w:val="14"/>
                <w:b w:val="1"/>
                <w:bCs w:val="1"/>
                <w:color w:val="auto"/>
              </w:rPr>
              <w:t>April 30, 2018</w:t>
            </w:r>
          </w:p>
        </w:tc>
        <w:tc>
          <w:tcPr>
            <w:tcW w:w="340" w:type="dxa"/>
            <w:vAlign w:val="bottom"/>
          </w:tcPr>
          <w:p>
            <w:pPr>
              <w:spacing w:after="0"/>
              <w:rPr>
                <w:sz w:val="14"/>
                <w:szCs w:val="14"/>
                <w:color w:val="auto"/>
              </w:rPr>
            </w:pPr>
          </w:p>
        </w:tc>
        <w:tc>
          <w:tcPr>
            <w:tcW w:w="1820" w:type="dxa"/>
            <w:vAlign w:val="bottom"/>
          </w:tcPr>
          <w:p>
            <w:pPr>
              <w:jc w:val="right"/>
              <w:ind w:right="474"/>
              <w:spacing w:after="0"/>
              <w:rPr>
                <w:sz w:val="20"/>
                <w:szCs w:val="20"/>
                <w:color w:val="auto"/>
              </w:rPr>
            </w:pPr>
            <w:r>
              <w:rPr>
                <w:rFonts w:ascii="Arial" w:cs="Arial" w:eastAsia="Arial" w:hAnsi="Arial"/>
                <w:sz w:val="14"/>
                <w:szCs w:val="14"/>
                <w:b w:val="1"/>
                <w:bCs w:val="1"/>
                <w:color w:val="auto"/>
              </w:rPr>
              <w:t>October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44"/>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107.0</w:t>
            </w:r>
          </w:p>
        </w:tc>
      </w:tr>
      <w:tr>
        <w:trPr>
          <w:trHeight w:val="243"/>
        </w:trPr>
        <w:tc>
          <w:tcPr>
            <w:tcW w:w="6980" w:type="dxa"/>
            <w:vAlign w:val="bottom"/>
            <w:gridSpan w:val="3"/>
          </w:tcPr>
          <w:p>
            <w:pPr>
              <w:ind w:left="40"/>
              <w:spacing w:after="0"/>
              <w:rPr>
                <w:sz w:val="20"/>
                <w:szCs w:val="20"/>
                <w:color w:val="auto"/>
              </w:rPr>
            </w:pPr>
            <w:r>
              <w:rPr>
                <w:rFonts w:ascii="Arial" w:cs="Arial" w:eastAsia="Arial" w:hAnsi="Arial"/>
                <w:sz w:val="18"/>
                <w:szCs w:val="18"/>
                <w:color w:val="auto"/>
              </w:rPr>
              <w:t>Work-in-process</w:t>
            </w:r>
          </w:p>
        </w:tc>
        <w:tc>
          <w:tcPr>
            <w:tcW w:w="380" w:type="dxa"/>
            <w:vAlign w:val="bottom"/>
          </w:tcPr>
          <w:p>
            <w:pPr>
              <w:spacing w:after="0"/>
              <w:rPr>
                <w:sz w:val="21"/>
                <w:szCs w:val="21"/>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20" w:type="dxa"/>
            <w:vAlign w:val="bottom"/>
          </w:tcPr>
          <w:p>
            <w:pPr>
              <w:jc w:val="right"/>
              <w:ind w:right="14"/>
              <w:spacing w:after="0"/>
              <w:rPr>
                <w:sz w:val="20"/>
                <w:szCs w:val="20"/>
                <w:color w:val="auto"/>
              </w:rPr>
            </w:pPr>
            <w:r>
              <w:rPr>
                <w:rFonts w:ascii="Arial" w:cs="Arial" w:eastAsia="Arial" w:hAnsi="Arial"/>
                <w:sz w:val="18"/>
                <w:szCs w:val="18"/>
                <w:color w:val="auto"/>
              </w:rPr>
              <w:t>13.3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333.8</w:t>
            </w: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454.1</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Inventories are stated at the lower of cost and net realizable value. Cost is computed using standard cost that approximates actual cost, on a first-in, first-out basis.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4. Intangible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CooperVision</w:t>
            </w:r>
          </w:p>
        </w:tc>
        <w:tc>
          <w:tcPr>
            <w:tcW w:w="260" w:type="dxa"/>
            <w:vAlign w:val="bottom"/>
          </w:tcPr>
          <w:p>
            <w:pPr>
              <w:spacing w:after="0"/>
              <w:rPr>
                <w:sz w:val="14"/>
                <w:szCs w:val="14"/>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CooperSurgical</w:t>
            </w:r>
          </w:p>
        </w:tc>
        <w:tc>
          <w:tcPr>
            <w:tcW w:w="400" w:type="dxa"/>
            <w:vAlign w:val="bottom"/>
          </w:tcPr>
          <w:p>
            <w:pPr>
              <w:spacing w:after="0"/>
              <w:rPr>
                <w:sz w:val="14"/>
                <w:szCs w:val="14"/>
                <w:color w:val="auto"/>
              </w:rPr>
            </w:pPr>
          </w:p>
        </w:tc>
        <w:tc>
          <w:tcPr>
            <w:tcW w:w="1300" w:type="dxa"/>
            <w:vAlign w:val="bottom"/>
          </w:tcPr>
          <w:p>
            <w:pPr>
              <w:jc w:val="right"/>
              <w:ind w:right="612"/>
              <w:spacing w:after="0"/>
              <w:rPr>
                <w:sz w:val="20"/>
                <w:szCs w:val="20"/>
                <w:color w:val="auto"/>
              </w:rPr>
            </w:pPr>
            <w:r>
              <w:rPr>
                <w:rFonts w:ascii="Arial" w:cs="Arial" w:eastAsia="Arial" w:hAnsi="Arial"/>
                <w:sz w:val="14"/>
                <w:szCs w:val="14"/>
                <w:b w:val="1"/>
                <w:bCs w:val="1"/>
                <w:color w:val="auto"/>
              </w:rPr>
              <w:t>Total</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October 31,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2,164.7</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Net additions during the year ended October 31, 2017</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94.4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123.0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Translation</w:t>
            </w:r>
          </w:p>
        </w:tc>
        <w:tc>
          <w:tcPr>
            <w:tcW w:w="2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67.1</w:t>
            </w:r>
          </w:p>
        </w:tc>
      </w:tr>
      <w:tr>
        <w:trPr>
          <w:trHeight w:val="237"/>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Balance at October 31, 2017</w:t>
            </w:r>
          </w:p>
        </w:tc>
        <w:tc>
          <w:tcPr>
            <w:tcW w:w="2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1,735.7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619.1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2,354.8</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Net additions during the six months ended April 30, 2018</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Translation</w:t>
            </w:r>
          </w:p>
        </w:tc>
        <w:tc>
          <w:tcPr>
            <w:tcW w:w="28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60" w:type="dxa"/>
            <w:vAlign w:val="bottom"/>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37.9</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Balance at April 30,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1,806.6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2,461.1</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performed our annual impairment assessment in our third quarter of fiscal 2017 and 2016, and our analysis indicated that we had no impairment of goodwill. We evaluate goodwill for impairment annually during the fiscal third quarter and when an event occurs or circumstances change such that it is reasonably possible that impairment may exist. We account for goodwill and evaluate our goodwill balances and test them for impairment in accordance with related accounting standards.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20" w:type="dxa"/>
            <w:vAlign w:val="bottom"/>
            <w:gridSpan w:val="5"/>
          </w:tcPr>
          <w:p>
            <w:pPr>
              <w:ind w:left="880"/>
              <w:spacing w:after="0"/>
              <w:rPr>
                <w:sz w:val="20"/>
                <w:szCs w:val="20"/>
                <w:color w:val="auto"/>
              </w:rPr>
            </w:pPr>
            <w:r>
              <w:rPr>
                <w:rFonts w:ascii="Arial" w:cs="Arial" w:eastAsia="Arial" w:hAnsi="Arial"/>
                <w:sz w:val="14"/>
                <w:szCs w:val="14"/>
                <w:b w:val="1"/>
                <w:bCs w:val="1"/>
                <w:color w:val="auto"/>
              </w:rPr>
              <w:t>April 30, 2018</w:t>
            </w:r>
          </w:p>
        </w:tc>
        <w:tc>
          <w:tcPr>
            <w:tcW w:w="180" w:type="dxa"/>
            <w:vAlign w:val="bottom"/>
          </w:tcPr>
          <w:p>
            <w:pPr>
              <w:spacing w:after="0"/>
              <w:rPr>
                <w:sz w:val="16"/>
                <w:szCs w:val="16"/>
                <w:color w:val="auto"/>
              </w:rPr>
            </w:pPr>
          </w:p>
        </w:tc>
        <w:tc>
          <w:tcPr>
            <w:tcW w:w="2760" w:type="dxa"/>
            <w:vAlign w:val="bottom"/>
            <w:gridSpan w:val="4"/>
          </w:tcPr>
          <w:p>
            <w:pPr>
              <w:jc w:val="right"/>
              <w:ind w:right="856"/>
              <w:spacing w:after="0"/>
              <w:rPr>
                <w:sz w:val="20"/>
                <w:szCs w:val="20"/>
                <w:color w:val="auto"/>
              </w:rPr>
            </w:pPr>
            <w:r>
              <w:rPr>
                <w:rFonts w:ascii="Arial" w:cs="Arial" w:eastAsia="Arial" w:hAnsi="Arial"/>
                <w:sz w:val="14"/>
                <w:szCs w:val="14"/>
                <w:b w:val="1"/>
                <w:bCs w:val="1"/>
                <w:color w:val="auto"/>
              </w:rPr>
              <w:t>October 31, 2017</w:t>
            </w: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128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Gross Carrying</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center"/>
              <w:ind w:right="96"/>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Amortization Period (In</w:t>
            </w:r>
          </w:p>
        </w:tc>
        <w:tc>
          <w:tcPr>
            <w:tcW w:w="0" w:type="dxa"/>
            <w:vAlign w:val="bottom"/>
          </w:tcPr>
          <w:p>
            <w:pPr>
              <w:spacing w:after="0"/>
              <w:rPr>
                <w:sz w:val="1"/>
                <w:szCs w:val="1"/>
                <w:color w:val="auto"/>
              </w:rPr>
            </w:pPr>
          </w:p>
        </w:tc>
      </w:tr>
      <w:tr>
        <w:trPr>
          <w:trHeight w:val="153"/>
        </w:trPr>
        <w:tc>
          <w:tcPr>
            <w:tcW w:w="33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Amortization</w:t>
            </w:r>
          </w:p>
        </w:tc>
        <w:tc>
          <w:tcPr>
            <w:tcW w:w="1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96"/>
              <w:spacing w:after="0" w:line="153" w:lineRule="exact"/>
              <w:rPr>
                <w:sz w:val="20"/>
                <w:szCs w:val="20"/>
                <w:color w:val="auto"/>
              </w:rPr>
            </w:pPr>
            <w:r>
              <w:rPr>
                <w:rFonts w:ascii="Arial" w:cs="Arial" w:eastAsia="Arial" w:hAnsi="Arial"/>
                <w:sz w:val="14"/>
                <w:szCs w:val="14"/>
                <w:b w:val="1"/>
                <w:bCs w:val="1"/>
                <w:color w:val="auto"/>
                <w:w w:val="98"/>
              </w:rPr>
              <w:t>Amortization</w:t>
            </w:r>
          </w:p>
        </w:tc>
        <w:tc>
          <w:tcPr>
            <w:tcW w:w="100" w:type="dxa"/>
            <w:vAlign w:val="bottom"/>
          </w:tcPr>
          <w:p>
            <w:pPr>
              <w:spacing w:after="0"/>
              <w:rPr>
                <w:sz w:val="13"/>
                <w:szCs w:val="13"/>
                <w:color w:val="auto"/>
              </w:rPr>
            </w:pPr>
          </w:p>
        </w:tc>
        <w:tc>
          <w:tcPr>
            <w:tcW w:w="19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58"/>
        </w:trPr>
        <w:tc>
          <w:tcPr>
            <w:tcW w:w="33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jc w:val="right"/>
              <w:ind w:right="415"/>
              <w:spacing w:after="0" w:line="158"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6"/>
              </w:rPr>
              <w:t>&amp; Translation</w:t>
            </w:r>
          </w:p>
        </w:tc>
        <w:tc>
          <w:tcPr>
            <w:tcW w:w="180" w:type="dxa"/>
            <w:vAlign w:val="bottom"/>
          </w:tcPr>
          <w:p>
            <w:pPr>
              <w:spacing w:after="0"/>
              <w:rPr>
                <w:sz w:val="13"/>
                <w:szCs w:val="13"/>
                <w:color w:val="auto"/>
              </w:rPr>
            </w:pPr>
          </w:p>
        </w:tc>
        <w:tc>
          <w:tcPr>
            <w:tcW w:w="1280" w:type="dxa"/>
            <w:vAlign w:val="bottom"/>
          </w:tcPr>
          <w:p>
            <w:pPr>
              <w:jc w:val="right"/>
              <w:ind w:right="395"/>
              <w:spacing w:after="0" w:line="158"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center"/>
              <w:ind w:right="116"/>
              <w:spacing w:after="0" w:line="158" w:lineRule="exact"/>
              <w:rPr>
                <w:sz w:val="20"/>
                <w:szCs w:val="20"/>
                <w:color w:val="auto"/>
              </w:rPr>
            </w:pPr>
            <w:r>
              <w:rPr>
                <w:rFonts w:ascii="Arial" w:cs="Arial" w:eastAsia="Arial" w:hAnsi="Arial"/>
                <w:sz w:val="14"/>
                <w:szCs w:val="14"/>
                <w:b w:val="1"/>
                <w:bCs w:val="1"/>
                <w:color w:val="auto"/>
                <w:w w:val="96"/>
              </w:rPr>
              <w:t>&amp; Translation</w:t>
            </w:r>
          </w:p>
        </w:tc>
        <w:tc>
          <w:tcPr>
            <w:tcW w:w="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8"/>
        </w:trPr>
        <w:tc>
          <w:tcPr>
            <w:tcW w:w="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5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140.5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44.5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10.3</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Composite intangible asset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1,061.9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407.9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173.2</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2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License and distribution rights and other</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44.5</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2,045.0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443.0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878.0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373.3</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Less: accumulated amortization and</w:t>
            </w:r>
          </w:p>
        </w:tc>
        <w:tc>
          <w:tcPr>
            <w:tcW w:w="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3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340" w:type="dxa"/>
            <w:vAlign w:val="bottom"/>
            <w:gridSpan w:val="3"/>
          </w:tcPr>
          <w:p>
            <w:pPr>
              <w:ind w:left="40"/>
              <w:spacing w:after="0"/>
              <w:rPr>
                <w:sz w:val="20"/>
                <w:szCs w:val="20"/>
                <w:color w:val="auto"/>
              </w:rPr>
            </w:pPr>
            <w:r>
              <w:rPr>
                <w:rFonts w:ascii="Arial" w:cs="Arial" w:eastAsia="Arial" w:hAnsi="Arial"/>
                <w:sz w:val="18"/>
                <w:szCs w:val="18"/>
                <w:color w:val="auto"/>
              </w:rPr>
              <w:t>translation</w:t>
            </w:r>
          </w:p>
        </w:tc>
        <w:tc>
          <w:tcPr>
            <w:tcW w:w="1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443.0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373.3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3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shd w:val="clear" w:color="auto" w:fill="CCEEFF"/>
              </w:rPr>
              <w:t>Other intangible assets,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1,602.0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504.7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ind w:right="435"/>
              <w:spacing w:after="0"/>
              <w:rPr>
                <w:sz w:val="20"/>
                <w:szCs w:val="20"/>
                <w:color w:val="auto"/>
              </w:rPr>
            </w:pPr>
            <w:r>
              <w:rPr>
                <w:rFonts w:ascii="Arial" w:cs="Arial" w:eastAsia="Arial" w:hAnsi="Arial"/>
                <w:sz w:val="18"/>
                <w:szCs w:val="18"/>
                <w:color w:val="auto"/>
              </w:rPr>
              <w:t>12</w:t>
            </w: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estimation of amortization expenses for fiscal 2018 to 2022 for our existing other intangible assets at April 30, 2018, are as follows: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Fiscal year</w:t>
            </w:r>
          </w:p>
        </w:tc>
        <w:tc>
          <w:tcPr>
            <w:tcW w:w="8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tcPr>
          <w:p>
            <w:pPr>
              <w:jc w:val="right"/>
              <w:ind w:right="673"/>
              <w:spacing w:after="0"/>
              <w:rPr>
                <w:sz w:val="20"/>
                <w:szCs w:val="20"/>
                <w:color w:val="auto"/>
              </w:rPr>
            </w:pPr>
            <w:r>
              <w:rPr>
                <w:rFonts w:ascii="Arial" w:cs="Arial" w:eastAsia="Arial" w:hAnsi="Arial"/>
                <w:sz w:val="14"/>
                <w:szCs w:val="14"/>
                <w:b w:val="1"/>
                <w:bCs w:val="1"/>
                <w:color w:val="auto"/>
              </w:rPr>
              <w:t>(In millions)</w:t>
            </w:r>
          </w:p>
        </w:tc>
      </w:tr>
      <w:tr>
        <w:trPr>
          <w:trHeight w:val="48"/>
        </w:trPr>
        <w:tc>
          <w:tcPr>
            <w:tcW w:w="40" w:type="dxa"/>
            <w:vAlign w:val="bottom"/>
            <w:tcBorders>
              <w:bottom w:val="single" w:sz="8" w:color="CCEEFF"/>
            </w:tcBorders>
          </w:tcPr>
          <w:p>
            <w:pPr>
              <w:spacing w:after="0"/>
              <w:rPr>
                <w:sz w:val="4"/>
                <w:szCs w:val="4"/>
                <w:color w:val="auto"/>
              </w:rPr>
            </w:pPr>
          </w:p>
        </w:tc>
        <w:tc>
          <w:tcPr>
            <w:tcW w:w="820" w:type="dxa"/>
            <w:vAlign w:val="bottom"/>
            <w:tcBorders>
              <w:bottom w:val="single" w:sz="8" w:color="CCEEFF"/>
            </w:tcBorders>
          </w:tcPr>
          <w:p>
            <w:pPr>
              <w:spacing w:after="0"/>
              <w:rPr>
                <w:sz w:val="4"/>
                <w:szCs w:val="4"/>
                <w:color w:val="auto"/>
              </w:rPr>
            </w:pPr>
          </w:p>
        </w:tc>
        <w:tc>
          <w:tcPr>
            <w:tcW w:w="828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44"/>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8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145.4</w:t>
            </w:r>
          </w:p>
        </w:tc>
      </w:tr>
      <w:tr>
        <w:trPr>
          <w:trHeight w:val="243"/>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82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143.3</w:t>
            </w: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8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82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133.0</w:t>
            </w:r>
          </w:p>
        </w:tc>
      </w:tr>
      <w:tr>
        <w:trPr>
          <w:trHeight w:val="243"/>
        </w:trPr>
        <w:tc>
          <w:tcPr>
            <w:tcW w:w="86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82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3"/>
              <w:spacing w:after="0"/>
              <w:rPr>
                <w:sz w:val="20"/>
                <w:szCs w:val="20"/>
                <w:color w:val="auto"/>
              </w:rPr>
            </w:pPr>
            <w:r>
              <w:rPr>
                <w:rFonts w:ascii="Arial" w:cs="Arial" w:eastAsia="Arial" w:hAnsi="Arial"/>
                <w:sz w:val="18"/>
                <w:szCs w:val="18"/>
                <w:color w:val="auto"/>
              </w:rPr>
              <w:t>131.6</w:t>
            </w:r>
          </w:p>
        </w:tc>
      </w:tr>
      <w:tr>
        <w:trPr>
          <w:trHeight w:val="27"/>
        </w:trPr>
        <w:tc>
          <w:tcPr>
            <w:tcW w:w="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8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82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129.5</w:t>
            </w:r>
          </w:p>
        </w:tc>
      </w:tr>
      <w:tr>
        <w:trPr>
          <w:trHeight w:val="27"/>
        </w:trPr>
        <w:tc>
          <w:tcPr>
            <w:tcW w:w="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8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second quarter of fiscal 2018, CooperSurgical recognized an impairment charge of $24.4 million on the intangible assets acquired from Recombine Inc. as the cash flows expected to be generated by this asset group over its estimated remaining life were not sufficient to recover its carrying value. CooperSurgical acquired Recombine Inc. in fiscal 2016, a clinical genetic testing company specializing in carrier screening. The intangible assets impaired consist of Technology, Trademark and Customer relationships.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Debt</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4"/>
                <w:szCs w:val="14"/>
                <w:color w:val="auto"/>
              </w:rPr>
            </w:pP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April 30, 2018</w:t>
            </w:r>
          </w:p>
        </w:tc>
        <w:tc>
          <w:tcPr>
            <w:tcW w:w="320" w:type="dxa"/>
            <w:vAlign w:val="bottom"/>
          </w:tcPr>
          <w:p>
            <w:pPr>
              <w:spacing w:after="0"/>
              <w:rPr>
                <w:sz w:val="14"/>
                <w:szCs w:val="14"/>
                <w:color w:val="auto"/>
              </w:rPr>
            </w:pPr>
          </w:p>
        </w:tc>
        <w:tc>
          <w:tcPr>
            <w:tcW w:w="1740" w:type="dxa"/>
            <w:vAlign w:val="bottom"/>
          </w:tcPr>
          <w:p>
            <w:pPr>
              <w:jc w:val="right"/>
              <w:ind w:right="413"/>
              <w:spacing w:after="0"/>
              <w:rPr>
                <w:sz w:val="20"/>
                <w:szCs w:val="20"/>
                <w:color w:val="auto"/>
              </w:rPr>
            </w:pPr>
            <w:r>
              <w:rPr>
                <w:rFonts w:ascii="Arial" w:cs="Arial" w:eastAsia="Arial" w:hAnsi="Arial"/>
                <w:sz w:val="14"/>
                <w:szCs w:val="14"/>
                <w:b w:val="1"/>
                <w:bCs w:val="1"/>
                <w:color w:val="auto"/>
              </w:rPr>
              <w:t>October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6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44"/>
        </w:trPr>
        <w:tc>
          <w:tcPr>
            <w:tcW w:w="7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Short-term:</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color w:val="auto"/>
              </w:rPr>
              <w:t>Overdraft and other credit facilities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23.4</w:t>
            </w: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65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740" w:type="dxa"/>
            <w:vAlign w:val="bottom"/>
            <w:tcBorders>
              <w:bottom w:val="single" w:sz="8" w:color="auto"/>
            </w:tcBorders>
          </w:tcPr>
          <w:p>
            <w:pPr>
              <w:spacing w:after="0"/>
              <w:rPr>
                <w:sz w:val="5"/>
                <w:szCs w:val="5"/>
                <w:color w:val="auto"/>
              </w:rPr>
            </w:pPr>
          </w:p>
        </w:tc>
      </w:tr>
      <w:tr>
        <w:trPr>
          <w:trHeight w:val="231"/>
        </w:trPr>
        <w:tc>
          <w:tcPr>
            <w:tcW w:w="732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Long term:</w:t>
            </w:r>
          </w:p>
        </w:tc>
        <w:tc>
          <w:tcPr>
            <w:tcW w:w="3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color w:val="auto"/>
              </w:rPr>
              <w:t>Credit agreement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323.0</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830.0</w:t>
            </w:r>
          </w:p>
        </w:tc>
      </w:tr>
      <w:tr>
        <w:trPr>
          <w:trHeight w:val="243"/>
        </w:trPr>
        <w:tc>
          <w:tcPr>
            <w:tcW w:w="732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ind w:right="13"/>
              <w:spacing w:after="0"/>
              <w:rPr>
                <w:sz w:val="20"/>
                <w:szCs w:val="20"/>
                <w:color w:val="auto"/>
              </w:rPr>
            </w:pPr>
            <w:r>
              <w:rPr>
                <w:rFonts w:ascii="Arial" w:cs="Arial" w:eastAsia="Arial" w:hAnsi="Arial"/>
                <w:sz w:val="18"/>
                <w:szCs w:val="18"/>
                <w:color w:val="auto"/>
              </w:rPr>
              <w:t>0.2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70"/>
        </w:trPr>
        <w:tc>
          <w:tcPr>
            <w:tcW w:w="7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w:t>
            </w:r>
          </w:p>
        </w:tc>
        <w:tc>
          <w:tcPr>
            <w:tcW w:w="32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2,442.4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1,149.3</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5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$1.425 billion Term Loan on November 1, 2017 (2017 Term Loan Agreement)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 2017, in connection with the PARAGARD acquisition, we entered into a new five-year, $1.425 billion, senior unsecured term loan agreement by and among the Company, the lenders party thereto and DNB Bank ASA, New York Branch, as administrative agent (2017 Term Loan Agreement) which matures on November 1, 2022. The Company used part of the facility to fund the PARAGARD acquisition and used the remainder of the funds to partially repay outstanding borrowings under our revolving credit agreement.</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outstanding under the 2017 Term Loan Agreement will bear interest, at our option, at either the base rate, or the adjusted LIBO rate (each as defined in the 2017 Term Loan Agreement), plus, in each case, an applicable rate of, between 0.00% and 0.75% in respect of base rate loans and between 1.00% and 1.75% in respect of adjusted LIBO rate loans, in each case in accordance with a pricing grid tied to the Total Leverage Ratio as defined in the 2017 Term Loan Agreement.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discussed below.</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and Term Loan Agreement on March 1, 2016 (2016 Credit Agreement)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 2016, we entered into a Revolving Credit and Term Loan Agreement (2016 Credit Agreement), among the Company, CooperVision International Holding Company, LP, the lenders party thereto and KeyBank National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Association, as administrative agent. The 2016 Credit Agreement provides for a multicurrency revolving credit facility in an aggregate principal amount of $1.0 billion and a term loan facility in an aggregate principal amount of $830.0 million, each of which, unless terminated earlier, mature on March 1, 2021. In addition, we have the ability from time to time to request an increase to the size of the revolving credit facility or establish one or more new term loans under the term loan facility in an aggregate amount up to $750.0 million, subject to the discretionary participation of the lenders.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Amounts outstanding under the 2016 Credit Agreement will bear interest, at our option, at either the base rate, or the adjusted LIBO rate or adjusted foreign currency rate (each as defined in the 2016 Credit Agreement), plus, in each case, an applicable rate of between 0.00% and 0.75% in respect of base rate loans and between 1.00% and 1.75% in respect of adjusted LIBO rate or adjusted foreign currency rate loans, in each case in accordance with a pricing grid tied to the Total Leverage Ratio, as defined in the 2016 Credit Agreement.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pay an annual commitment fee that ranges from 0.125% to 0.25% of the unused portion of the revolving credit facility depending on certain financial ratios. In addition to the annual commitment fee described above, we are also required to pay certain letter of credit and related fronting fees and other administrative fees pursuant to the terms of the 2016 Credit Agreement.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At April 30, 2018, we had $830.0 million outstanding under the Term Loan and $805.7 million available under the 2016 Revolving Credit Agreement.</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2016 Credit Agreement contains customary restrictive covenants, as well as financial covenants that require us to maintain a certain Total Leverage Ratio and Interest Coverage Ratio, each as defined in the 2016 Credit Agreement:</w:t>
      </w:r>
    </w:p>
    <w:p>
      <w:pPr>
        <w:spacing w:after="0" w:line="116" w:lineRule="exact"/>
        <w:rPr>
          <w:sz w:val="20"/>
          <w:szCs w:val="20"/>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Interest Coverage Ratio, as defined, to be at least 3.00 to 1.00 at all times.</w:t>
      </w:r>
    </w:p>
    <w:p>
      <w:pPr>
        <w:spacing w:after="0" w:line="171"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Leverage Ratio, as defined, to be no higher than 3.75 to 1.00.</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April 30, 2018, we were in compliance with the Interest Coverage Ratio at 15.68 to 1.00 and the Total Leverage Ratio at 2.67 to 1.00 for both the 2017 Term Loan Agreement and the 2016 Credit Agreement.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our Annual Report on Form 10-K for the fiscal year ended October 31, 2017 for more details.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6. Income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Tax Legislation</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Tax Cuts and Jobs Act (2017 Act) was enacted into law on December 22, 2017 and significantly changes existing U.S. tax law. The 2017 Act adopts a territorial tax system, imposes a mandatory one-time transition tax on earnings of foreign subsidiaries that were previously tax deferred, and reduces the U.S. federal statutory tax rate from 35% to 21%. The reduction in the U.S. federal statutory tax rate is effective on January 1, 2018 which requires the Company to use a blended tax rate for fiscal 2018. Our blended tax rate is 23.34% for fiscal 2018 and is calculated by applying a pro-rated percentage based on the number of days in our fiscal 2018 before and after the January 1, 2018 effective date. For fiscal 2019 and subsequent years, the Company will utilize the enacted U.S. federal statutory tax rate of 21%.</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2017 Act includes several provisions that are effective for our fiscal 2019: (i) tax on global intangible low-taxed income (GILTI) of foreign subsidiaries,</w:t>
      </w:r>
    </w:p>
    <w:p>
      <w:pPr>
        <w:spacing w:after="0" w:line="46" w:lineRule="exact"/>
        <w:rPr>
          <w:sz w:val="20"/>
          <w:szCs w:val="20"/>
          <w:color w:val="auto"/>
        </w:rPr>
      </w:pPr>
    </w:p>
    <w:p>
      <w:pPr>
        <w:ind w:firstLine="8"/>
        <w:spacing w:after="0" w:line="290" w:lineRule="auto"/>
        <w:tabs>
          <w:tab w:leader="none" w:pos="27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tax on certain payments between a U.S. Corporation and its foreign subsidiaries referred to as the base erosion and anti-abuse tax (BEAT), (iii) limitation on the tax deduction for interest payments, and (iv) expanded limitation on the tax deduction for compensation paid to certain executives.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2017 Act is effective in the first quarter of fiscal 2018. As of April 30, 2018, we have not completed our accounting for the tax effects of the enactment of the 2017 Act. Consistent with SEC guidance, we recorded a provisional tax expense in our financial statements for the first quarter ending January 31, 2018, based on reasonable estimates of the tax effects of the 2017 Act. The provisional tax expense is subject to revisions as we gather and prepare additional information to complete our analysis of the 2017 Act, and interpret additional guidance issued by the FASB, Internal</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Service and U.S. Treasury Department. The provisional tax expense will be finalized during the measurement period, which should not extend beyond one year from the enactment date, and could be materially different than our provisional tax expense. The provisional tax expense is described in more detail below.</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the Company recorded a $177.9 million provisional tax expense for the mandatory deemed repatriation of deferred foreign earnings and plans to pay the applicable amounts over eight years. The 2017 Act requires us to incur a one-time transition tax on deferred foreign income not previously subject to U.S. income tax at a rate of 15.5% for foreign cash and certain other net current assets, and 8% on the remaining deferred foreign income. We have not completed our analysis of the transition tax because we are still gathering information and analyzing the earnings and profits, and foreign tax credits which are critical inputs to the calculation. Estimates have been used for fiscal 2017 and part of fiscal 2018 because tax returns have not been filed for those years.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first quarter, the Company recorded a provisional tax expense of $13.2 million to record changes to the deferred taxes resulting from the U.S. federal rate decreasing from 35% to 21%. The amount is calculated using the applicable tax rates in the years in which the deferred tax assets and liabilities are expected to reverse. The Company is still analyzing certain aspects of the 2017 Act and refining the calculations, which could affect the measurement of the deferred taxes or give rise to new deferred tax amounts. The re-measurement of deferred taxes included in our financial statements will be subject to further revisions if our current estimates vary from our actual future operating results.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Due to the changes in the 2017 Act, we are reviewing our prior assertion that earnings from our foreign subsidiaries are indefinitely reinvested. For purposes of recording the provisional tax expense in fiscal 2018, we are no longer asserting that earnings from our foreign subsidiaries are indefinitely reinvested. Accordingly, in the first quarter we recorded provisional estimates relating to additional state income taxes of $8.1 million and withholding taxes of $2.8 million relating to the unremitted foreign earnings. We have not completed our analysis because we are still gathering additional information to quantify the impact to the individual states and to quantify the withholding taxes that would be owed when future dividends are paid to the U.S. As the Company completes its analysis appropriate changes will be made to the financial statements within the measurement period.</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Act imposes a new tax on foreign earnings and profits in excess of a deemed return on tangible assets of foreign subsidiaries referred to as GILTI. The 2017 Act also imposes a new tax on certain payments between a U.S. Corporation and its foreign subsidiaries referred to as BEAT. These new provisions are effective for fiscal 2019. Due to the complexity of the new GILTI and BEAT tax rules, we are continuing to evaluate these new provisions and the application of GAAP. With respect to GILTI, the Company has not progressed sufficiently in its analysis and has not made an accounting policy election to treat taxes due on the GILTI inclusion as a current period expense or factor such amounts into the measurement of our deferred taxes. The Company will continue its evaluation and make a policy election within the measurement period.</w:t>
      </w:r>
    </w:p>
    <w:p>
      <w:pPr>
        <w:spacing w:after="0" w:line="12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2017 Act limits the future deductions relating to interest expense and certain executive compensation. These provisions are generally effective for the Company in fiscal 2019. Pursuant to transition rules provided in the 2017 Act relating to the deduction for executive compensation, companies will be allowed tax deductions for performance based plans in existence on or before November 2, 2017 and not materially modified after that date. Based on our current interpretation of the transition rules, we believe the Company will be able to deduct the executive compensation relating to those plans. Therefore, we have not recorded any provisional tax expense this quarter or prior quarters. As additional guidance, to clarify the transition rules, is provided by the tax authorities we will make appropriate changes within the measurement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Tax Rate</w:t>
      </w:r>
    </w:p>
    <w:p>
      <w:pPr>
        <w:spacing w:after="0" w:line="21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effective tax rates were a benefit of 12.9% and expense of 4.2% for the second quarters of fiscal 2018 and 2017, respectively, and an expense of 147.8% and 4.7% for the first six months of fiscal 2018 and 2017, respectively. The decrease in our effective tax rate for the second quarter of fiscal 2018 compared to the second quarter of fiscal 2017 was due primarily to a reduction in U.S. income related to acquisition and integration activities in CooperSurgical. The increase in our effective tax rate for the first six months of fiscal 2018 compared to the first six months of fiscal 2017 was primarily due to the charge of $202.0 million related to the 2017 Act. Our effective tax rate for the first six</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months of fiscal 2018 was higher than the U.S. Statutory rate because of the discrete tax expense relating to the 2017 Act, which was partially offset by a favorable mix of income from our foreign jurisdictions with lower tax rates and an excess tax benefit from share-based compensation. Our effective tax rate for the first six months of fiscal 2017 was lower than the U.S. Statutory rate primarily because of a favorable mix of income from our foreign jurisdictions with lower tax rates and an excess tax benefit from share-based compensation.</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recognize the benefit from a tax position only if it is more likely than not that the position would be sustained upon audit based solely on the technical merits of the tax position. As of April 30, 2018 and October 31, 2017, Cooper had unrecognized tax benefits of $63.6 million and $59.9 million respectively. The increase is primarily related to current period transfer pricing. It is our policy to recognize interest and penalties directly related to income taxes as additional income tax expense. It is reasonably possible that $6.1 million of unrecognized tax benefits could be settled during the next twelve months.</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subject to United States Federal income tax examinations for fiscal 2015 through 2017 and the Internal Revenue Service has notified the Company that it will audit our U.S. Consolidated Corporation Income Tax Returns for fiscal 2015 and 2016. Cooper remains subject to income tax examinations in other significant tax jurisdictions including the United Kingdom, Japan, France and Australia for the tax years 2013 through 2017.</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Diverted Profits Tax (DPT)</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United Kingdom tax authorities (U.K. Tax Authorities) enacted a Diverted Profits Tax (DPT) as of April 1, 2015 on profits of multinationals that they deemed artificially diverted from the United Kingdom. The tax rate is 25%. DPT is intended to apply in two situations; (a) where a foreign company has artificially avoided having a taxable presence in the United Kingdom and (b) where a group adopts a structure which lacks economic substance in order to divert profits from the United Kingdom.</w:t>
      </w:r>
    </w:p>
    <w:p>
      <w:pPr>
        <w:spacing w:after="0" w:line="13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fiscal 2017, the U.K. Tax Authorities began an inquiry regarding the application of the DPT in fiscal 2015. We believe that the transactions in question were at arm’s length with no intention to divert profit from the United Kingdom and therefore are outside the intended reach of the DPT.</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20, 2017, the U.K. Tax Authorities issued a DPT charging notice of approximately GBP 31.0 million with respect to the transfer out of the United Kingdom of certain intellectual property rights in connection with the 2014 acquisition of Sauflon Pharmaceutical Ltd. Although taxes were paid on the transfer, the U.K. Tax Authorities are challenging the value assigned to such property. We intend to contest the charging notice vigorously. The process for resolving such a notice can be lengthy and could involve litigation. The DPT legislation provides a one year review period, however, it requires prepayment of the charging notice to be made within 30 days of its issuance. As required, the payment of GBP 31.0 million was made on January 19, 2018. The company continues to cooperate with the U.K. Tax Authorities to resolve this issue. The outcome of this matter cannot be predicted with certainty and may have an adverse impact on our financial condition and results.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7. Earnings (Loss) Per Share</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gridSpan w:val="5"/>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4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Three Months</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Six Months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240" w:type="dxa"/>
            <w:vAlign w:val="bottom"/>
            <w:gridSpan w:val="5"/>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420" w:type="dxa"/>
            <w:vAlign w:val="bottom"/>
          </w:tcPr>
          <w:p>
            <w:pPr>
              <w:spacing w:after="0"/>
              <w:rPr>
                <w:sz w:val="19"/>
                <w:szCs w:val="19"/>
                <w:color w:val="auto"/>
              </w:rPr>
            </w:pPr>
          </w:p>
        </w:tc>
        <w:tc>
          <w:tcPr>
            <w:tcW w:w="1320" w:type="dxa"/>
            <w:vAlign w:val="bottom"/>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6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0" w:type="dxa"/>
            <w:vAlign w:val="bottom"/>
          </w:tcPr>
          <w:p>
            <w:pPr>
              <w:jc w:val="right"/>
              <w:ind w:right="6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CCEEFF"/>
            </w:tcBorders>
          </w:tcPr>
          <w:p>
            <w:pPr>
              <w:spacing w:after="0" w:line="20" w:lineRule="exact"/>
              <w:rPr>
                <w:sz w:val="1"/>
                <w:szCs w:val="1"/>
                <w:color w:val="auto"/>
              </w:rPr>
            </w:pPr>
          </w:p>
        </w:tc>
        <w:tc>
          <w:tcPr>
            <w:tcW w:w="182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w w:val="98"/>
              </w:rPr>
              <w:t>Net income (loss) attributable to Cooper stockholders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60.9</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180.7</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5"/>
            <w:vMerge w:val="restart"/>
          </w:tcPr>
          <w:p>
            <w:pPr>
              <w:ind w:left="40"/>
              <w:spacing w:after="0" w:line="196" w:lineRule="exact"/>
              <w:rPr>
                <w:sz w:val="20"/>
                <w:szCs w:val="20"/>
                <w:color w:val="auto"/>
              </w:rPr>
            </w:pPr>
            <w:r>
              <w:rPr>
                <w:rFonts w:ascii="Arial" w:cs="Arial" w:eastAsia="Arial" w:hAnsi="Arial"/>
                <w:sz w:val="18"/>
                <w:szCs w:val="18"/>
                <w:color w:val="auto"/>
              </w:rPr>
              <w:t>Basic:</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40" w:type="dxa"/>
            <w:vAlign w:val="bottom"/>
            <w:gridSpan w:val="5"/>
            <w:vMerge w:val="continue"/>
          </w:tcPr>
          <w:p>
            <w:pPr>
              <w:spacing w:after="0"/>
              <w:rPr>
                <w:sz w:val="13"/>
                <w:szCs w:val="13"/>
                <w:color w:val="auto"/>
              </w:rPr>
            </w:pPr>
          </w:p>
        </w:tc>
        <w:tc>
          <w:tcPr>
            <w:tcW w:w="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5"/>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5"/>
            <w:vMerge w:val="restart"/>
          </w:tcPr>
          <w:p>
            <w:pPr>
              <w:ind w:left="40"/>
              <w:spacing w:after="0"/>
              <w:rPr>
                <w:sz w:val="20"/>
                <w:szCs w:val="20"/>
                <w:color w:val="auto"/>
              </w:rPr>
            </w:pPr>
            <w:r>
              <w:rPr>
                <w:rFonts w:ascii="Arial" w:cs="Arial" w:eastAsia="Arial" w:hAnsi="Arial"/>
                <w:sz w:val="18"/>
                <w:szCs w:val="18"/>
                <w:color w:val="auto"/>
                <w:w w:val="95"/>
              </w:rPr>
              <w:t>Basic earnings (loss) per common share attributable to</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40" w:type="dxa"/>
            <w:vAlign w:val="bottom"/>
            <w:gridSpan w:val="5"/>
            <w:vMerge w:val="continue"/>
          </w:tcPr>
          <w:p>
            <w:pPr>
              <w:spacing w:after="0"/>
              <w:rPr>
                <w:sz w:val="15"/>
                <w:szCs w:val="15"/>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vMerge w:val="restart"/>
          </w:tcPr>
          <w:p>
            <w:pPr>
              <w:jc w:val="right"/>
              <w:ind w:right="34"/>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5"/>
                <w:szCs w:val="15"/>
                <w:color w:val="auto"/>
              </w:rPr>
            </w:pPr>
          </w:p>
        </w:tc>
        <w:tc>
          <w:tcPr>
            <w:tcW w:w="540" w:type="dxa"/>
            <w:vAlign w:val="bottom"/>
            <w:vMerge w:val="restart"/>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ind w:right="1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5"/>
                <w:szCs w:val="15"/>
                <w:color w:val="auto"/>
              </w:rPr>
            </w:pP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5"/>
                <w:szCs w:val="15"/>
                <w:color w:val="auto"/>
              </w:rPr>
            </w:pPr>
          </w:p>
        </w:tc>
        <w:tc>
          <w:tcPr>
            <w:tcW w:w="500" w:type="dxa"/>
            <w:vAlign w:val="bottom"/>
            <w:vMerge w:val="restart"/>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tcPr>
          <w:p>
            <w:pPr>
              <w:jc w:val="right"/>
              <w:ind w:right="12"/>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7"/>
        </w:trPr>
        <w:tc>
          <w:tcPr>
            <w:tcW w:w="424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Cooper stockholders</w:t>
            </w:r>
          </w:p>
        </w:tc>
        <w:tc>
          <w:tcPr>
            <w:tcW w:w="420" w:type="dxa"/>
            <w:vAlign w:val="bottom"/>
            <w:tcBorders>
              <w:bottom w:val="single" w:sz="8" w:color="auto"/>
            </w:tcBorders>
            <w:vMerge w:val="continue"/>
          </w:tcPr>
          <w:p>
            <w:pPr>
              <w:spacing w:after="0"/>
              <w:rPr>
                <w:sz w:val="24"/>
                <w:szCs w:val="24"/>
                <w:color w:val="auto"/>
              </w:rPr>
            </w:pPr>
          </w:p>
        </w:tc>
        <w:tc>
          <w:tcPr>
            <w:tcW w:w="13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vMerge w:val="continue"/>
          </w:tcPr>
          <w:p>
            <w:pPr>
              <w:spacing w:after="0"/>
              <w:rPr>
                <w:sz w:val="24"/>
                <w:szCs w:val="24"/>
                <w:color w:val="auto"/>
              </w:rPr>
            </w:pPr>
          </w:p>
        </w:tc>
        <w:tc>
          <w:tcPr>
            <w:tcW w:w="1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vMerge w:val="continue"/>
          </w:tcPr>
          <w:p>
            <w:pPr>
              <w:spacing w:after="0"/>
              <w:rPr>
                <w:sz w:val="24"/>
                <w:szCs w:val="24"/>
                <w:color w:val="auto"/>
              </w:rPr>
            </w:pPr>
          </w:p>
        </w:tc>
        <w:tc>
          <w:tcPr>
            <w:tcW w:w="12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40" w:type="dxa"/>
            <w:vAlign w:val="bottom"/>
            <w:gridSpan w:val="5"/>
            <w:shd w:val="clear" w:color="auto" w:fill="CCEEFF"/>
          </w:tcPr>
          <w:p>
            <w:pPr>
              <w:ind w:left="40"/>
              <w:spacing w:after="0" w:line="163" w:lineRule="exact"/>
              <w:rPr>
                <w:sz w:val="20"/>
                <w:szCs w:val="20"/>
                <w:color w:val="auto"/>
              </w:rPr>
            </w:pPr>
            <w:r>
              <w:rPr>
                <w:rFonts w:ascii="Arial" w:cs="Arial" w:eastAsia="Arial" w:hAnsi="Arial"/>
                <w:sz w:val="18"/>
                <w:szCs w:val="18"/>
                <w:color w:val="auto"/>
              </w:rPr>
              <w:t>Diluted:</w:t>
            </w:r>
          </w:p>
        </w:tc>
        <w:tc>
          <w:tcPr>
            <w:tcW w:w="4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auto"/>
            </w:tcBorders>
            <w:shd w:val="clear" w:color="auto" w:fill="CCEEFF"/>
          </w:tcPr>
          <w:p>
            <w:pPr>
              <w:spacing w:after="0"/>
              <w:rPr>
                <w:sz w:val="6"/>
                <w:szCs w:val="6"/>
                <w:color w:val="auto"/>
              </w:rPr>
            </w:pPr>
          </w:p>
        </w:tc>
        <w:tc>
          <w:tcPr>
            <w:tcW w:w="140" w:type="dxa"/>
            <w:vAlign w:val="bottom"/>
            <w:tcBorders>
              <w:top w:val="single" w:sz="8" w:color="auto"/>
            </w:tcBorders>
            <w:shd w:val="clear" w:color="auto" w:fill="CCEEFF"/>
          </w:tcPr>
          <w:p>
            <w:pPr>
              <w:spacing w:after="0"/>
              <w:rPr>
                <w:sz w:val="6"/>
                <w:szCs w:val="6"/>
                <w:color w:val="auto"/>
              </w:rPr>
            </w:pPr>
          </w:p>
        </w:tc>
        <w:tc>
          <w:tcPr>
            <w:tcW w:w="1820" w:type="dxa"/>
            <w:vAlign w:val="bottom"/>
            <w:tcBorders>
              <w:top w:val="single" w:sz="8" w:color="CCEEFF"/>
            </w:tcBorders>
            <w:shd w:val="clear" w:color="auto" w:fill="CCEEFF"/>
          </w:tcPr>
          <w:p>
            <w:pPr>
              <w:spacing w:after="0"/>
              <w:rPr>
                <w:sz w:val="6"/>
                <w:szCs w:val="6"/>
                <w:color w:val="auto"/>
              </w:rPr>
            </w:pPr>
          </w:p>
        </w:tc>
        <w:tc>
          <w:tcPr>
            <w:tcW w:w="18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32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54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500" w:type="dxa"/>
            <w:vAlign w:val="bottom"/>
            <w:tcBorders>
              <w:top w:val="single" w:sz="8" w:color="CCEEFF"/>
            </w:tcBorders>
            <w:shd w:val="clear" w:color="auto" w:fill="CCEEFF"/>
          </w:tcPr>
          <w:p>
            <w:pPr>
              <w:spacing w:after="0"/>
              <w:rPr>
                <w:sz w:val="6"/>
                <w:szCs w:val="6"/>
                <w:color w:val="auto"/>
              </w:rPr>
            </w:pPr>
          </w:p>
        </w:tc>
        <w:tc>
          <w:tcPr>
            <w:tcW w:w="1200" w:type="dxa"/>
            <w:vAlign w:val="bottom"/>
            <w:tcBorders>
              <w:top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Weighted average common shares</w:t>
            </w:r>
          </w:p>
        </w:tc>
        <w:tc>
          <w:tcPr>
            <w:tcW w:w="42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Effect of potential dilutive common shares</w:t>
            </w:r>
          </w:p>
        </w:tc>
        <w:tc>
          <w:tcPr>
            <w:tcW w:w="4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240" w:type="dxa"/>
            <w:vAlign w:val="bottom"/>
            <w:gridSpan w:val="5"/>
          </w:tcPr>
          <w:p>
            <w:pPr>
              <w:ind w:left="40"/>
              <w:spacing w:after="0"/>
              <w:rPr>
                <w:sz w:val="20"/>
                <w:szCs w:val="20"/>
                <w:color w:val="auto"/>
              </w:rPr>
            </w:pPr>
            <w:r>
              <w:rPr>
                <w:rFonts w:ascii="Arial" w:cs="Arial" w:eastAsia="Arial" w:hAnsi="Arial"/>
                <w:sz w:val="18"/>
                <w:szCs w:val="18"/>
                <w:color w:val="auto"/>
              </w:rPr>
              <w:t>Diluted weighted average common shares*</w:t>
            </w:r>
          </w:p>
        </w:tc>
        <w:tc>
          <w:tcPr>
            <w:tcW w:w="4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820" w:type="dxa"/>
            <w:vAlign w:val="bottom"/>
            <w:tcBorders>
              <w:bottom w:val="single" w:sz="8" w:color="CCEEFF"/>
            </w:tcBorders>
          </w:tcPr>
          <w:p>
            <w:pPr>
              <w:spacing w:after="0"/>
              <w:rPr>
                <w:sz w:val="5"/>
                <w:szCs w:val="5"/>
                <w:color w:val="auto"/>
              </w:rPr>
            </w:pPr>
          </w:p>
        </w:tc>
        <w:tc>
          <w:tcPr>
            <w:tcW w:w="18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4240" w:type="dxa"/>
            <w:vAlign w:val="bottom"/>
            <w:gridSpan w:val="5"/>
            <w:shd w:val="clear" w:color="auto" w:fill="CCEEFF"/>
          </w:tcPr>
          <w:p>
            <w:pPr>
              <w:ind w:left="40"/>
              <w:spacing w:after="0" w:line="182" w:lineRule="exact"/>
              <w:rPr>
                <w:sz w:val="20"/>
                <w:szCs w:val="20"/>
                <w:color w:val="auto"/>
              </w:rPr>
            </w:pPr>
            <w:r>
              <w:rPr>
                <w:rFonts w:ascii="Arial" w:cs="Arial" w:eastAsia="Arial" w:hAnsi="Arial"/>
                <w:sz w:val="18"/>
                <w:szCs w:val="18"/>
                <w:color w:val="auto"/>
                <w:w w:val="93"/>
              </w:rPr>
              <w:t>Diluted earnings (loss) per common share attributable to</w:t>
            </w: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5"/>
                <w:szCs w:val="15"/>
                <w:color w:val="auto"/>
              </w:rPr>
            </w:pPr>
          </w:p>
        </w:tc>
        <w:tc>
          <w:tcPr>
            <w:tcW w:w="42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0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Cooper stockholders</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3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 w:right="420"/>
        <w:spacing w:after="0" w:line="261" w:lineRule="auto"/>
        <w:rPr>
          <w:sz w:val="20"/>
          <w:szCs w:val="20"/>
          <w:color w:val="auto"/>
        </w:rPr>
      </w:pPr>
      <w:r>
        <w:rPr>
          <w:rFonts w:ascii="Arial" w:cs="Arial" w:eastAsia="Arial" w:hAnsi="Arial"/>
          <w:sz w:val="18"/>
          <w:szCs w:val="18"/>
          <w:i w:val="1"/>
          <w:iCs w:val="1"/>
          <w:color w:val="auto"/>
        </w:rPr>
        <w:t>*The number of diluted weighted average common shares used to calculate fiscal 2018 six months diluted loss per share excludes all potentially dilutive instruments because they would be antidilutive due to the net loss position.</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stock options to purchase Cooper’s common stock and restricted stock units that were not included in the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calculation because their effect would have been antidilutive for the periods presented: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4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Three Months</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Borders>
              <w:bottom w:val="single" w:sz="8" w:color="auto"/>
            </w:tcBorders>
            <w:gridSpan w:val="3"/>
          </w:tcPr>
          <w:p>
            <w:pPr>
              <w:ind w:left="1480"/>
              <w:spacing w:after="0"/>
              <w:rPr>
                <w:sz w:val="20"/>
                <w:szCs w:val="20"/>
                <w:color w:val="auto"/>
              </w:rPr>
            </w:pPr>
            <w:r>
              <w:rPr>
                <w:rFonts w:ascii="Arial" w:cs="Arial" w:eastAsia="Arial" w:hAnsi="Arial"/>
                <w:sz w:val="14"/>
                <w:szCs w:val="14"/>
                <w:b w:val="1"/>
                <w:bCs w:val="1"/>
                <w:color w:val="auto"/>
                <w:w w:val="96"/>
              </w:rPr>
              <w:t>Six Months</w:t>
            </w:r>
          </w:p>
        </w:tc>
        <w:tc>
          <w:tcPr>
            <w:tcW w:w="14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900" w:type="dxa"/>
            <w:vAlign w:val="bottom"/>
            <w:gridSpan w:val="3"/>
          </w:tcPr>
          <w:p>
            <w:pPr>
              <w:ind w:left="40"/>
              <w:spacing w:after="0"/>
              <w:rPr>
                <w:sz w:val="20"/>
                <w:szCs w:val="20"/>
                <w:color w:val="auto"/>
              </w:rPr>
            </w:pPr>
            <w:r>
              <w:rPr>
                <w:rFonts w:ascii="Arial" w:cs="Arial" w:eastAsia="Arial" w:hAnsi="Arial"/>
                <w:sz w:val="14"/>
                <w:szCs w:val="14"/>
                <w:b w:val="1"/>
                <w:bCs w:val="1"/>
                <w:color w:val="auto"/>
              </w:rPr>
              <w:t>(In thousands, except exercise prices)</w:t>
            </w:r>
          </w:p>
        </w:tc>
        <w:tc>
          <w:tcPr>
            <w:tcW w:w="420" w:type="dxa"/>
            <w:vAlign w:val="bottom"/>
          </w:tcPr>
          <w:p>
            <w:pPr>
              <w:spacing w:after="0"/>
              <w:rPr>
                <w:sz w:val="19"/>
                <w:szCs w:val="19"/>
                <w:color w:val="auto"/>
              </w:rPr>
            </w:pPr>
          </w:p>
        </w:tc>
        <w:tc>
          <w:tcPr>
            <w:tcW w:w="1260" w:type="dxa"/>
            <w:vAlign w:val="bottom"/>
          </w:tcPr>
          <w:p>
            <w:pPr>
              <w:jc w:val="right"/>
              <w:ind w:right="577"/>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80" w:type="dxa"/>
            <w:vAlign w:val="bottom"/>
          </w:tcPr>
          <w:p>
            <w:pPr>
              <w:jc w:val="right"/>
              <w:ind w:right="7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700" w:type="dxa"/>
            <w:vAlign w:val="bottom"/>
          </w:tcPr>
          <w:p>
            <w:pPr>
              <w:jc w:val="right"/>
              <w:ind w:right="61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6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80" w:type="dxa"/>
            <w:vAlign w:val="bottom"/>
            <w:tcBorders>
              <w:top w:val="single" w:sz="8" w:color="auto"/>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Number of stock option shares excluded</w:t>
            </w:r>
          </w:p>
        </w:tc>
        <w:tc>
          <w:tcPr>
            <w:tcW w:w="4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1,145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3"/>
            <w:vMerge w:val="restart"/>
          </w:tcPr>
          <w:p>
            <w:pPr>
              <w:ind w:left="40"/>
              <w:spacing w:after="0"/>
              <w:rPr>
                <w:sz w:val="20"/>
                <w:szCs w:val="20"/>
                <w:color w:val="auto"/>
              </w:rPr>
            </w:pPr>
            <w:r>
              <w:rPr>
                <w:rFonts w:ascii="Arial" w:cs="Arial" w:eastAsia="Arial" w:hAnsi="Arial"/>
                <w:sz w:val="18"/>
                <w:szCs w:val="18"/>
                <w:color w:val="auto"/>
              </w:rPr>
              <w:t>Range of exercise prices</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00" w:type="dxa"/>
            <w:vAlign w:val="bottom"/>
            <w:gridSpan w:val="3"/>
            <w:vMerge w:val="continue"/>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229.66</w:t>
            </w:r>
          </w:p>
        </w:tc>
        <w:tc>
          <w:tcPr>
            <w:tcW w:w="84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175.31</w:t>
            </w:r>
          </w:p>
        </w:tc>
        <w:tc>
          <w:tcPr>
            <w:tcW w:w="100" w:type="dxa"/>
            <w:vAlign w:val="bottom"/>
          </w:tcPr>
          <w:p>
            <w:pPr>
              <w:spacing w:after="0"/>
              <w:rPr>
                <w:sz w:val="19"/>
                <w:szCs w:val="19"/>
                <w:color w:val="auto"/>
              </w:rPr>
            </w:pPr>
          </w:p>
        </w:tc>
        <w:tc>
          <w:tcPr>
            <w:tcW w:w="1700" w:type="dxa"/>
            <w:vAlign w:val="bottom"/>
          </w:tcPr>
          <w:p>
            <w:pPr>
              <w:jc w:val="right"/>
              <w:ind w:right="17"/>
              <w:spacing w:after="0"/>
              <w:rPr>
                <w:sz w:val="20"/>
                <w:szCs w:val="20"/>
                <w:color w:val="auto"/>
              </w:rPr>
            </w:pPr>
            <w:r>
              <w:rPr>
                <w:rFonts w:ascii="Arial" w:cs="Arial" w:eastAsia="Arial" w:hAnsi="Arial"/>
                <w:sz w:val="18"/>
                <w:szCs w:val="18"/>
                <w:color w:val="auto"/>
              </w:rPr>
              <w:t>$15.83-$229.66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w w:val="94"/>
              </w:rPr>
              <w:t>$162.28-$175.31</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228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Numbers of restricted stock units excluded</w:t>
            </w:r>
          </w:p>
        </w:tc>
        <w:tc>
          <w:tcPr>
            <w:tcW w:w="4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40" w:type="dxa"/>
            <w:vAlign w:val="bottom"/>
            <w:gridSpan w:val="3"/>
          </w:tcPr>
          <w:p>
            <w:pPr>
              <w:jc w:val="right"/>
              <w:ind w:right="620"/>
              <w:spacing w:after="0"/>
              <w:rPr>
                <w:sz w:val="20"/>
                <w:szCs w:val="20"/>
                <w:color w:val="auto"/>
              </w:rPr>
            </w:pPr>
            <w:r>
              <w:rPr>
                <w:rFonts w:ascii="Arial" w:cs="Arial" w:eastAsia="Arial" w:hAnsi="Arial"/>
                <w:sz w:val="18"/>
                <w:szCs w:val="18"/>
                <w:color w:val="auto"/>
                <w:w w:val="99"/>
              </w:rPr>
              <w:t>17</w:t>
            </w: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8. Share-Based Compensation Plans</w:t>
      </w:r>
    </w:p>
    <w:p>
      <w:pPr>
        <w:spacing w:after="0" w:line="171" w:lineRule="exact"/>
        <w:rPr>
          <w:sz w:val="20"/>
          <w:szCs w:val="20"/>
          <w:color w:val="auto"/>
        </w:rPr>
      </w:pPr>
    </w:p>
    <w:p>
      <w:pPr>
        <w:jc w:val="both"/>
        <w:spacing w:after="0" w:line="221" w:lineRule="exact"/>
        <w:rPr>
          <w:sz w:val="20"/>
          <w:szCs w:val="20"/>
          <w:color w:val="auto"/>
        </w:rPr>
      </w:pPr>
      <w:r>
        <w:rPr>
          <w:rFonts w:ascii="Arial" w:cs="Arial" w:eastAsia="Arial" w:hAnsi="Arial"/>
          <w:sz w:val="18"/>
          <w:szCs w:val="18"/>
          <w:color w:val="auto"/>
        </w:rPr>
        <w:t>Cooper has several share-based compensation plans that are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October 31, 2017. The compensation expense and related income tax benefit recognized in our consolidated condensed financial statements for share-based awards were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gridSpan w:val="4"/>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280" w:type="dxa"/>
            <w:vAlign w:val="bottom"/>
          </w:tcPr>
          <w:p>
            <w:pPr>
              <w:spacing w:after="0"/>
              <w:rPr>
                <w:sz w:val="16"/>
                <w:szCs w:val="16"/>
                <w:color w:val="auto"/>
              </w:rPr>
            </w:pPr>
          </w:p>
        </w:tc>
        <w:tc>
          <w:tcPr>
            <w:tcW w:w="22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5"/>
              </w:rPr>
              <w:t>Three Months</w:t>
            </w:r>
          </w:p>
        </w:tc>
        <w:tc>
          <w:tcPr>
            <w:tcW w:w="2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Total share-based compensation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1300" w:type="dxa"/>
            <w:vAlign w:val="bottom"/>
            <w:tcBorders>
              <w:bottom w:val="single" w:sz="8" w:color="CCEEFF"/>
            </w:tcBorders>
          </w:tcPr>
          <w:p>
            <w:pPr>
              <w:spacing w:after="0"/>
              <w:rPr>
                <w:sz w:val="5"/>
                <w:szCs w:val="5"/>
                <w:color w:val="auto"/>
              </w:rPr>
            </w:pPr>
          </w:p>
        </w:tc>
        <w:tc>
          <w:tcPr>
            <w:tcW w:w="44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8"/>
                <w:szCs w:val="18"/>
                <w:color w:val="auto"/>
              </w:rPr>
              <w:t>Note 9. Stockholders’ Equity</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652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100" w:type="dxa"/>
            <w:vAlign w:val="bottom"/>
            <w:gridSpan w:val="3"/>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520" w:type="dxa"/>
            <w:vAlign w:val="bottom"/>
            <w:gridSpan w:val="4"/>
          </w:tcPr>
          <w:p>
            <w:pPr>
              <w:spacing w:after="0"/>
              <w:rPr>
                <w:sz w:val="20"/>
                <w:szCs w:val="20"/>
                <w:color w:val="auto"/>
              </w:rPr>
            </w:pPr>
            <w:r>
              <w:rPr>
                <w:rFonts w:ascii="Arial" w:cs="Arial" w:eastAsia="Arial" w:hAnsi="Arial"/>
                <w:sz w:val="18"/>
                <w:szCs w:val="18"/>
                <w:b w:val="1"/>
                <w:bCs w:val="1"/>
                <w:color w:val="auto"/>
              </w:rPr>
              <w:t>Analysis of Changes in Accumulated Other Comprehensive (Loss) Income:</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5"/>
              </w:rPr>
              <w:t>Foreign Currency</w:t>
            </w:r>
          </w:p>
        </w:tc>
        <w:tc>
          <w:tcPr>
            <w:tcW w:w="200" w:type="dxa"/>
            <w:vAlign w:val="bottom"/>
          </w:tcPr>
          <w:p>
            <w:pPr>
              <w:spacing w:after="0"/>
              <w:rPr>
                <w:sz w:val="24"/>
                <w:szCs w:val="2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Minimum</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652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6520" w:type="dxa"/>
            <w:vAlign w:val="bottom"/>
            <w:gridSpan w:val="4"/>
            <w:vMerge w:val="continue"/>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Adjustment</w:t>
            </w:r>
          </w:p>
        </w:tc>
        <w:tc>
          <w:tcPr>
            <w:tcW w:w="124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Pension Liability</w:t>
            </w: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Balance at October 31, 2016</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change in value during the year ended October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Tax effect for the period</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Balance at October 31,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r>
        <w:trPr>
          <w:trHeight w:val="243"/>
        </w:trPr>
        <w:tc>
          <w:tcPr>
            <w:tcW w:w="6520" w:type="dxa"/>
            <w:vAlign w:val="bottom"/>
            <w:gridSpan w:val="4"/>
          </w:tcPr>
          <w:p>
            <w:pPr>
              <w:ind w:left="40"/>
              <w:spacing w:after="0"/>
              <w:rPr>
                <w:sz w:val="20"/>
                <w:szCs w:val="20"/>
                <w:color w:val="auto"/>
              </w:rPr>
            </w:pPr>
            <w:r>
              <w:rPr>
                <w:rFonts w:ascii="Arial" w:cs="Arial" w:eastAsia="Arial" w:hAnsi="Arial"/>
                <w:sz w:val="18"/>
                <w:szCs w:val="18"/>
                <w:color w:val="auto"/>
              </w:rPr>
              <w:t>Gross change in value during the six months ended April 30, 2018</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Balance at April 30, 2018</w:t>
            </w: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December 2011, our Board of Directors authorized the 2012 Share Repurchase Program. In March 2017, the program was amended and approved by the Company's Board of Directors for an increase of $500.0 million providing authorization for a total of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 We did not repurchase shares in the first half of fiscal 2018. During the fiscal year ended October 31, 2017, we repurchased 258 thousand shares of our common stock for $55.0 million. At April 30, 2018, $563.5 million remains authorized for repurchase under the program.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We paid a semiannual dividend of approximately $1.5 million or 3 cents per share on February 9, 2018, to stockholders of record on January 23,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10. Fair Value Measurements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April 30, 2018 and October 31, 2017, 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Assets and liabilities are measured and reported at fair value per related accounting standards that define fair value as the price that would be received to sell an asset or paid to transfer a liability in an orderly transaction between market 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 the following three levels of the valuation hierarchy: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reflecting the reporting entity’s own assumptions.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that the balances of our revolving credit agreement and term loans approximated their fair values at April 30, 2018 and October 31, 2017 and are categorized as Level 2 of the fair value hierarchy. The Company did not have any derivative assets or liabilities that may include interest rate swaps, cross currency swaps or foreign currency forward contracts at April 30, 2018 and October 31,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 nonrecurring basis, the Company uses fair value measures when analyzing asset impairment. Generally, assets are recorded at fair value on a nonrecurring basis as a result of impairment charges. In the three months ended April 30, 2018, we recorded $24.4 million of impairment charge related to the intangible assets acquired from Recombine Inc. as the cash flows expected to be generated by this asset group over its estimated remaining life were not sufficient to recover its carrying value. The fair value of these intangible assets determined at April 30, 2018 was $0. Our valuation included unobservable Level 3 inputs and was based on expected sales proceeds and discounted cash flows as of April 30, 2018.</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11. Employee Benefits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Cooper’s Retirement Income Plan (Plan), a defined benefit plan, covers substantially all full-time United States employees. Our contributions are designed to fund normal cost on a current basis and to fund the estimated prior service cost of benefit improvements. The unit credit actuarial cost method is used to determine the annual cost. Cooper pays the entire cost of the Plan and funds such costs as they accrue. Virtually all of the assets of the Plan are comprised of equities and participation in equity and fixed income funds.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Our results of operations for the three and six months ended April 30, 2018 and 2017, reflect the following components of net periodic pension costs: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860" w:type="dxa"/>
            <w:vAlign w:val="bottom"/>
            <w:tcBorders>
              <w:bottom w:val="single" w:sz="8" w:color="auto"/>
            </w:tcBorders>
          </w:tcPr>
          <w:p>
            <w:pPr>
              <w:spacing w:after="0"/>
              <w:rPr>
                <w:sz w:val="16"/>
                <w:szCs w:val="16"/>
                <w:color w:val="auto"/>
              </w:rPr>
            </w:pPr>
          </w:p>
        </w:tc>
      </w:tr>
      <w:tr>
        <w:trPr>
          <w:trHeight w:val="229"/>
        </w:trPr>
        <w:tc>
          <w:tcPr>
            <w:tcW w:w="60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Recognized net actuarial loss</w:t>
            </w:r>
          </w:p>
        </w:tc>
        <w:tc>
          <w:tcPr>
            <w:tcW w:w="300" w:type="dxa"/>
            <w:vAlign w:val="bottom"/>
          </w:tcPr>
          <w:p>
            <w:pPr>
              <w:spacing w:after="0"/>
              <w:rPr>
                <w:sz w:val="21"/>
                <w:szCs w:val="21"/>
                <w:color w:val="auto"/>
              </w:rPr>
            </w:pPr>
          </w:p>
        </w:tc>
        <w:tc>
          <w:tcPr>
            <w:tcW w:w="96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pension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contributed $2.5 million to the Plan in the first half of fiscal 2018, and expect to contribute $7.5 million during the remainder of fiscal 2018. We contributed $2.5 million to the Plan in the first half of fiscal 2017. The expected rate of return on plan assets for determining net periodic pension cost is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12. Contingencies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The Company recorded a settlement accrual of $3.0 million in the third quarter fiscal ended July 31, 2017. The settlement remains subject to Court approval, and the Court has set a June 19, 2018 hearing date for plaintiffs’ motion for preliminary approval of the settlement.</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Contingencies. Legal fees are expensed as incurred.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Diverted Profits Tax (DPT)</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discussed in Note 6. Income Taxes, during fiscal 2017, the U.K. Tax Authorities began an inquiry regarding our application of DPT in fiscal 2015. We believe that the transactions in question were at arm’s length with no intention to divert profit from the United Kingdom and therefore are outside the intended reach of the DPT.</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20, 2017, the U.K. Tax Authorities issued a DPT charging notice of approximately GBP 31.0 million with respect to the transfer out of the United Kingdom of certain intellectual property rights in connection with the 2014 acquisition of Sauflon Pharmaceutical Ltd. Although taxes were paid on the transfer, the U.K. Tax Authorities are challenging the value assigned to such property. We intend to contest the charging notice vigorously. The process for resolving such a notice can be lengthy and could involve litigation. The DPT legislation provides a one year review period, however, it requires prepayment of the charging notice to be made within 30 days of its issuance. As required, the payment of GBP 31.0 million was made on January 19, 2018. The Company continues to cooperate with the U.K. Tax Authorities to resolve this issue. The outcome of this matter cannot be predicted with certainty and may have an adverse impact on our financial condition and results.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13. Business Segment Information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Cooper uses operating income, as presented in our financial reports, as the primary measure of segment profitability. We do not allocate costs from corporate functions to segment operating income. Items below operating income are not considered when measuring the profitability of a segment. We use the same accounting policies to generate segment results as we do for our consolidated results.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Total assets are those used in continuing operations except cash and cash equivalents, which we include as corporate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Six Months</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 net sales by category: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680"/>
              <w:spacing w:after="0"/>
              <w:rPr>
                <w:sz w:val="20"/>
                <w:szCs w:val="20"/>
                <w:color w:val="auto"/>
              </w:rPr>
            </w:pPr>
            <w:r>
              <w:rPr>
                <w:rFonts w:ascii="Arial" w:cs="Arial" w:eastAsia="Arial" w:hAnsi="Arial"/>
                <w:sz w:val="18"/>
                <w:szCs w:val="18"/>
                <w:color w:val="auto"/>
              </w:rPr>
              <w:t>Toric lens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288.6</w:t>
            </w:r>
          </w:p>
        </w:tc>
        <w:tc>
          <w:tcPr>
            <w:tcW w:w="6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Multifocal lens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680"/>
              <w:spacing w:after="0"/>
              <w:rPr>
                <w:sz w:val="20"/>
                <w:szCs w:val="20"/>
                <w:color w:val="auto"/>
              </w:rPr>
            </w:pPr>
            <w:r>
              <w:rPr>
                <w:rFonts w:ascii="Arial" w:cs="Arial" w:eastAsia="Arial" w:hAnsi="Arial"/>
                <w:sz w:val="18"/>
                <w:szCs w:val="18"/>
                <w:color w:val="auto"/>
              </w:rPr>
              <w:t>Single-use sphere lens</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240.7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Non single-use sphere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129.7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360" w:type="dxa"/>
            <w:vAlign w:val="bottom"/>
          </w:tcPr>
          <w:p>
            <w:pPr>
              <w:ind w:left="340"/>
              <w:spacing w:after="0"/>
              <w:rPr>
                <w:sz w:val="20"/>
                <w:szCs w:val="20"/>
                <w:color w:val="auto"/>
              </w:rPr>
            </w:pPr>
            <w:r>
              <w:rPr>
                <w:rFonts w:ascii="Arial" w:cs="Arial" w:eastAsia="Arial" w:hAnsi="Arial"/>
                <w:sz w:val="18"/>
                <w:szCs w:val="18"/>
                <w:color w:val="auto"/>
              </w:rPr>
              <w:t>Total CooperVision net sales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467.5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408.5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912.3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797.8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CooperSurgical net sales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309.0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Total net sales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631.3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3"/>
              </w:rPr>
              <w:t>1,221.3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760" w:type="dxa"/>
            <w:vAlign w:val="bottom"/>
            <w:tcBorders>
              <w:bottom w:val="single" w:sz="8" w:color="CCEEFF"/>
            </w:tcBorders>
          </w:tcPr>
          <w:p>
            <w:pPr>
              <w:spacing w:after="0"/>
              <w:rPr>
                <w:sz w:val="5"/>
                <w:szCs w:val="5"/>
                <w:color w:val="auto"/>
              </w:rPr>
            </w:pPr>
          </w:p>
        </w:tc>
        <w:tc>
          <w:tcPr>
            <w:tcW w:w="43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6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Operating income (loss):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123.5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235.8</w:t>
            </w:r>
          </w:p>
        </w:tc>
        <w:tc>
          <w:tcPr>
            <w:tcW w:w="6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199.4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109.5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128.8</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April 30, 2018</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w w:val="92"/>
              </w:rPr>
              <w:t>October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CooperVision</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w w:val="86"/>
              </w:rPr>
              <w:t>3,812.4</w:t>
            </w:r>
          </w:p>
        </w:tc>
        <w:tc>
          <w:tcPr>
            <w:tcW w:w="640" w:type="dxa"/>
            <w:vAlign w:val="bottom"/>
            <w:gridSpan w:val="2"/>
          </w:tcPr>
          <w:p>
            <w:pPr>
              <w:jc w:val="right"/>
              <w:ind w:right="34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3,562.6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CooperSurgical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6"/>
              </w:rPr>
              <w:t>2,334.6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340"/>
              <w:spacing w:after="0"/>
              <w:rPr>
                <w:sz w:val="20"/>
                <w:szCs w:val="20"/>
                <w:color w:val="auto"/>
              </w:rPr>
            </w:pPr>
            <w:r>
              <w:rPr>
                <w:rFonts w:ascii="Arial" w:cs="Arial" w:eastAsia="Arial" w:hAnsi="Arial"/>
                <w:sz w:val="18"/>
                <w:szCs w:val="18"/>
                <w:color w:val="auto"/>
              </w:rPr>
              <w:t>Corporate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36"/>
              <w:spacing w:after="0"/>
              <w:rPr>
                <w:sz w:val="20"/>
                <w:szCs w:val="20"/>
                <w:color w:val="auto"/>
              </w:rPr>
            </w:pPr>
            <w:r>
              <w:rPr>
                <w:rFonts w:ascii="Arial" w:cs="Arial" w:eastAsia="Arial" w:hAnsi="Arial"/>
                <w:sz w:val="18"/>
                <w:szCs w:val="18"/>
                <w:color w:val="auto"/>
              </w:rPr>
              <w:t>267.4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86"/>
              </w:rPr>
              <w:t>6,414.4</w:t>
            </w:r>
          </w:p>
        </w:tc>
        <w:tc>
          <w:tcPr>
            <w:tcW w:w="640" w:type="dxa"/>
            <w:vAlign w:val="bottom"/>
            <w:tcBorders>
              <w:bottom w:val="single" w:sz="8" w:color="CCEEFF"/>
            </w:tcBorders>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4,858.7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8"/>
                <w:szCs w:val="18"/>
                <w:color w:val="auto"/>
              </w:rPr>
              <w:t>Geographic information:</w:t>
            </w:r>
          </w:p>
        </w:tc>
        <w:tc>
          <w:tcPr>
            <w:tcW w:w="3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Three Months</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Six Months</w:t>
            </w: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6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3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 to external customers by country of domicile: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293.2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235.3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554.6</w:t>
            </w:r>
          </w:p>
        </w:tc>
        <w:tc>
          <w:tcPr>
            <w:tcW w:w="600" w:type="dxa"/>
            <w:vAlign w:val="bottom"/>
            <w:gridSpan w:val="3"/>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413.8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12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252.9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51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1,221.3</w:t>
            </w:r>
          </w:p>
        </w:tc>
        <w:tc>
          <w:tcPr>
            <w:tcW w:w="60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260"/>
              <w:spacing w:after="0"/>
              <w:rPr>
                <w:sz w:val="20"/>
                <w:szCs w:val="20"/>
                <w:color w:val="auto"/>
              </w:rPr>
            </w:pPr>
            <w:r>
              <w:rPr>
                <w:rFonts w:ascii="Arial" w:cs="Arial" w:eastAsia="Arial" w:hAnsi="Arial"/>
                <w:sz w:val="14"/>
                <w:szCs w:val="14"/>
                <w:b w:val="1"/>
                <w:bCs w:val="1"/>
                <w:color w:val="auto"/>
              </w:rPr>
              <w:t>April 30, 2018</w:t>
            </w:r>
          </w:p>
        </w:tc>
        <w:tc>
          <w:tcPr>
            <w:tcW w:w="220" w:type="dxa"/>
            <w:vAlign w:val="bottom"/>
          </w:tcPr>
          <w:p>
            <w:pPr>
              <w:spacing w:after="0"/>
              <w:rPr>
                <w:sz w:val="14"/>
                <w:szCs w:val="14"/>
                <w:color w:val="auto"/>
              </w:rPr>
            </w:pPr>
          </w:p>
        </w:tc>
        <w:tc>
          <w:tcPr>
            <w:tcW w:w="148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October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property, plant and equipment by country of domicile:</w:t>
            </w:r>
          </w:p>
        </w:tc>
        <w:tc>
          <w:tcPr>
            <w:tcW w:w="2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United States</w:t>
            </w:r>
          </w:p>
        </w:tc>
        <w:tc>
          <w:tcPr>
            <w:tcW w:w="2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495.8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472.8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Europe</w:t>
            </w:r>
          </w:p>
        </w:tc>
        <w:tc>
          <w:tcPr>
            <w:tcW w:w="25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680"/>
              <w:spacing w:after="0"/>
              <w:rPr>
                <w:sz w:val="20"/>
                <w:szCs w:val="20"/>
                <w:color w:val="auto"/>
              </w:rPr>
            </w:pPr>
            <w:r>
              <w:rPr>
                <w:rFonts w:ascii="Arial" w:cs="Arial" w:eastAsia="Arial" w:hAnsi="Arial"/>
                <w:sz w:val="18"/>
                <w:szCs w:val="18"/>
                <w:color w:val="auto"/>
              </w:rPr>
              <w:t>Rest of world</w:t>
            </w:r>
          </w:p>
        </w:tc>
        <w:tc>
          <w:tcPr>
            <w:tcW w:w="2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0" w:type="dxa"/>
            <w:vAlign w:val="bottom"/>
          </w:tcPr>
          <w:p>
            <w:pPr>
              <w:jc w:val="right"/>
              <w:ind w:right="34"/>
              <w:spacing w:after="0"/>
              <w:rPr>
                <w:sz w:val="20"/>
                <w:szCs w:val="20"/>
                <w:color w:val="auto"/>
              </w:rPr>
            </w:pPr>
            <w:r>
              <w:rPr>
                <w:rFonts w:ascii="Arial" w:cs="Arial" w:eastAsia="Arial" w:hAnsi="Arial"/>
                <w:sz w:val="18"/>
                <w:szCs w:val="18"/>
                <w:color w:val="auto"/>
              </w:rPr>
              <w:t>106.8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966.5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910.1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22</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Note numbers refer to “Notes to Consolidated Condensed Financial Statements” in Item 1.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Quarterly Report on Form 10-Q contains “forward-looking statements” as defined by the Private Securities Litigation Reform Act of 1995. These include statements relating to plans, prospects, goals, strategies, future actions, events or performance and other statements which are other than statements of historical fact, including all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are forward-looking. In addition, all statements regarding anticipated growth in our revenue, anticipated effects of any product recalls, anticipated market conditions, planned product launches and expected results of operations and integration of any acquisition are forward-looking. To identify these statements look for words like “believes,”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w:t>
      </w:r>
    </w:p>
    <w:p>
      <w:pPr>
        <w:spacing w:after="0" w:line="124" w:lineRule="exact"/>
        <w:rPr>
          <w:sz w:val="20"/>
          <w:szCs w:val="20"/>
          <w:color w:val="auto"/>
        </w:rPr>
      </w:pPr>
    </w:p>
    <w:p>
      <w:pPr>
        <w:jc w:val="both"/>
        <w:ind w:left="660" w:hanging="652"/>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United Kingdom’s election to withdraw from the European Union.</w:t>
      </w:r>
    </w:p>
    <w:p>
      <w:pPr>
        <w:spacing w:after="0" w:line="111" w:lineRule="exact"/>
        <w:rPr>
          <w:rFonts w:ascii="Arial" w:cs="Arial" w:eastAsia="Arial" w:hAnsi="Arial"/>
          <w:sz w:val="17"/>
          <w:szCs w:val="17"/>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or their interpretation and changes in statutory tax rates, including but not limited to, the United States, the United Kingdom and other countries with proposed changes to tax laws, some of which may affect our taxation of earnings recognized in foreign jurisdictions and/or negatively impact our effective tax rate.</w:t>
      </w:r>
    </w:p>
    <w:p>
      <w:pPr>
        <w:spacing w:after="0" w:line="12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existing indebtedness and associated interest expense, most of which is variable and impacted by rate increases, which could adversely affect our financial health or limit our ability to borrow additional funds.</w:t>
      </w:r>
    </w:p>
    <w:p>
      <w:pPr>
        <w:spacing w:after="0" w:line="116"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rate and interest rate fluctuations including the risk of fluctuations in the value of foreign currencies or interest rates that would decrease our revenues and earnings.</w:t>
      </w:r>
    </w:p>
    <w:p>
      <w:pPr>
        <w:spacing w:after="0" w:line="116"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Acquisition-related adverse effects including the failure to successfully obtain the anticipated revenues,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39"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distribution facilities or raw material supply chain due to integration of acquisitions, natural disasters, system upgrades or other causes.</w:t>
      </w:r>
    </w:p>
    <w:p>
      <w:pPr>
        <w:spacing w:after="0" w:line="116"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spacing w:after="0" w:line="127"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in supplies of raw materials, particularly components used to manufacture our silicone hydrogel lenses.</w:t>
      </w:r>
    </w:p>
    <w:p>
      <w:pPr>
        <w:spacing w:after="0" w:line="17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New U.S. and foreign government laws and regulations, and changes in existing laws, regulations and enforcement guidance, which affect areas of our operations including, but not limited to, those affecting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health care industry, including the contact lens industry specifically and the medical device or pharmaceutical industries generally.</w:t>
      </w:r>
    </w:p>
    <w:p>
      <w:pPr>
        <w:spacing w:after="0" w:line="185" w:lineRule="exact"/>
        <w:rPr>
          <w:sz w:val="20"/>
          <w:szCs w:val="20"/>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Compliance costs and potential liability in connection with U.S. and foreign laws and health care regulations pertaining to privacy and security of third party information, such as HIPAA in the U.S. and the General Data Protection Regulation requirements which took effect in Europe on May 25, 2018, including but not limited to those resulting from data security breaches.</w:t>
      </w:r>
    </w:p>
    <w:p>
      <w:pPr>
        <w:spacing w:after="0" w:line="127"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Legal costs, insurance expenses, settlement costs and the risk of an adverse decision, prohibitive injunction or settlement related to product liability, patent infringement or other litigation.</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Limitations on sales following product introductions due to poor market acceptance.</w:t>
      </w:r>
    </w:p>
    <w:p>
      <w:pPr>
        <w:spacing w:after="0" w:line="171"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New competitors, product innovations or technologies, including but not limited to, technological advances by competitors, new products and patents attained by competitors, and competitors' expansion through acquisitions.</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Reduced sales, loss of customers and costs and expenses related to product recalls and warning letters.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receive, or delays in receiving, U.S. or foreign regulatory approvals for products.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Failure of our customers and end users to obtain adequate coverage and reimbursement from third party payors for our products and services.</w:t>
      </w:r>
    </w:p>
    <w:p>
      <w:pPr>
        <w:spacing w:after="0" w:line="182"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requirement to provide for a significant liability or to write off, or accelerate depreciation on, a significant asset, including goodwill and idle manufacturing facilities and equipment.</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our research and development activities and other start-up projects.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Dilution to earnings per share from acquisitions or issuing stock.</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accounting principles or estimates.</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risks.</w:t>
      </w:r>
    </w:p>
    <w:p>
      <w:pPr>
        <w:spacing w:after="0" w:line="17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events described in our Securities and Exchange Commission filings, including the “Business” and “Risk Factors” sections in our Annual Report on Form 10-K for the fiscal year ended October 31, 2017, as such Risk Factors may be updated in quarterly filings.</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this section, we discuss the results of our operations for the fiscal second quarter of 2018 ended April 30, 2018, and the six months then ended and compare them with the same periods of fiscal 2017. We discuss our cash flows and current financial condition under “Capital Resources and Liquidity.” Within the tables presented, percentages are calculated based on the underlying whole-dollar amounts and, therefore, may not recalculate from the rounded numbers used for disclosure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5"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Gross profit $404.5 million, up 18% from $343.9 million</w:t>
      </w:r>
    </w:p>
    <w:p>
      <w:pPr>
        <w:spacing w:after="0" w:line="17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income $74.7 million, down 36% from $117.1 million, primarily from increase in amortization expenses due to acquisitions and a non-recurring impairment charge</w:t>
      </w:r>
    </w:p>
    <w:p>
      <w:pPr>
        <w:spacing w:after="0" w:line="11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Diluted earnings per share of $1.23 per share, negatively impacted by increase in amortization expenses and impairment charge, down from $2.12 per share in prior year period</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Cash provided by operations $170.8 million, compared to $131.6 million in the prior year period</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Six-Month Highlights</w:t>
      </w:r>
    </w:p>
    <w:p>
      <w:pPr>
        <w:spacing w:after="0" w:line="175"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$775.4 million, up 18% from $656.2 million</w:t>
      </w:r>
    </w:p>
    <w:p>
      <w:pPr>
        <w:spacing w:after="0" w:line="17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$164.8 million, down 21% from $207.8 million, primarily from increase in amortization expenses due to acquisitions and a non-recurring impairment charge.</w:t>
      </w:r>
    </w:p>
    <w:p>
      <w:pPr>
        <w:spacing w:after="0" w:line="116"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Diluted (loss) earnings per share of $(1.26) per share, negatively impacted by charges related to U.S. tax reform, amortization expense and impairment, down from $3.65 per share in prior year period.</w:t>
      </w:r>
    </w:p>
    <w:p>
      <w:pPr>
        <w:spacing w:after="0" w:line="116"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provided by operations $197.1 million, compared to $240.1 million in the prior year period.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Outlook</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Overall, we remain optimistic about the long-term prospects for the worldwide contact lens and general health care markets. However, events affecting the economy as a whole, including but not limited to the uncertainty and instability of global markets driven by foreign currency volatility, U.S. tax reform, debt concerns, the uncertainty caused by the United Kingdom's intention to withdraw from the European Union, and the trend of consolidation within the health care industry, impact our current performance and continue to represent a risk to our future performance.</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CooperVision </w:t>
      </w:r>
      <w:r>
        <w:rPr>
          <w:rFonts w:ascii="Arial" w:cs="Arial" w:eastAsia="Arial" w:hAnsi="Arial"/>
          <w:sz w:val="16"/>
          <w:szCs w:val="16"/>
          <w:color w:val="auto"/>
        </w:rPr>
        <w:t>- We compete in the worldwide contact lens market with our spherical, toric and multifocal contact lenses offered in a variety of materials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using silicone hydrogel Aquaform</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and phosphorylcholine technology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is focused on greater worldwide market penetration using recently introduced products, and we continue to expand our presence in existing and emerging markets, including through acquisitions.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entities during the six months ended April 30, 2018:</w:t>
      </w:r>
    </w:p>
    <w:p>
      <w:pPr>
        <w:spacing w:after="0" w:line="50"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Blueyes in January 2018 - a long-standing distribution partner, with a leading position in the distribution of contact lenses to the Optical and Pharmacy sector in Israel</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Paragon Vision Sciences in December 2017 - a leading provider of orthokeratology (ortho-k) specialty contact lenses and oxygen permeable rigid contact lens materials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CooperVision acquired the following entities in fiscal 2017:</w:t>
      </w:r>
    </w:p>
    <w:p>
      <w:pPr>
        <w:spacing w:after="0" w:line="50" w:lineRule="exact"/>
        <w:rPr>
          <w:sz w:val="20"/>
          <w:szCs w:val="20"/>
          <w:color w:val="auto"/>
        </w:rPr>
      </w:pPr>
    </w:p>
    <w:p>
      <w:pPr>
        <w:ind w:left="660" w:hanging="328"/>
        <w:spacing w:after="0" w:line="258"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Procornea - a Netherlands based manufacturer of specialty contact lenses, which expands CooperVision's access to myopia (nearsightedness) management markets with new products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Grand Vista LLC - a distributor in Russia of soft contact lenses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contact lenses utilizing silicone hydrogel materials continue to grow and this material represents about half of the industry. Our ability to compete successfully with a full range of silicone hydrogel products is an important factor to achieving our desired future levels of sales growth and profitability. CooperVision manufactures and markets a wide variety of silicone hydrogel contact lenses within the daily, two-week and monthly modalities along with manufacturing some of these lenses as toric and/or multifocal lenses. Single-use lenses are designed for daily replacement and frequently replaced lenses are designed for two-week or monthly replacement.</w:t>
      </w:r>
    </w:p>
    <w:p>
      <w:pPr>
        <w:spacing w:after="0" w:line="13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market these lenses under a number of different brand names, including but not limited to Biofinity</w:t>
      </w:r>
      <w:r>
        <w:rPr>
          <w:rFonts w:ascii="Arial" w:cs="Arial" w:eastAsia="Arial" w:hAnsi="Arial"/>
          <w:sz w:val="25"/>
          <w:szCs w:val="25"/>
          <w:color w:val="auto"/>
          <w:vertAlign w:val="superscript"/>
        </w:rPr>
        <w:t>®</w:t>
      </w:r>
      <w:r>
        <w:rPr>
          <w:rFonts w:ascii="Arial" w:cs="Arial" w:eastAsia="Arial" w:hAnsi="Arial"/>
          <w:sz w:val="18"/>
          <w:szCs w:val="18"/>
          <w:color w:val="auto"/>
        </w:rPr>
        <w:t>, MyDay</w:t>
      </w:r>
      <w:r>
        <w:rPr>
          <w:rFonts w:ascii="Arial" w:cs="Arial" w:eastAsia="Arial" w:hAnsi="Arial"/>
          <w:sz w:val="25"/>
          <w:szCs w:val="25"/>
          <w:color w:val="auto"/>
          <w:vertAlign w:val="superscript"/>
        </w:rPr>
        <w:t>®</w:t>
      </w:r>
      <w:r>
        <w:rPr>
          <w:rFonts w:ascii="Arial" w:cs="Arial" w:eastAsia="Arial" w:hAnsi="Arial"/>
          <w:sz w:val="18"/>
          <w:szCs w:val="18"/>
          <w:color w:val="auto"/>
        </w:rPr>
        <w:t>, Avaira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clariti</w:t>
      </w:r>
      <w:r>
        <w:rPr>
          <w:rFonts w:ascii="Arial" w:cs="Arial" w:eastAsia="Arial" w:hAnsi="Arial"/>
          <w:sz w:val="25"/>
          <w:szCs w:val="25"/>
          <w:color w:val="auto"/>
          <w:vertAlign w:val="superscript"/>
        </w:rPr>
        <w:t>®</w:t>
      </w:r>
      <w:r>
        <w:rPr>
          <w:rFonts w:ascii="Arial" w:cs="Arial" w:eastAsia="Arial" w:hAnsi="Arial"/>
          <w:sz w:val="18"/>
          <w:szCs w:val="18"/>
          <w:color w:val="auto"/>
        </w:rPr>
        <w:t>. We manufacture CooperVision’s silicone hydrogel Biofinity brand spherical, toric and multifocal contact lenses, Avaira brand spherical and toric lenses and MyDay brand spherical and toric lenses using proprietary Aquaform technology to increase oxygen transmissibility for longer wear. Our silicone hydrogel clariti brand spherical, toric and multifocal contact lenses are available in monthly and single-use modalities. We believe the clariti single-use silicone hydrogel lens products provide a competitive advantage in approved markets as clariti is the only single-use silicone hydrogel lens available in all vision correction categories - spherical, toric and multifocal. We expect increasing aggregate demand for clariti 1day and MyDay products, as well as future single-use products.</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CooperSurgical - </w:t>
      </w:r>
      <w:r>
        <w:rPr>
          <w:rFonts w:ascii="Arial" w:cs="Arial" w:eastAsia="Arial" w:hAnsi="Arial"/>
          <w:sz w:val="18"/>
          <w:szCs w:val="18"/>
          <w:color w:val="auto"/>
        </w:rPr>
        <w:t>Our CooperSurgical business competes in the general health care market with a focus on advancing the health of families through a</w:t>
      </w:r>
      <w:r>
        <w:rPr>
          <w:rFonts w:ascii="Arial" w:cs="Arial" w:eastAsia="Arial" w:hAnsi="Arial"/>
          <w:sz w:val="18"/>
          <w:szCs w:val="18"/>
          <w:i w:val="1"/>
          <w:iCs w:val="1"/>
          <w:color w:val="auto"/>
        </w:rPr>
        <w:t xml:space="preserve"> </w:t>
      </w:r>
      <w:r>
        <w:rPr>
          <w:rFonts w:ascii="Arial" w:cs="Arial" w:eastAsia="Arial" w:hAnsi="Arial"/>
          <w:sz w:val="18"/>
          <w:szCs w:val="18"/>
          <w:color w:val="auto"/>
        </w:rPr>
        <w:t>diversified portfolio of products and services focusing on women's health, fertility, diagnostics and contraception. CooperSurgical has established its market presence and distribution system by developing products and acquiring companies, products and services that complement its business model. CooperSurgical product sales are categorized based on the point of health care delivery including products used in medical office and surgical procedures primarily by obstetricians and gynecologists (ob/gyns) that represented 60% of CooperSurgical's net sales in the second quarter of fiscal 2018 compared to 46% in the prior year. The remaining sales are specialized products and services that mainly target the in vitro fertilization (IVF) process used in fertility including diagnostics testing that represented 40% of CooperSurgical's net sales in the second quarter of fiscal 2018 compared to 54% in the prior year. The change in product mix was primarily attributable to recent acquisitions discussed below, primarily PARAGARD which increased the percentage of revenues of office and surgical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CooperSurgical acquired the following during the six months ended April 30, 2018:</w:t>
      </w:r>
    </w:p>
    <w:p>
      <w:pPr>
        <w:spacing w:after="0" w:line="23" w:lineRule="exact"/>
        <w:rPr>
          <w:sz w:val="20"/>
          <w:szCs w:val="20"/>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LifeGlobal Group on April 3, 2018 - a privately held company that specializes primarily in IVF media. LifeGlobal’s product categories include media products as well as IVF laboratory air filtration products and dishware. This acquisition fits CooperSurgical product portfolio and strengthens our fertility media offerings.</w:t>
      </w:r>
    </w:p>
    <w:p>
      <w:pPr>
        <w:spacing w:after="0" w:line="190"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PARAGARD on November 1, 2017 - CooperSurgical acquired the assets of the PARAGARD Intrauterine Device (IUD) business (PARAGARD) from Teva Pharmaceuticals Industries Limited (Teva) for $1.1 billion. We acquired PARAGARD as the product broadens and strengthens CooperSurgical's current women's health product portfolio. PARAGARD is the only non-hormonal, long lasting, reversible contraceptive option approved by FDA available in the United States. IUDs represent a large and growing segment of the contraceptive market and this acquisition allows CooperSurgical to accelerate growth providing opportunities for operational synergies. In connection with the acquisition, we entered into a new five-year, $1.425 billion, senior unsecured term loan agreement.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fiscal 2017, CooperSurgical acquired Wallace within Fertility, the IVF segment of Smiths Medical International Ltd. Wallace manufactures a range of IVF and ob/gyn products.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intend to continue investing in CooperSurgical's business with the goal of expanding our integrated solutions model within the areas of women's health, fertility, diagnostics and contraception.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second quarter of fiscal 2018, CooperSurgical recognized an impairment charge of $24.4 million on the intangible assets acquired from Recombine Inc. as the cash flows expected to be generated by this asset group over its estimated remaining life were not sufficient to recover its carrying value. CooperSurgical acquired Recombine Inc. in fiscal 2016, a clinical genetic testing company specializing in carrier screening. In connection with the impairment charge, on June 1, 2018, CooperSurgical announced the exit of the carrier screening business, along with our non-invasive prenatal testing (NIPT) business. Both product lines are categorized in fertility. The Company expects to incur exit and restructuring charges, comprised primarily of compensation and benefits to terminated employees, of approximately $10.0 - $15.0 million. These costs are not accrued as of April 30, 2018, they will be recognized at the point in time as incurred. We expect most of the exit and restructuring activities to be completed by end of the fiscal year 2018. The contribution of net loss from both product lines are not material to the Company's results of operations.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Capital Resources - </w:t>
      </w:r>
      <w:r>
        <w:rPr>
          <w:rFonts w:ascii="Arial" w:cs="Arial" w:eastAsia="Arial" w:hAnsi="Arial"/>
          <w:sz w:val="18"/>
          <w:szCs w:val="18"/>
          <w:color w:val="auto"/>
        </w:rPr>
        <w:t>At April 30, 2018, we had $164.9 million in cash, primarily held outside the United States, and $805.7 million available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syndicated revolving credit agreement. The $830.0 million term loan entered on March 1, 2016 and $1.425 billion term loan entered on November 1, 2017 remained outstanding at April 30, 2018.</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1, 2017, we entered into a $1.425 billion syndicated Term Loan Agreement with DNB Bank as administrative agent (2017 Term Loan Agreement). We used funds from the 2017 Term Loan Agreement to fund the acquisition of PARAGARD, to repay outstanding amounts under the 2016 Credit Agreement, and for general corporate purposes. See Note 5. Debt for additional information. On March 1, 2016, we entered into a syndicated revolving Credit and Term Loan Agreement with Keybank as administrative agent (2016 Credit Agreement). This agreement, maturing on March 1, 2021, provides for a multi-currency revolving credit facility in an aggregate principal amount of $1.0 billion and a term loan facility in the aggregate principal amount of $830.0 million.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believes that current cash, cash equivalents, restricted cash, and future cash flow from operating activities will be sufficient to meet the Company’s anticipated cash needs, including working capital needs, capital expenditures and contractual obligations for at least 12 months from the issuance date of these financial statements.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Statistical Information – Percentage of Sales and Growth</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5"/>
              </w:rPr>
              <w:t>Three Months</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w w:val="90"/>
              </w:rPr>
              <w:t>Percentage of Sales</w:t>
            </w:r>
          </w:p>
        </w:tc>
        <w:tc>
          <w:tcPr>
            <w:tcW w:w="11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88"/>
              </w:rPr>
              <w:t>2018 vs 2017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8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w w:val="97"/>
              </w:rPr>
              <w:t>Percentage of Sales</w:t>
            </w:r>
          </w:p>
        </w:tc>
        <w:tc>
          <w:tcPr>
            <w:tcW w:w="110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2018 vs 2017</w:t>
            </w:r>
          </w:p>
        </w:tc>
        <w:tc>
          <w:tcPr>
            <w:tcW w:w="0" w:type="dxa"/>
            <w:vAlign w:val="bottom"/>
          </w:tcPr>
          <w:p>
            <w:pPr>
              <w:spacing w:after="0"/>
              <w:rPr>
                <w:sz w:val="1"/>
                <w:szCs w:val="1"/>
                <w:color w:val="auto"/>
              </w:rPr>
            </w:pPr>
          </w:p>
        </w:tc>
      </w:tr>
      <w:tr>
        <w:trPr>
          <w:trHeight w:val="23"/>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4"/>
            <w:vMerge w:val="restart"/>
          </w:tcPr>
          <w:p>
            <w:pPr>
              <w:jc w:val="right"/>
              <w:ind w:right="400"/>
              <w:spacing w:after="0"/>
              <w:rPr>
                <w:sz w:val="20"/>
                <w:szCs w:val="20"/>
                <w:color w:val="auto"/>
              </w:rPr>
            </w:pPr>
            <w:r>
              <w:rPr>
                <w:rFonts w:ascii="Arial" w:cs="Arial" w:eastAsia="Arial" w:hAnsi="Arial"/>
                <w:sz w:val="14"/>
                <w:szCs w:val="14"/>
                <w:b w:val="1"/>
                <w:bCs w:val="1"/>
                <w:color w:val="auto"/>
              </w:rPr>
              <w:t>% Change</w:t>
            </w: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4"/>
        </w:trPr>
        <w:tc>
          <w:tcPr>
            <w:tcW w:w="30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2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3000" w:type="dxa"/>
            <w:vAlign w:val="bottom"/>
            <w:gridSpan w:val="4"/>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Cost of sales</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200" w:type="dxa"/>
            <w:vAlign w:val="bottom"/>
            <w:gridSpan w:val="5"/>
          </w:tcPr>
          <w:p>
            <w:pPr>
              <w:ind w:left="40"/>
              <w:spacing w:after="0"/>
              <w:rPr>
                <w:sz w:val="20"/>
                <w:szCs w:val="20"/>
                <w:color w:val="auto"/>
              </w:rPr>
            </w:pPr>
            <w:r>
              <w:rPr>
                <w:rFonts w:ascii="Arial" w:cs="Arial" w:eastAsia="Arial" w:hAnsi="Arial"/>
                <w:sz w:val="18"/>
                <w:szCs w:val="18"/>
                <w:color w:val="auto"/>
                <w:w w:val="90"/>
              </w:rPr>
              <w:t>Selling, general and administrative expense</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Impairment of intangibles</w:t>
            </w:r>
          </w:p>
        </w:tc>
        <w:tc>
          <w:tcPr>
            <w:tcW w:w="2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7"/>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3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3000" w:type="dxa"/>
            <w:vAlign w:val="bottom"/>
            <w:gridSpan w:val="4"/>
            <w:vMerge w:val="continue"/>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000" w:type="dxa"/>
            <w:vAlign w:val="bottom"/>
            <w:gridSpan w:val="4"/>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ind w:right="420"/>
              <w:spacing w:after="0"/>
              <w:rPr>
                <w:sz w:val="20"/>
                <w:szCs w:val="20"/>
                <w:color w:val="auto"/>
              </w:rPr>
            </w:pPr>
            <w:r>
              <w:rPr>
                <w:rFonts w:ascii="Arial" w:cs="Arial" w:eastAsia="Arial" w:hAnsi="Arial"/>
                <w:sz w:val="14"/>
                <w:szCs w:val="14"/>
                <w:b w:val="1"/>
                <w:bCs w:val="1"/>
                <w:color w:val="auto"/>
              </w:rPr>
              <w:t>Three Months</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8"/>
          </w:tcPr>
          <w:p>
            <w:pPr>
              <w:jc w:val="right"/>
              <w:ind w:right="740"/>
              <w:spacing w:after="0"/>
              <w:rPr>
                <w:sz w:val="20"/>
                <w:szCs w:val="20"/>
                <w:color w:val="auto"/>
              </w:rPr>
            </w:pPr>
            <w:r>
              <w:rPr>
                <w:rFonts w:ascii="Arial" w:cs="Arial" w:eastAsia="Arial" w:hAnsi="Arial"/>
                <w:sz w:val="14"/>
                <w:szCs w:val="14"/>
                <w:b w:val="1"/>
                <w:bCs w:val="1"/>
                <w:color w:val="auto"/>
              </w:rPr>
              <w:t>Six Months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3000" w:type="dxa"/>
            <w:vAlign w:val="bottom"/>
            <w:gridSpan w:val="4"/>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0" w:type="dxa"/>
            <w:vAlign w:val="bottom"/>
          </w:tcPr>
          <w:p>
            <w:pPr>
              <w:spacing w:after="0"/>
              <w:rPr>
                <w:sz w:val="13"/>
                <w:szCs w:val="13"/>
                <w:color w:val="auto"/>
              </w:rPr>
            </w:pPr>
          </w:p>
        </w:tc>
        <w:tc>
          <w:tcPr>
            <w:tcW w:w="5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Increase</w:t>
            </w:r>
          </w:p>
        </w:tc>
        <w:tc>
          <w:tcPr>
            <w:tcW w:w="1100" w:type="dxa"/>
            <w:vAlign w:val="bottom"/>
            <w:gridSpan w:val="3"/>
          </w:tcPr>
          <w:p>
            <w:pPr>
              <w:jc w:val="right"/>
              <w:ind w:right="160"/>
              <w:spacing w:after="0" w:line="153" w:lineRule="exact"/>
              <w:rPr>
                <w:sz w:val="20"/>
                <w:szCs w:val="20"/>
                <w:color w:val="auto"/>
              </w:rPr>
            </w:pPr>
            <w:r>
              <w:rPr>
                <w:rFonts w:ascii="Arial" w:cs="Arial" w:eastAsia="Arial" w:hAnsi="Arial"/>
                <w:sz w:val="14"/>
                <w:szCs w:val="14"/>
                <w:b w:val="1"/>
                <w:bCs w:val="1"/>
                <w:color w:val="auto"/>
              </w:rPr>
              <w:t>2018 vs 2017</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240"/>
              <w:spacing w:after="0" w:line="153" w:lineRule="exact"/>
              <w:rPr>
                <w:sz w:val="20"/>
                <w:szCs w:val="20"/>
                <w:color w:val="auto"/>
              </w:rPr>
            </w:pPr>
            <w:r>
              <w:rPr>
                <w:rFonts w:ascii="Arial" w:cs="Arial" w:eastAsia="Arial" w:hAnsi="Arial"/>
                <w:sz w:val="14"/>
                <w:szCs w:val="14"/>
                <w:b w:val="1"/>
                <w:bCs w:val="1"/>
                <w:color w:val="auto"/>
              </w:rPr>
              <w:t>Increase</w:t>
            </w:r>
          </w:p>
        </w:tc>
        <w:tc>
          <w:tcPr>
            <w:tcW w:w="1100" w:type="dxa"/>
            <w:vAlign w:val="bottom"/>
          </w:tcPr>
          <w:p>
            <w:pPr>
              <w:jc w:val="right"/>
              <w:ind w:right="75"/>
              <w:spacing w:after="0" w:line="153"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3000" w:type="dxa"/>
            <w:vAlign w:val="bottom"/>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w w:val="92"/>
              </w:rPr>
              <w:t>(Decrease)</w:t>
            </w:r>
          </w:p>
        </w:tc>
        <w:tc>
          <w:tcPr>
            <w:tcW w:w="110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right"/>
              <w:ind w:right="180"/>
              <w:spacing w:after="0" w:line="158" w:lineRule="exact"/>
              <w:rPr>
                <w:sz w:val="20"/>
                <w:szCs w:val="20"/>
                <w:color w:val="auto"/>
              </w:rPr>
            </w:pPr>
            <w:r>
              <w:rPr>
                <w:rFonts w:ascii="Arial" w:cs="Arial" w:eastAsia="Arial" w:hAnsi="Arial"/>
                <w:sz w:val="14"/>
                <w:szCs w:val="14"/>
                <w:b w:val="1"/>
                <w:bCs w:val="1"/>
                <w:color w:val="auto"/>
                <w:w w:val="94"/>
              </w:rPr>
              <w:t>(Decrease)</w:t>
            </w:r>
          </w:p>
        </w:tc>
        <w:tc>
          <w:tcPr>
            <w:tcW w:w="1100" w:type="dxa"/>
            <w:vAlign w:val="bottom"/>
          </w:tcPr>
          <w:p>
            <w:pPr>
              <w:jc w:val="right"/>
              <w:ind w:right="135"/>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0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59.0</w:t>
            </w:r>
          </w:p>
        </w:tc>
        <w:tc>
          <w:tcPr>
            <w:tcW w:w="11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912.3</w:t>
            </w:r>
          </w:p>
        </w:tc>
        <w:tc>
          <w:tcPr>
            <w:tcW w:w="3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797.8</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114.5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000" w:type="dxa"/>
            <w:vAlign w:val="bottom"/>
            <w:gridSpan w:val="4"/>
          </w:tcPr>
          <w:p>
            <w:pPr>
              <w:ind w:left="40"/>
              <w:spacing w:after="0"/>
              <w:rPr>
                <w:sz w:val="20"/>
                <w:szCs w:val="20"/>
                <w:color w:val="auto"/>
              </w:rPr>
            </w:pPr>
            <w:r>
              <w:rPr>
                <w:rFonts w:ascii="Arial" w:cs="Arial" w:eastAsia="Arial" w:hAnsi="Arial"/>
                <w:sz w:val="18"/>
                <w:szCs w:val="18"/>
                <w:color w:val="auto"/>
              </w:rPr>
              <w:t>CooperSurgical</w:t>
            </w:r>
          </w:p>
        </w:tc>
        <w:tc>
          <w:tcPr>
            <w:tcW w:w="200" w:type="dxa"/>
            <w:vAlign w:val="bottom"/>
          </w:tcPr>
          <w:p>
            <w:pPr>
              <w:spacing w:after="0"/>
              <w:rPr>
                <w:sz w:val="21"/>
                <w:szCs w:val="21"/>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163.8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49.9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223.7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85.3</w:t>
            </w: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CCEEFF"/>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631.3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522.4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1,221.3</w:t>
            </w:r>
          </w:p>
        </w:tc>
        <w:tc>
          <w:tcPr>
            <w:tcW w:w="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1,021.5</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199.8</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contact lens market has two major product categories:</w:t>
      </w:r>
    </w:p>
    <w:p>
      <w:pPr>
        <w:spacing w:after="0" w:line="171"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Spherical lenses including lenses that correct near- and farsightedness uncomplicated by more complex visual defects.</w:t>
      </w:r>
    </w:p>
    <w:p>
      <w:pPr>
        <w:spacing w:after="0" w:line="171"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145405" cy="2855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3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8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3860" w:type="dxa"/>
            <w:vAlign w:val="bottom"/>
            <w:gridSpan w:val="3"/>
            <w:vMerge w:val="continue"/>
          </w:tcPr>
          <w:p>
            <w:pPr>
              <w:spacing w:after="0"/>
              <w:rPr>
                <w:sz w:val="13"/>
                <w:szCs w:val="13"/>
                <w:color w:val="auto"/>
              </w:rPr>
            </w:pPr>
          </w:p>
        </w:tc>
        <w:tc>
          <w:tcPr>
            <w:tcW w:w="3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Toric</w:t>
            </w:r>
          </w:p>
        </w:tc>
        <w:tc>
          <w:tcPr>
            <w:tcW w:w="3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Multifocal</w:t>
            </w: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42.9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Single-use spheres</w:t>
            </w:r>
          </w:p>
        </w:tc>
        <w:tc>
          <w:tcPr>
            <w:tcW w:w="3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104.1</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860" w:type="dxa"/>
            <w:vAlign w:val="bottom"/>
            <w:gridSpan w:val="3"/>
          </w:tcPr>
          <w:p>
            <w:pPr>
              <w:ind w:left="40"/>
              <w:spacing w:after="0"/>
              <w:rPr>
                <w:sz w:val="20"/>
                <w:szCs w:val="20"/>
                <w:color w:val="auto"/>
              </w:rPr>
            </w:pPr>
            <w:r>
              <w:rPr>
                <w:rFonts w:ascii="Arial" w:cs="Arial" w:eastAsia="Arial" w:hAnsi="Arial"/>
                <w:sz w:val="18"/>
                <w:szCs w:val="18"/>
                <w:color w:val="auto"/>
              </w:rPr>
              <w:t>Non single-use sphere, other</w:t>
            </w:r>
          </w:p>
        </w:tc>
        <w:tc>
          <w:tcPr>
            <w:tcW w:w="35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129.7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298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c>
          <w:tcPr>
            <w:tcW w:w="3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467.5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408.5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bottom w:val="single" w:sz="8" w:color="CCEEFF"/>
            </w:tcBorders>
            <w:vMerge w:val="restart"/>
          </w:tcPr>
          <w:p>
            <w:pPr>
              <w:jc w:val="right"/>
              <w:ind w:right="1470"/>
              <w:spacing w:after="0"/>
              <w:rPr>
                <w:sz w:val="20"/>
                <w:szCs w:val="20"/>
                <w:color w:val="auto"/>
              </w:rPr>
            </w:pPr>
            <w:r>
              <w:rPr>
                <w:rFonts w:ascii="Arial" w:cs="Arial" w:eastAsia="Arial" w:hAnsi="Arial"/>
                <w:sz w:val="18"/>
                <w:szCs w:val="18"/>
                <w:color w:val="auto"/>
              </w:rPr>
              <w:t>29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5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5145405" cy="2855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6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73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3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73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268"/>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6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Toric</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252.5</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7360" w:type="dxa"/>
            <w:vAlign w:val="bottom"/>
            <w:gridSpan w:val="3"/>
          </w:tcPr>
          <w:p>
            <w:pPr>
              <w:ind w:left="40"/>
              <w:spacing w:after="0"/>
              <w:rPr>
                <w:sz w:val="20"/>
                <w:szCs w:val="20"/>
                <w:color w:val="auto"/>
              </w:rPr>
            </w:pPr>
            <w:r>
              <w:rPr>
                <w:rFonts w:ascii="Arial" w:cs="Arial" w:eastAsia="Arial" w:hAnsi="Arial"/>
                <w:sz w:val="18"/>
                <w:szCs w:val="18"/>
                <w:color w:val="auto"/>
              </w:rPr>
              <w:t>Multifocal</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96.1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85.3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Single-use spheres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203.7</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7360" w:type="dxa"/>
            <w:vAlign w:val="bottom"/>
            <w:gridSpan w:val="3"/>
          </w:tcPr>
          <w:p>
            <w:pPr>
              <w:ind w:left="40"/>
              <w:spacing w:after="0"/>
              <w:rPr>
                <w:sz w:val="20"/>
                <w:szCs w:val="20"/>
                <w:color w:val="auto"/>
              </w:rPr>
            </w:pPr>
            <w:r>
              <w:rPr>
                <w:rFonts w:ascii="Arial" w:cs="Arial" w:eastAsia="Arial" w:hAnsi="Arial"/>
                <w:sz w:val="18"/>
                <w:szCs w:val="18"/>
                <w:color w:val="auto"/>
              </w:rPr>
              <w:t>Non single-use sphere, other</w:t>
            </w: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286.9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256.3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6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912.3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797.8</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2018:</w:t>
      </w:r>
    </w:p>
    <w:p>
      <w:pPr>
        <w:spacing w:after="0" w:line="171" w:lineRule="exact"/>
        <w:rPr>
          <w:sz w:val="20"/>
          <w:szCs w:val="20"/>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Toric and multifocal lenses grew primarily through the success of our Biofinity, clariti and MyDay portfolios. Single-use sphere lenses growth was primarily attributed to clariti and MyDay lenses</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 single-use spheres grew primarily on sales of Biofinity</w:t>
      </w:r>
    </w:p>
    <w:p>
      <w:pPr>
        <w:spacing w:after="0" w:line="17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sales of silicone hydrogel products in all categories were partially offset by lower sales of older hydrogel products. Total silicone hydrogel products grew 19% in second quarter of fiscal 2018, representing 68% of net sales compared to 66% in the prior fiscal year, and grew 20% in the six months ended, representing 68% of net sales compared to 64% in the same prior year period.</w:t>
      </w:r>
    </w:p>
    <w:p>
      <w:pPr>
        <w:spacing w:after="0" w:line="12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exchange rates positively increased sales by $26.2 million and $46.6 million in the three and six months ended, respectively, primarily attributable to the Euro and British Pound</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 products primarily include lens care and represent approximately 3% of net sales in the three and six months ended</w:t>
      </w:r>
    </w:p>
    <w:p>
      <w:pPr>
        <w:spacing w:after="0" w:line="17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Sales growth was driven primarily by increases in the volume of lenses sold, including silicone hydrogel products. Average realized prices by product did not materially influence sales growth</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CooperVision Net Sales by Geography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CooperVision competes in the worldwide soft contact lens market and services three primary regions: the Americas, EMEA (Europe, Middle East and Africa) and Asia Pacific.</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Three Months</w:t>
            </w:r>
          </w:p>
        </w:tc>
        <w:tc>
          <w:tcPr>
            <w:tcW w:w="1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Six Months</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40" w:type="dxa"/>
            <w:vAlign w:val="bottom"/>
          </w:tcPr>
          <w:p>
            <w:pPr>
              <w:spacing w:after="0"/>
              <w:rPr>
                <w:sz w:val="13"/>
                <w:szCs w:val="13"/>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2018 vs 2017</w:t>
            </w:r>
          </w:p>
        </w:tc>
        <w:tc>
          <w:tcPr>
            <w:tcW w:w="10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3"/>
                <w:szCs w:val="13"/>
                <w:color w:val="auto"/>
              </w:rPr>
            </w:pPr>
          </w:p>
        </w:tc>
        <w:tc>
          <w:tcPr>
            <w:tcW w:w="10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200" w:type="dxa"/>
            <w:vAlign w:val="bottom"/>
          </w:tcPr>
          <w:p>
            <w:pPr>
              <w:jc w:val="right"/>
              <w:ind w:right="76"/>
              <w:spacing w:after="0" w:line="153" w:lineRule="exact"/>
              <w:rPr>
                <w:sz w:val="20"/>
                <w:szCs w:val="20"/>
                <w:color w:val="auto"/>
              </w:rPr>
            </w:pPr>
            <w:r>
              <w:rPr>
                <w:rFonts w:ascii="Arial" w:cs="Arial" w:eastAsia="Arial" w:hAnsi="Arial"/>
                <w:sz w:val="14"/>
                <w:szCs w:val="14"/>
                <w:b w:val="1"/>
                <w:bCs w:val="1"/>
                <w:color w:val="auto"/>
              </w:rPr>
              <w:t>2018 vs 2017</w:t>
            </w:r>
          </w:p>
        </w:tc>
        <w:tc>
          <w:tcPr>
            <w:tcW w:w="0" w:type="dxa"/>
            <w:vAlign w:val="bottom"/>
          </w:tcPr>
          <w:p>
            <w:pPr>
              <w:spacing w:after="0"/>
              <w:rPr>
                <w:sz w:val="1"/>
                <w:szCs w:val="1"/>
                <w:color w:val="auto"/>
              </w:rPr>
            </w:pPr>
          </w:p>
        </w:tc>
      </w:tr>
      <w:tr>
        <w:trPr>
          <w:trHeight w:val="158"/>
        </w:trPr>
        <w:tc>
          <w:tcPr>
            <w:tcW w:w="4480" w:type="dxa"/>
            <w:vAlign w:val="bottom"/>
            <w:gridSpan w:val="3"/>
            <w:vMerge w:val="continue"/>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7"/>
              </w:rPr>
              <w:t>% Change</w:t>
            </w: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0" w:type="dxa"/>
            <w:vAlign w:val="bottom"/>
          </w:tcPr>
          <w:p>
            <w:pPr>
              <w:jc w:val="right"/>
              <w:ind w:right="136"/>
              <w:spacing w:after="0" w:line="158" w:lineRule="exact"/>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6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352.8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334.9</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480" w:type="dxa"/>
            <w:vAlign w:val="bottom"/>
            <w:gridSpan w:val="3"/>
          </w:tcPr>
          <w:p>
            <w:pPr>
              <w:ind w:left="40"/>
              <w:spacing w:after="0"/>
              <w:rPr>
                <w:sz w:val="20"/>
                <w:szCs w:val="20"/>
                <w:color w:val="auto"/>
              </w:rPr>
            </w:pPr>
            <w:r>
              <w:rPr>
                <w:rFonts w:ascii="Arial" w:cs="Arial" w:eastAsia="Arial" w:hAnsi="Arial"/>
                <w:sz w:val="18"/>
                <w:szCs w:val="18"/>
                <w:color w:val="auto"/>
              </w:rPr>
              <w:t>EMEA</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361.2</w:t>
            </w:r>
          </w:p>
        </w:tc>
        <w:tc>
          <w:tcPr>
            <w:tcW w:w="100" w:type="dxa"/>
            <w:vAlign w:val="bottom"/>
          </w:tcPr>
          <w:p>
            <w:pPr>
              <w:spacing w:after="0"/>
              <w:rPr>
                <w:sz w:val="21"/>
                <w:szCs w:val="21"/>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297.4</w:t>
            </w: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165.5</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467.5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408.5</w:t>
            </w:r>
          </w:p>
        </w:tc>
        <w:tc>
          <w:tcPr>
            <w:tcW w:w="1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912.3</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797.8</w:t>
            </w: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CooperVision's regional growth were primarily attributed to market gains of silicone hydrogel contact lenses and positive foreign exchange rates in EMEA.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CooperVision Net Sales by Category above for discussion.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CooperSurgical Net Sales by Category</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CooperSurgical supplies the family health care market with a diversified portfolio of products and services for use in surgical and other medical procedures that are performed primarily by obstetricians and gynecologists in hospitals, surgical centers, fertility clinics and in the medical office. Fertility offerings include highly specialized products and services that target the IVF process with a goal to make fertility treatment safer, more efficient and convenient.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The chart below shows the percentage of revenue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5145405" cy="2855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54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change in product mix was primarily attributable to recent acquisitions, primarily PARAGARD which increased the percentage of revenues of office and surgical products.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5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 Net</w:t>
            </w:r>
          </w:p>
        </w:tc>
        <w:tc>
          <w:tcPr>
            <w:tcW w:w="12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2018 vs 2017</w:t>
            </w:r>
          </w:p>
        </w:tc>
        <w:tc>
          <w:tcPr>
            <w:tcW w:w="0" w:type="dxa"/>
            <w:vAlign w:val="bottom"/>
          </w:tcPr>
          <w:p>
            <w:pPr>
              <w:spacing w:after="0"/>
              <w:rPr>
                <w:sz w:val="1"/>
                <w:szCs w:val="1"/>
                <w:color w:val="auto"/>
              </w:rPr>
            </w:pPr>
          </w:p>
        </w:tc>
      </w:tr>
      <w:tr>
        <w:trPr>
          <w:trHeight w:val="158"/>
        </w:trPr>
        <w:tc>
          <w:tcPr>
            <w:tcW w:w="45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Fertility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Office and surgical products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163.8</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456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Pr>
          <w:p>
            <w:pPr>
              <w:spacing w:after="0"/>
              <w:rPr>
                <w:sz w:val="24"/>
                <w:szCs w:val="2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24"/>
                <w:szCs w:val="2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 Net</w:t>
            </w:r>
          </w:p>
        </w:tc>
        <w:tc>
          <w:tcPr>
            <w:tcW w:w="12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2018 vs 2017</w:t>
            </w:r>
          </w:p>
        </w:tc>
        <w:tc>
          <w:tcPr>
            <w:tcW w:w="0" w:type="dxa"/>
            <w:vAlign w:val="bottom"/>
          </w:tcPr>
          <w:p>
            <w:pPr>
              <w:spacing w:after="0"/>
              <w:rPr>
                <w:sz w:val="1"/>
                <w:szCs w:val="1"/>
                <w:color w:val="auto"/>
              </w:rPr>
            </w:pPr>
          </w:p>
        </w:tc>
      </w:tr>
      <w:tr>
        <w:trPr>
          <w:trHeight w:val="158"/>
        </w:trPr>
        <w:tc>
          <w:tcPr>
            <w:tcW w:w="45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1"/>
              </w:rPr>
              <w:t>Sales</w:t>
            </w:r>
          </w:p>
        </w:tc>
        <w:tc>
          <w:tcPr>
            <w:tcW w:w="120" w:type="dxa"/>
            <w:vAlign w:val="bottom"/>
          </w:tcPr>
          <w:p>
            <w:pPr>
              <w:spacing w:after="0"/>
              <w:rPr>
                <w:sz w:val="13"/>
                <w:szCs w:val="13"/>
                <w:color w:val="auto"/>
              </w:rPr>
            </w:pP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Fertility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560" w:type="dxa"/>
            <w:vAlign w:val="bottom"/>
            <w:gridSpan w:val="3"/>
          </w:tcPr>
          <w:p>
            <w:pPr>
              <w:ind w:left="40"/>
              <w:spacing w:after="0"/>
              <w:rPr>
                <w:sz w:val="20"/>
                <w:szCs w:val="20"/>
                <w:color w:val="auto"/>
              </w:rPr>
            </w:pPr>
            <w:r>
              <w:rPr>
                <w:rFonts w:ascii="Arial" w:cs="Arial" w:eastAsia="Arial" w:hAnsi="Arial"/>
                <w:sz w:val="18"/>
                <w:szCs w:val="18"/>
                <w:color w:val="auto"/>
              </w:rPr>
              <w:t>Office and surgical products</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309.0</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223.7</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2018:</w:t>
      </w:r>
    </w:p>
    <w:p>
      <w:pPr>
        <w:spacing w:after="0" w:line="171" w:lineRule="exact"/>
        <w:rPr>
          <w:sz w:val="20"/>
          <w:szCs w:val="20"/>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CooperSurgical’s net sales growth were primarily due to incremental revenues from the acquisition of PARAGARD IUD, which is categorized in office and surgical products</w:t>
      </w:r>
    </w:p>
    <w:p>
      <w:pPr>
        <w:spacing w:after="0" w:line="11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Fertility net sales increased compared to the prior year periods, primarily due to increased sales of equipment and consumables, incremental revenue from LifeGlobal, partially offset by a decrease in diagnostics revenue</w:t>
      </w:r>
    </w:p>
    <w:p>
      <w:pPr>
        <w:spacing w:after="0" w:line="116"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Office and surgical products increased compared to prior year periods due to continued growth in recently acquired products primarily PARAGARD</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Unit growth and product mix positively influenced sales growth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gridSpan w:val="3"/>
          </w:tcPr>
          <w:p>
            <w:pPr>
              <w:ind w:left="40"/>
              <w:spacing w:after="0"/>
              <w:rPr>
                <w:sz w:val="20"/>
                <w:szCs w:val="20"/>
                <w:color w:val="auto"/>
              </w:rPr>
            </w:pPr>
            <w:r>
              <w:rPr>
                <w:rFonts w:ascii="Arial" w:cs="Arial" w:eastAsia="Arial" w:hAnsi="Arial"/>
                <w:sz w:val="14"/>
                <w:szCs w:val="14"/>
                <w:b w:val="1"/>
                <w:bCs w:val="1"/>
                <w:color w:val="auto"/>
              </w:rPr>
              <w:t>Gross Profit Percentage of Net Sales</w:t>
            </w:r>
          </w:p>
        </w:tc>
        <w:tc>
          <w:tcPr>
            <w:tcW w:w="8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Three Months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Six Months</w:t>
            </w:r>
          </w:p>
        </w:tc>
        <w:tc>
          <w:tcPr>
            <w:tcW w:w="900" w:type="dxa"/>
            <w:vAlign w:val="bottom"/>
            <w:tcBorders>
              <w:bottom w:val="single" w:sz="8" w:color="auto"/>
            </w:tcBorders>
          </w:tcPr>
          <w:p>
            <w:pPr>
              <w:spacing w:after="0"/>
              <w:rPr>
                <w:sz w:val="16"/>
                <w:szCs w:val="16"/>
                <w:color w:val="auto"/>
              </w:rPr>
            </w:pPr>
          </w:p>
        </w:tc>
      </w:tr>
      <w:tr>
        <w:trPr>
          <w:trHeight w:val="229"/>
        </w:trPr>
        <w:tc>
          <w:tcPr>
            <w:tcW w:w="59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2018</w:t>
            </w:r>
          </w:p>
        </w:tc>
        <w:tc>
          <w:tcPr>
            <w:tcW w:w="1400" w:type="dxa"/>
            <w:vAlign w:val="bottom"/>
            <w:gridSpan w:val="3"/>
          </w:tcPr>
          <w:p>
            <w:pPr>
              <w:ind w:left="1040"/>
              <w:spacing w:after="0"/>
              <w:rPr>
                <w:sz w:val="20"/>
                <w:szCs w:val="20"/>
                <w:color w:val="auto"/>
              </w:rPr>
            </w:pPr>
            <w:r>
              <w:rPr>
                <w:rFonts w:ascii="Arial" w:cs="Arial" w:eastAsia="Arial" w:hAnsi="Arial"/>
                <w:sz w:val="14"/>
                <w:szCs w:val="14"/>
                <w:b w:val="1"/>
                <w:bCs w:val="1"/>
                <w:color w:val="auto"/>
              </w:rPr>
              <w:t>2017</w:t>
            </w:r>
          </w:p>
        </w:tc>
        <w:tc>
          <w:tcPr>
            <w:tcW w:w="14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960" w:type="dxa"/>
            <w:vAlign w:val="bottom"/>
          </w:tcPr>
          <w:p>
            <w:pPr>
              <w:spacing w:after="0"/>
              <w:rPr>
                <w:sz w:val="19"/>
                <w:szCs w:val="19"/>
                <w:color w:val="auto"/>
              </w:rPr>
            </w:pPr>
          </w:p>
        </w:tc>
        <w:tc>
          <w:tcPr>
            <w:tcW w:w="900" w:type="dxa"/>
            <w:vAlign w:val="bottom"/>
          </w:tcPr>
          <w:p>
            <w:pPr>
              <w:jc w:val="right"/>
              <w:ind w:right="43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44"/>
        </w:trPr>
        <w:tc>
          <w:tcPr>
            <w:tcW w:w="59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9"/>
              </w:rPr>
              <w:t>67%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474"/>
              <w:spacing w:after="0"/>
              <w:rPr>
                <w:sz w:val="20"/>
                <w:szCs w:val="20"/>
                <w:color w:val="auto"/>
              </w:rPr>
            </w:pPr>
            <w:r>
              <w:rPr>
                <w:rFonts w:ascii="Arial" w:cs="Arial" w:eastAsia="Arial" w:hAnsi="Arial"/>
                <w:sz w:val="18"/>
                <w:szCs w:val="18"/>
                <w:color w:val="auto"/>
              </w:rPr>
              <w:t>66%</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590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860" w:type="dxa"/>
            <w:vAlign w:val="bottom"/>
          </w:tcPr>
          <w:p>
            <w:pPr>
              <w:spacing w:after="0"/>
              <w:rPr>
                <w:sz w:val="21"/>
                <w:szCs w:val="21"/>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w w:val="99"/>
              </w:rPr>
              <w:t>57%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960" w:type="dxa"/>
            <w:vAlign w:val="bottom"/>
          </w:tcPr>
          <w:p>
            <w:pPr>
              <w:jc w:val="right"/>
              <w:ind w:right="474"/>
              <w:spacing w:after="0"/>
              <w:rPr>
                <w:sz w:val="20"/>
                <w:szCs w:val="20"/>
                <w:color w:val="auto"/>
              </w:rPr>
            </w:pPr>
            <w:r>
              <w:rPr>
                <w:rFonts w:ascii="Arial" w:cs="Arial" w:eastAsia="Arial" w:hAnsi="Arial"/>
                <w:sz w:val="18"/>
                <w:szCs w:val="18"/>
                <w:color w:val="auto"/>
              </w:rPr>
              <w:t>55%</w:t>
            </w: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59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64%</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474"/>
              <w:spacing w:after="0"/>
              <w:rPr>
                <w:sz w:val="20"/>
                <w:szCs w:val="20"/>
                <w:color w:val="auto"/>
              </w:rPr>
            </w:pPr>
            <w:r>
              <w:rPr>
                <w:rFonts w:ascii="Arial" w:cs="Arial" w:eastAsia="Arial" w:hAnsi="Arial"/>
                <w:sz w:val="18"/>
                <w:szCs w:val="18"/>
                <w:color w:val="auto"/>
              </w:rPr>
              <w:t>63%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43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CooperVision's gross profit in the three and six months ended April 30, 2018, was positively impacted by the increase in sales of higher margin products including Biofinity and favorable currency impact to revenue. This was offset by $4.4 million and $9.9 million of primarily product transition, integration, and costs associated with the impact of Hurricane Maria on our Puerto Rico manufacturing facility in the three and six months ended April 30, 2018, respectively.</w:t>
      </w:r>
    </w:p>
    <w:p>
      <w:pPr>
        <w:spacing w:after="0" w:line="133"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CooperSurgical's gross margin in the three and six months ended April 30, 2018, was positively impacted by the inclusion of PARAGARD IUD product with higher gross margin, however, it was offset by:</w:t>
      </w:r>
    </w:p>
    <w:p>
      <w:pPr>
        <w:spacing w:after="0" w:line="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$18.4 million and $35.4 million, respectively, of inventory step-up relating to PARAGARD acquisition;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$4.0 million and $9.1 million, respectively, of acquisition and integration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resulted in a decrease of gross margin in the three and six months ended April 30,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 (SGA)</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4"/>
                <w:szCs w:val="1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Pr>
          <w:p>
            <w:pPr>
              <w:spacing w:after="0"/>
              <w:rPr>
                <w:sz w:val="14"/>
                <w:szCs w:val="1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58"/>
        </w:trPr>
        <w:tc>
          <w:tcPr>
            <w:tcW w:w="44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164.1</w:t>
            </w:r>
          </w:p>
        </w:tc>
        <w:tc>
          <w:tcPr>
            <w:tcW w:w="142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141.7</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64.8</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w w:val="94"/>
              </w:rPr>
              <w:t>40%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39.8</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247.9</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w w:val="94"/>
              </w:rPr>
              <w:t>39%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193.3</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w w:val="99"/>
              </w:rPr>
              <w:t>37%</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 Net</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line="20" w:lineRule="exact"/>
              <w:rPr>
                <w:sz w:val="1"/>
                <w:szCs w:val="1"/>
                <w:color w:val="auto"/>
              </w:rPr>
            </w:pPr>
          </w:p>
        </w:tc>
      </w:tr>
      <w:tr>
        <w:trPr>
          <w:trHeight w:val="437"/>
        </w:trPr>
        <w:tc>
          <w:tcPr>
            <w:tcW w:w="446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1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46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3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322.0</w:t>
            </w:r>
          </w:p>
        </w:tc>
        <w:tc>
          <w:tcPr>
            <w:tcW w:w="1420" w:type="dxa"/>
            <w:vAlign w:val="bottom"/>
            <w:tcBorders>
              <w:bottom w:val="single" w:sz="8" w:color="CCEEFF"/>
            </w:tcBorders>
            <w:gridSpan w:val="2"/>
            <w:shd w:val="clear" w:color="auto" w:fill="CCEEFF"/>
          </w:tcPr>
          <w:p>
            <w:pPr>
              <w:ind w:left="1060"/>
              <w:spacing w:after="0"/>
              <w:rPr>
                <w:sz w:val="20"/>
                <w:szCs w:val="20"/>
                <w:color w:val="auto"/>
              </w:rPr>
            </w:pPr>
            <w:r>
              <w:rPr>
                <w:rFonts w:ascii="Arial" w:cs="Arial" w:eastAsia="Arial" w:hAnsi="Arial"/>
                <w:sz w:val="18"/>
                <w:szCs w:val="18"/>
                <w:color w:val="auto"/>
                <w:w w:val="94"/>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279.0</w:t>
            </w: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0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120.0</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w w:val="94"/>
              </w:rPr>
              <w:t>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78.0</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w w:val="99"/>
              </w:rPr>
              <w:t>35%</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473.8</w:t>
            </w: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w w:val="94"/>
              </w:rPr>
              <w:t>39%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381.9</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w w:val="99"/>
              </w:rPr>
              <w:t>37%</w:t>
            </w:r>
          </w:p>
        </w:tc>
        <w:tc>
          <w:tcPr>
            <w:tcW w:w="1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CooperVision's SGA increases in the three and six months ended April 30, 2018 compared to fiscal 2017 were due to investments to support our long term objectives, including increased headcount in sales, marketing and G&amp;A, investments in information technology and higher distribution expenses to support revenue growth. CooperVision's SGA in the three and six months ended April 30, 2018 included $2.8 million and $5.3 million of integration and third party consulting costs, respectively. CooperVision's SGA in the prior year periods included $0.6 million and $0.9 million of acquisitions costs and $1.8 million and $3.1 million of legal costs primarily related to Unilateral Pricing Policy (UPP) in the three and six months ended April 30, 2017, respectively.</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increases in CooperSurgical's SGA in the three and six months ended April 30, 2018 compared to fiscal 2017 in absolute dollars and as a percentage of sales were primarily due to addition of PARAGARD marketing expenses and sales headcount investment to support growth. CooperSurgical's SGA in the three and six months ended April 30, 2018, included $8.6 million and $14.8 million of primarily acquisition and integration expenses of acquired companies, including legal and professional fees. CooperSurgical's SGA in the prior year periods included $2.7 million and $5.6 million of primarily integration expenses from acquisitions in the three and six months ended April 30, 2017, respectively.</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increases in Corporate SGA in the three and six months ended April 30, 2018 compared to fiscal 2017 were primarily due to $6.2 million of compensation costs related to executives' retirements.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 (R&amp;D)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58"/>
        </w:trPr>
        <w:tc>
          <w:tcPr>
            <w:tcW w:w="402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20.8</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 Net</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line="20" w:lineRule="exact"/>
              <w:rPr>
                <w:sz w:val="1"/>
                <w:szCs w:val="1"/>
                <w:color w:val="auto"/>
              </w:rPr>
            </w:pPr>
          </w:p>
        </w:tc>
      </w:tr>
      <w:tr>
        <w:trPr>
          <w:trHeight w:val="437"/>
        </w:trPr>
        <w:tc>
          <w:tcPr>
            <w:tcW w:w="40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0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25.1</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1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39.7</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33.1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540" w:type="dxa"/>
            <w:vAlign w:val="bottom"/>
            <w:gridSpan w:val="2"/>
            <w:vMerge w:val="restart"/>
          </w:tcPr>
          <w:p>
            <w:pPr>
              <w:jc w:val="right"/>
              <w:ind w:right="1028"/>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the three and six months ended April 30, 2018:</w:t>
      </w:r>
    </w:p>
    <w:p>
      <w:pPr>
        <w:spacing w:after="0" w:line="171" w:lineRule="exact"/>
        <w:rPr>
          <w:sz w:val="20"/>
          <w:szCs w:val="20"/>
          <w:color w:val="auto"/>
        </w:rPr>
      </w:pPr>
    </w:p>
    <w:p>
      <w:pPr>
        <w:jc w:val="both"/>
        <w:ind w:left="660" w:hanging="328"/>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CooperVision's R&amp;D increased mainly due to increased costs from acquisitions and increase in headcount. As a percentage of sales, R&amp;D expense remained flat. CooperVision's R&amp;D activities are primarily focused on the development of contact lenses and manufacturing technology and process enhancements.</w:t>
      </w:r>
    </w:p>
    <w:p>
      <w:pPr>
        <w:spacing w:after="0" w:line="127"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increases in CooperSurgical's R&amp;D were primarily due to increased investment and activities in developing new projects. CooperSurgical's R&amp;D activities include diagnostics, in-vitro fertilization product development and the design and upgrade of surgical procedure devices.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Expense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2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4"/>
                <w:szCs w:val="1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8"/>
              </w:rPr>
              <w:t>2018 vs 2017</w:t>
            </w:r>
          </w:p>
        </w:tc>
        <w:tc>
          <w:tcPr>
            <w:tcW w:w="0" w:type="dxa"/>
            <w:vAlign w:val="bottom"/>
          </w:tcPr>
          <w:p>
            <w:pPr>
              <w:spacing w:after="0"/>
              <w:rPr>
                <w:sz w:val="1"/>
                <w:szCs w:val="1"/>
                <w:color w:val="auto"/>
              </w:rPr>
            </w:pPr>
          </w:p>
        </w:tc>
      </w:tr>
      <w:tr>
        <w:trPr>
          <w:trHeight w:val="158"/>
        </w:trPr>
        <w:tc>
          <w:tcPr>
            <w:tcW w:w="412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25.8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36.7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0"/>
        </w:trPr>
        <w:tc>
          <w:tcPr>
            <w:tcW w:w="41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 Net</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2018 vs 2017</w:t>
            </w:r>
          </w:p>
        </w:tc>
        <w:tc>
          <w:tcPr>
            <w:tcW w:w="0" w:type="dxa"/>
            <w:vAlign w:val="bottom"/>
          </w:tcPr>
          <w:p>
            <w:pPr>
              <w:spacing w:after="0" w:line="20" w:lineRule="exact"/>
              <w:rPr>
                <w:sz w:val="1"/>
                <w:szCs w:val="1"/>
                <w:color w:val="auto"/>
              </w:rPr>
            </w:pPr>
          </w:p>
        </w:tc>
      </w:tr>
      <w:tr>
        <w:trPr>
          <w:trHeight w:val="437"/>
        </w:trPr>
        <w:tc>
          <w:tcPr>
            <w:tcW w:w="412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5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412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4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7"/>
              </w:rPr>
              <w:t>Sales</w:t>
            </w:r>
          </w:p>
        </w:tc>
        <w:tc>
          <w:tcPr>
            <w:tcW w:w="13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12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4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51.3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32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72.7</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increases in amortization expense in the three and six months ended compared to prior year periods were primarily due to amortization of intangible assets acquired in recent acquisitions in CooperVision and CooperSurgical, primarily PARAGARD which increased amortization expense by $17.7 million and $35.4 million in the three and six months ended,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second quarter of fiscal 2018, CooperSurgical recognized an impairment charge of $24.4 million on the intangible assets acquired from Recombine Inc. as the cash flows expected to be generated by this asset group over its estimated remaining life were not sufficient to recover its carrying value. CooperSurgical acquired Recombine Inc. in fiscal 2016, a clinical genetic testing company specializing in carrier screening. In connection with the impairment charge, on June 1, 2018, CooperSurgical announced the exit of the carrier screening business, along with our non-invasive prenatal testing (NIPT) business. Both product lines are categorized in fertility. The contribution of net loss from both product lines are not material to the Company's results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 Ended April 30,</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398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4"/>
                <w:szCs w:val="1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20" w:type="dxa"/>
            <w:vAlign w:val="bottom"/>
          </w:tcPr>
          <w:p>
            <w:pPr>
              <w:spacing w:after="0"/>
              <w:rPr>
                <w:sz w:val="14"/>
                <w:szCs w:val="14"/>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rPr>
                <w:sz w:val="1"/>
                <w:szCs w:val="1"/>
                <w:color w:val="auto"/>
              </w:rPr>
            </w:pPr>
          </w:p>
        </w:tc>
      </w:tr>
      <w:tr>
        <w:trPr>
          <w:trHeight w:val="158"/>
        </w:trPr>
        <w:tc>
          <w:tcPr>
            <w:tcW w:w="3980" w:type="dxa"/>
            <w:vAlign w:val="bottom"/>
            <w:gridSpan w:val="3"/>
            <w:vMerge w:val="continue"/>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16.8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5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74.7</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117.1</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 Net</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2018 vs 2017</w:t>
            </w:r>
          </w:p>
        </w:tc>
        <w:tc>
          <w:tcPr>
            <w:tcW w:w="0" w:type="dxa"/>
            <w:vAlign w:val="bottom"/>
          </w:tcPr>
          <w:p>
            <w:pPr>
              <w:spacing w:after="0" w:line="20" w:lineRule="exact"/>
              <w:rPr>
                <w:sz w:val="1"/>
                <w:szCs w:val="1"/>
                <w:color w:val="auto"/>
              </w:rPr>
            </w:pPr>
          </w:p>
        </w:tc>
      </w:tr>
      <w:tr>
        <w:trPr>
          <w:trHeight w:val="437"/>
        </w:trPr>
        <w:tc>
          <w:tcPr>
            <w:tcW w:w="398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4"/>
                <w:szCs w:val="24"/>
                <w:color w:val="auto"/>
              </w:rPr>
            </w:pPr>
          </w:p>
        </w:tc>
        <w:tc>
          <w:tcPr>
            <w:tcW w:w="15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4"/>
                <w:szCs w:val="24"/>
                <w:color w:val="auto"/>
              </w:rPr>
            </w:pPr>
          </w:p>
        </w:tc>
        <w:tc>
          <w:tcPr>
            <w:tcW w:w="1500" w:type="dxa"/>
            <w:vAlign w:val="bottom"/>
            <w:gridSpan w:val="2"/>
            <w:vMerge w:val="continue"/>
          </w:tcPr>
          <w:p>
            <w:pPr>
              <w:spacing w:after="0"/>
              <w:rPr>
                <w:sz w:val="24"/>
                <w:szCs w:val="24"/>
                <w:color w:val="auto"/>
              </w:rPr>
            </w:pPr>
          </w:p>
        </w:tc>
        <w:tc>
          <w:tcPr>
            <w:tcW w:w="1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80" w:type="dxa"/>
            <w:vAlign w:val="bottom"/>
            <w:gridSpan w:val="3"/>
          </w:tcPr>
          <w:p>
            <w:pPr>
              <w:ind w:left="40"/>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1"/>
              </w:rPr>
              <w:t>Sales</w:t>
            </w:r>
          </w:p>
        </w:tc>
        <w:tc>
          <w:tcPr>
            <w:tcW w:w="3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7"/>
              </w:rPr>
              <w:t>Sales</w:t>
            </w:r>
          </w:p>
        </w:tc>
        <w:tc>
          <w:tcPr>
            <w:tcW w:w="14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CooperVision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235.8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199.4</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CooperSurgical</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33.3</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5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164.8</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207.8</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CooperVision operating income increased due to the favorable currency impact and improved sales of higher margin products including Biofinity. CooperSurgical operating income decreased due to higher operating expenses relating to acquisitions, including the PARAGARD inventory step up, amortization and impairment of intangibles, and investments to support growth. Corporate operating loss increased primarily due to higher compensation costs related to executives' retirements. On a consolidated basis, operating income declined due to the factors above.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3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Three Months Ended April 30,</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gridSpan w:val="3"/>
            <w:vMerge w:val="restart"/>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left="228"/>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left="208"/>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85"/>
              </w:rPr>
              <w:t>2018 vs 2017</w:t>
            </w:r>
          </w:p>
        </w:tc>
        <w:tc>
          <w:tcPr>
            <w:tcW w:w="0" w:type="dxa"/>
            <w:vAlign w:val="bottom"/>
          </w:tcPr>
          <w:p>
            <w:pPr>
              <w:spacing w:after="0"/>
              <w:rPr>
                <w:sz w:val="1"/>
                <w:szCs w:val="1"/>
                <w:color w:val="auto"/>
              </w:rPr>
            </w:pPr>
          </w:p>
        </w:tc>
      </w:tr>
      <w:tr>
        <w:trPr>
          <w:trHeight w:val="149"/>
        </w:trPr>
        <w:tc>
          <w:tcPr>
            <w:tcW w:w="5320" w:type="dxa"/>
            <w:vAlign w:val="bottom"/>
            <w:gridSpan w:val="3"/>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18.7</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53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Six Months Ended April 30,</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vMerge w:val="restart"/>
          </w:tcPr>
          <w:p>
            <w:pPr>
              <w:jc w:val="center"/>
              <w:ind w:left="228"/>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vMerge w:val="restart"/>
          </w:tcPr>
          <w:p>
            <w:pPr>
              <w:jc w:val="center"/>
              <w:ind w:left="208"/>
              <w:spacing w:after="0"/>
              <w:rPr>
                <w:sz w:val="20"/>
                <w:szCs w:val="20"/>
                <w:color w:val="auto"/>
              </w:rPr>
            </w:pPr>
            <w:r>
              <w:rPr>
                <w:rFonts w:ascii="Arial" w:cs="Arial" w:eastAsia="Arial" w:hAnsi="Arial"/>
                <w:sz w:val="14"/>
                <w:szCs w:val="14"/>
                <w:b w:val="1"/>
                <w:bCs w:val="1"/>
                <w:color w:val="auto"/>
              </w:rPr>
              <w:t>% Net</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5"/>
              </w:rPr>
              <w:t>2018 vs 2017</w:t>
            </w:r>
          </w:p>
        </w:tc>
        <w:tc>
          <w:tcPr>
            <w:tcW w:w="0" w:type="dxa"/>
            <w:vAlign w:val="bottom"/>
          </w:tcPr>
          <w:p>
            <w:pPr>
              <w:spacing w:after="0" w:line="20" w:lineRule="exact"/>
              <w:rPr>
                <w:sz w:val="1"/>
                <w:szCs w:val="1"/>
                <w:color w:val="auto"/>
              </w:rPr>
            </w:pPr>
          </w:p>
        </w:tc>
      </w:tr>
      <w:tr>
        <w:trPr>
          <w:trHeight w:val="487"/>
        </w:trPr>
        <w:tc>
          <w:tcPr>
            <w:tcW w:w="5320" w:type="dxa"/>
            <w:vAlign w:val="bottom"/>
            <w:gridSpan w:val="3"/>
            <w:vMerge w:val="continue"/>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320" w:type="dxa"/>
            <w:vAlign w:val="bottom"/>
            <w:gridSpan w:val="3"/>
          </w:tcPr>
          <w:p>
            <w:pPr>
              <w:ind w:left="4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8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Sales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 Change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44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6"/>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3%</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Increases in interest expense in absolute dollars and as a percentage of sales reflect higher average debt balances as a result of debt incurred in connection with 2018 acquisitions as well as higher interest rates mainly due to the $1.425 billion term loan entered into on November 1, 2017 to primarily fund the PARAGARD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860" w:type="dxa"/>
            <w:vAlign w:val="bottom"/>
            <w:tcBorders>
              <w:bottom w:val="single" w:sz="8" w:color="auto"/>
            </w:tcBorders>
          </w:tcPr>
          <w:p>
            <w:pPr>
              <w:spacing w:after="0"/>
              <w:rPr>
                <w:sz w:val="16"/>
                <w:szCs w:val="16"/>
                <w:color w:val="auto"/>
              </w:rPr>
            </w:pPr>
          </w:p>
        </w:tc>
      </w:tr>
      <w:tr>
        <w:trPr>
          <w:trHeight w:val="229"/>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300" w:type="dxa"/>
            <w:vAlign w:val="bottom"/>
          </w:tcPr>
          <w:p>
            <w:pPr>
              <w:spacing w:after="0"/>
              <w:rPr>
                <w:sz w:val="19"/>
                <w:szCs w:val="19"/>
                <w:color w:val="auto"/>
              </w:rPr>
            </w:pPr>
          </w:p>
        </w:tc>
        <w:tc>
          <w:tcPr>
            <w:tcW w:w="9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4"/>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4"/>
        </w:trPr>
        <w:tc>
          <w:tcPr>
            <w:tcW w:w="6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exchange loss (gain)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3"/>
        </w:trPr>
        <w:tc>
          <w:tcPr>
            <w:tcW w:w="6080" w:type="dxa"/>
            <w:vAlign w:val="bottom"/>
            <w:gridSpan w:val="3"/>
          </w:tcPr>
          <w:p>
            <w:pPr>
              <w:ind w:left="4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0.4</w:t>
            </w: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Foreign exchange loss (gain) primarily resulted from the revaluation and settlement of foreign currencies-denominated balances.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Cooper's effective tax rates were a benefit of 12.9% and expense of 4.2% for the second quarters of fiscal 2018 and 2017, respectively, and expense of 147.8% and 4.7% for the first six months of fiscal 2018 and 2017, respectively. The decrease in our effective tax rate for the second quarter of fiscal 2018 compared to the second quarter of fiscal 2017 was due primarily to a reduction in U.S. income related to acquisition and integration activities in CooperSurgical. The increase in our effective tax rate for the first six months of fiscal 2018 compared to the first six months of fiscal 2017 was primarily due to the charge of $202.0 million related to The Tax Cuts and Jobs Act (“2017 Act”). Our effective tax rate for the first six months of fiscal 2018 was higher than the U.S. Statutory rate because of the discrete tax expense relating to the 2017 Act, which was partially offset by a favorable mix of income from our foreign jurisdictions with lower tax rates and an excess tax benefit from share-based compensation. Our effective tax rate for the first six months of fiscal 2017 was lower than the U.S. Statutory rate primarily because of a favorable mix of income from our foreign jurisdictions with lower tax rates and an excess tax benefit from share-based compensation.</w:t>
      </w:r>
    </w:p>
    <w:p>
      <w:pPr>
        <w:spacing w:after="0" w:line="19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 xml:space="preserve">ASC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companies to recognize the effect of the tax law changes in the period of enactment. However, in December 2017, the SEC provided regulatory guidance for accounting referred to as SAB 118. Under the guidance in SAB 118, the income tax effects, which the accounting under ASC 740 is incomplete, are reported as a provisional amount based on a reasonable estimate. The reasonable estimate is subject to adjustment during a "measurement period", not to exceed one year, until the accounting is complete. The estimate is also subject to the finalization of management’s analysis related to certain matters, such as developing interpretations of the provision, changes to certain estimates and amounts related to the earnings and profits of certain subsidiaries and the filing of tax returns. The Company has recorded a provisional charge for the first quarter of fiscal 2018. In determining this charge, the Company utilized the most recent information and guidance available related to the calculation of the tax liability and the impact to its deferred tax assets and liabilities, including those recorded for foreign local and withholding taxes that the Company assessed as of April 30, 2018. The provisional charge may require further adjustments and changes to the Company’s estimates as new guidance is made available. Revisions to the provisional charge may be material to the Company's financial results and will be recorded in the quarter in which we complete the analysis.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 Plans</w:t>
      </w:r>
    </w:p>
    <w:p>
      <w:pPr>
        <w:spacing w:after="0" w:line="17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Cooper has several share-based compensation plans that are described in our Annual Report on Form 10-K for the fiscal year ended October 31, 2017. The compensation expense and related income tax benefit recognized in our consolidated condensed financial statements for share-based awards were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Periods Ended April 30,</w:t>
            </w:r>
          </w:p>
        </w:tc>
        <w:tc>
          <w:tcPr>
            <w:tcW w:w="1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0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ind w:right="4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w:t>
            </w:r>
          </w:p>
        </w:tc>
        <w:tc>
          <w:tcPr>
            <w:tcW w:w="19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4400" w:type="dxa"/>
            <w:vAlign w:val="bottom"/>
            <w:gridSpan w:val="3"/>
          </w:tcPr>
          <w:p>
            <w:pPr>
              <w:ind w:left="40"/>
              <w:spacing w:after="0"/>
              <w:rPr>
                <w:sz w:val="20"/>
                <w:szCs w:val="20"/>
                <w:color w:val="auto"/>
              </w:rPr>
            </w:pPr>
            <w:r>
              <w:rPr>
                <w:rFonts w:ascii="Arial" w:cs="Arial" w:eastAsia="Arial" w:hAnsi="Arial"/>
                <w:sz w:val="18"/>
                <w:szCs w:val="18"/>
                <w:color w:val="auto"/>
              </w:rPr>
              <w:t>Cost of sales</w:t>
            </w:r>
          </w:p>
        </w:tc>
        <w:tc>
          <w:tcPr>
            <w:tcW w:w="1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w:t>
            </w:r>
          </w:p>
        </w:tc>
        <w:tc>
          <w:tcPr>
            <w:tcW w:w="16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4400" w:type="dxa"/>
            <w:vAlign w:val="bottom"/>
            <w:gridSpan w:val="3"/>
          </w:tcPr>
          <w:p>
            <w:pPr>
              <w:ind w:left="40"/>
              <w:spacing w:after="0"/>
              <w:rPr>
                <w:sz w:val="20"/>
                <w:szCs w:val="20"/>
                <w:color w:val="auto"/>
              </w:rPr>
            </w:pPr>
            <w:r>
              <w:rPr>
                <w:rFonts w:ascii="Arial" w:cs="Arial" w:eastAsia="Arial" w:hAnsi="Arial"/>
                <w:sz w:val="18"/>
                <w:szCs w:val="18"/>
                <w:color w:val="auto"/>
              </w:rPr>
              <w:t>Total share-based compensation expense</w:t>
            </w:r>
          </w:p>
        </w:tc>
        <w:tc>
          <w:tcPr>
            <w:tcW w:w="168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840" w:type="dxa"/>
            <w:vAlign w:val="bottom"/>
            <w:tcBorders>
              <w:bottom w:val="single" w:sz="8" w:color="CCEEFF"/>
            </w:tcBorders>
          </w:tcPr>
          <w:p>
            <w:pPr>
              <w:spacing w:after="0"/>
              <w:rPr>
                <w:sz w:val="5"/>
                <w:szCs w:val="5"/>
                <w:color w:val="auto"/>
              </w:rPr>
            </w:pPr>
          </w:p>
        </w:tc>
        <w:tc>
          <w:tcPr>
            <w:tcW w:w="3520" w:type="dxa"/>
            <w:vAlign w:val="bottom"/>
            <w:tcBorders>
              <w:bottom w:val="single" w:sz="8" w:color="CCEEFF"/>
            </w:tcBorders>
          </w:tcPr>
          <w:p>
            <w:pPr>
              <w:spacing w:after="0"/>
              <w:rPr>
                <w:sz w:val="5"/>
                <w:szCs w:val="5"/>
                <w:color w:val="auto"/>
              </w:rPr>
            </w:pPr>
          </w:p>
        </w:tc>
        <w:tc>
          <w:tcPr>
            <w:tcW w:w="16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gridSpan w:val="3"/>
            <w:shd w:val="clear" w:color="auto" w:fill="CCEEFF"/>
          </w:tcPr>
          <w:p>
            <w:pPr>
              <w:ind w:left="40"/>
              <w:spacing w:after="0" w:line="196" w:lineRule="exact"/>
              <w:rPr>
                <w:sz w:val="20"/>
                <w:szCs w:val="20"/>
                <w:color w:val="auto"/>
              </w:rPr>
            </w:pPr>
            <w:r>
              <w:rPr>
                <w:rFonts w:ascii="Arial" w:cs="Arial" w:eastAsia="Arial" w:hAnsi="Arial"/>
                <w:sz w:val="18"/>
                <w:szCs w:val="18"/>
                <w:color w:val="auto"/>
              </w:rPr>
              <w:t>Related income tax benefit</w:t>
            </w:r>
          </w:p>
        </w:tc>
        <w:tc>
          <w:tcPr>
            <w:tcW w:w="198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right"/>
              <w:ind w:right="190"/>
              <w:spacing w:after="0"/>
              <w:rPr>
                <w:sz w:val="20"/>
                <w:szCs w:val="20"/>
                <w:color w:val="auto"/>
              </w:rPr>
            </w:pPr>
            <w:r>
              <w:rPr>
                <w:rFonts w:ascii="Arial" w:cs="Arial" w:eastAsia="Arial" w:hAnsi="Arial"/>
                <w:sz w:val="18"/>
                <w:szCs w:val="18"/>
                <w:color w:val="auto"/>
              </w:rPr>
              <w:t>36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Highlights</w:t>
      </w:r>
    </w:p>
    <w:p>
      <w:pPr>
        <w:spacing w:after="0" w:line="17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cash flow $170.8 million compared to $131.6 million in the second quarter of fiscal 2017</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$46.5 million compared to $28.5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There was no share repurchase activity during the second quarter of fiscal 2018, compared to $29.5 million share repurchase in the prior year period</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Six-Month Highlights</w:t>
      </w:r>
    </w:p>
    <w:p>
      <w:pPr>
        <w:spacing w:after="0" w:line="175"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Operating cash flow $197.1 million compared to $240.1 million in the prior year period</w:t>
      </w:r>
    </w:p>
    <w:p>
      <w:pPr>
        <w:spacing w:after="0" w:line="171" w:lineRule="exact"/>
        <w:rPr>
          <w:rFonts w:ascii="Arial" w:cs="Arial" w:eastAsia="Arial" w:hAnsi="Arial"/>
          <w:sz w:val="18"/>
          <w:szCs w:val="18"/>
          <w:b w:val="1"/>
          <w:bCs w:val="1"/>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Expenditures for purchases of property, plant and equipment $97.9 million compared to $57.3 million in the prior year period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Cash payments for acquisitions, $1,320.7 million primarily PARAGARD, compared to $173.8 million in the prior year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Comparative Statistics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gridSpan w:val="3"/>
          </w:tcPr>
          <w:p>
            <w:pPr>
              <w:ind w:lef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400" w:type="dxa"/>
            <w:vAlign w:val="bottom"/>
          </w:tcPr>
          <w:p>
            <w:pPr>
              <w:spacing w:after="0"/>
              <w:rPr>
                <w:sz w:val="14"/>
                <w:szCs w:val="14"/>
                <w:color w:val="auto"/>
              </w:rPr>
            </w:pPr>
          </w:p>
        </w:tc>
        <w:tc>
          <w:tcPr>
            <w:tcW w:w="1940" w:type="dxa"/>
            <w:vAlign w:val="bottom"/>
            <w:gridSpan w:val="2"/>
          </w:tcPr>
          <w:p>
            <w:pPr>
              <w:ind w:left="280"/>
              <w:spacing w:after="0"/>
              <w:rPr>
                <w:sz w:val="20"/>
                <w:szCs w:val="20"/>
                <w:color w:val="auto"/>
              </w:rPr>
            </w:pPr>
            <w:r>
              <w:rPr>
                <w:rFonts w:ascii="Arial" w:cs="Arial" w:eastAsia="Arial" w:hAnsi="Arial"/>
                <w:sz w:val="14"/>
                <w:szCs w:val="14"/>
                <w:b w:val="1"/>
                <w:bCs w:val="1"/>
                <w:color w:val="auto"/>
              </w:rPr>
              <w:t>April 30, 2018</w:t>
            </w:r>
          </w:p>
        </w:tc>
        <w:tc>
          <w:tcPr>
            <w:tcW w:w="340" w:type="dxa"/>
            <w:vAlign w:val="bottom"/>
          </w:tcPr>
          <w:p>
            <w:pPr>
              <w:spacing w:after="0"/>
              <w:rPr>
                <w:sz w:val="14"/>
                <w:szCs w:val="14"/>
                <w:color w:val="auto"/>
              </w:rPr>
            </w:pPr>
          </w:p>
        </w:tc>
        <w:tc>
          <w:tcPr>
            <w:tcW w:w="1880" w:type="dxa"/>
            <w:vAlign w:val="bottom"/>
          </w:tcPr>
          <w:p>
            <w:pPr>
              <w:jc w:val="right"/>
              <w:ind w:right="512"/>
              <w:spacing w:after="0"/>
              <w:rPr>
                <w:sz w:val="20"/>
                <w:szCs w:val="20"/>
                <w:color w:val="auto"/>
              </w:rPr>
            </w:pPr>
            <w:r>
              <w:rPr>
                <w:rFonts w:ascii="Arial" w:cs="Arial" w:eastAsia="Arial" w:hAnsi="Arial"/>
                <w:sz w:val="14"/>
                <w:szCs w:val="14"/>
                <w:b w:val="1"/>
                <w:bCs w:val="1"/>
                <w:color w:val="auto"/>
              </w:rPr>
              <w:t>October 31,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40" w:type="dxa"/>
            <w:vAlign w:val="bottom"/>
            <w:tcBorders>
              <w:top w:val="single" w:sz="8" w:color="auto"/>
              <w:bottom w:val="single" w:sz="8" w:color="CCEEFF"/>
            </w:tcBorders>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164.9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88.8</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Total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92"/>
              <w:spacing w:after="0"/>
              <w:rPr>
                <w:sz w:val="20"/>
                <w:szCs w:val="20"/>
                <w:color w:val="auto"/>
              </w:rPr>
            </w:pPr>
            <w:r>
              <w:rPr>
                <w:rFonts w:ascii="Arial" w:cs="Arial" w:eastAsia="Arial" w:hAnsi="Arial"/>
                <w:sz w:val="18"/>
                <w:szCs w:val="18"/>
                <w:color w:val="auto"/>
              </w:rPr>
              <w:t>6,414.4</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4,858.7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812.0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557.1</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92"/>
              <w:spacing w:after="0"/>
              <w:rPr>
                <w:sz w:val="20"/>
                <w:szCs w:val="20"/>
                <w:color w:val="auto"/>
              </w:rPr>
            </w:pPr>
            <w:r>
              <w:rPr>
                <w:rFonts w:ascii="Arial" w:cs="Arial" w:eastAsia="Arial" w:hAnsi="Arial"/>
                <w:sz w:val="18"/>
                <w:szCs w:val="18"/>
                <w:color w:val="auto"/>
              </w:rPr>
              <w:t>2,483.7</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1,172.7</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3,188.0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3,175.8</w:t>
            </w: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Ratio of debt to equity</w:t>
            </w:r>
          </w:p>
        </w:tc>
        <w:tc>
          <w:tcPr>
            <w:tcW w:w="400" w:type="dxa"/>
            <w:vAlign w:val="bottom"/>
          </w:tcPr>
          <w:p>
            <w:pPr>
              <w:spacing w:after="0"/>
              <w:rPr>
                <w:sz w:val="21"/>
                <w:szCs w:val="21"/>
                <w:color w:val="auto"/>
              </w:rPr>
            </w:pPr>
          </w:p>
        </w:tc>
        <w:tc>
          <w:tcPr>
            <w:tcW w:w="1820" w:type="dxa"/>
            <w:vAlign w:val="bottom"/>
          </w:tcPr>
          <w:p>
            <w:pPr>
              <w:jc w:val="right"/>
              <w:ind w:right="92"/>
              <w:spacing w:after="0"/>
              <w:rPr>
                <w:sz w:val="20"/>
                <w:szCs w:val="20"/>
                <w:color w:val="auto"/>
              </w:rPr>
            </w:pPr>
            <w:r>
              <w:rPr>
                <w:rFonts w:ascii="Arial" w:cs="Arial" w:eastAsia="Arial" w:hAnsi="Arial"/>
                <w:sz w:val="18"/>
                <w:szCs w:val="18"/>
                <w:color w:val="auto"/>
              </w:rPr>
              <w:t>0.78:1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80" w:type="dxa"/>
            <w:vAlign w:val="bottom"/>
          </w:tcPr>
          <w:p>
            <w:pPr>
              <w:jc w:val="right"/>
              <w:ind w:right="92"/>
              <w:spacing w:after="0"/>
              <w:rPr>
                <w:sz w:val="20"/>
                <w:szCs w:val="20"/>
                <w:color w:val="auto"/>
              </w:rPr>
            </w:pPr>
            <w:r>
              <w:rPr>
                <w:rFonts w:ascii="Arial" w:cs="Arial" w:eastAsia="Arial" w:hAnsi="Arial"/>
                <w:sz w:val="18"/>
                <w:szCs w:val="18"/>
                <w:color w:val="auto"/>
              </w:rPr>
              <w:t>0.37:1</w:t>
            </w: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43"/>
        </w:trPr>
        <w:tc>
          <w:tcPr>
            <w:tcW w:w="68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Debt as a percentage of total capitalization</w:t>
            </w:r>
          </w:p>
        </w:tc>
        <w:tc>
          <w:tcPr>
            <w:tcW w:w="40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working capital at April 30, 2018 from the end of fiscal 2017 was primarily due to increase in accounts receivable ($116.0 million) and inventories ($50.7 million) from PARAGARD acquisition and other prepayments made during the period, primarily to the U.K. Tax Authorities relating to DPT ($42.0 million). This was partially offset by the increase in accounts payable and accrued liabilities ($46.4 million) and short term notes payable ($17.9 million).</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April 30, 2018, our inventory months on hand were 6.7 compared to 6.5 at October 31, 2017. The $50.7 million increase in inventories was primarily due to increase in finished goods and raw materials to support product launches and production levels and from PARAGARD. Our days sales outstanding (DSO) were 60 days at April 30, 2018, compared to 53 days at October 31, 2017 and 51 days at April 30, 2017. The increase in DSO is primarily due to higher sales from PARAGARD.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reviewed our needs in the United States and have determined there is sufficient cash to fund working capital without repatriating cash from our foreign subsidiaries. For purposes of recording the provisional tax expense for the six months ended April 30, 2018, we are no longer asserting that earnings from our foreign subsidiaries are indefinitely reinvested. However, the Company has not completed its analysis and will make a final decision within the measurement period. If the Company changes its assertion to not indefinitely reinvest foreign earnings, there will be more flexibility in using the cash from our foreign operations to fund future working capital in the United States.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Accounts Receivable Factoring Program - We may factor certain designated trade receivables with one or more third party financial institutions pursuant to a factoring agreement. These would be non-recourse factoring arrangements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assist us in managing operating cash flow. The factor would be based on credit approved orders, and assumes the accounts receivable risk of our customer in the event of insolvency or non-payment. Transfers under this agreement meet the requirements to be accounted for as sales in accordance with the “Transfers and Servicing” guidance in ASC 860. The factoring of receivables in the six months ended April 30, 2018 were $26.1 million as compared to $0 for fiscal 2017. Factoring charges associated with the sale of factored receivables are minimal.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Cash provided by operating activities decreased by $43.0 million from $240.1 million during the first half of fiscal 2017 to $197.1 million in fiscal 2018. Net income decreased $242.3 million from $180.7 million to a loss of $61.6 million, primarily due to $202.0 million of provisional tax expense related to the 2017 Act in fiscal first quarter 2018. This decrease in cash flow provided by operating activities primarily consists of an increase of $128.1 million in the net cash outflow from changes in operating capital, from $(59.5) million during the first half of fiscal 2017 to $(187.6) million in the fiscal 2018, offset by an increase of $261.4 million from other non-cash items, from $24.9 million in the first half of fiscal 2017 to $286.3 million in the fiscal 2018.</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$128.1 million increase in the net cash outflow from changes in operating capital compared to the prior year period is due to a $112.8 million greater increase in receivables, primarily from increases in the working capital balance for PARAGARD after acquisition, $50.1 million increase in prepayments and other assets, primarily from a $42.0 million payment to the U.K. tax authorities, offset by $20.4 million increase in accounts payable and $19.5 million increase of accrued liabilities.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$261.4 million increase from other non-cash items compared to the prior year period is primarily due to an increase in long term liabilities of $185.2 million primarily from provisional tax expense for the mandatory deemed repatriation of deferred foreign earnings under the 2017 Act, $37.2 million release of a fair value adjustment to inventory acquired mainly from PARAGARD, increase in deferred tax of $20.2 million primarily from changes to the deferred taxes resulting from the U.S. federal rate, and increase in share based compensation expense of $6.1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in investing activities increased $1,187.5 million to $1,418.6 in the first half of fiscal 2018. The increase was driven by a $40.6 million increase in capital expenditures, primarily to increase distribution and manufacturing capacity, and an increase in payments for business and asset acquisitions of $1,146.9 million. The increase in payments related to acquisition was largely due to the acquisition of PARAGARD as discussed in Outlook above and in Note 2. Acquisitions.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the prior period, payments related to the acquisition of Wallace.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provided by financing activities increased by $1,286.3 million to $1,296.3 million in the first half of fiscal 2018. The increase was driven by a $1,327.1 million increase of proceeds from long term debt due to additional debt taken on to fund the PARAGARD acquisition and $208.8 million change in short term notes payable, partially offset by $276.1 million increase in net repayments of long term debt.</w:t>
      </w:r>
    </w:p>
    <w:p>
      <w:pPr>
        <w:spacing w:after="0" w:line="2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2017 Term Loan Agreement contains customary restrictive covenants, as well as financial covenants that require the Company to maintain a certain Total Leverage Ratio and Interest Coverage Ratio, each as defined in the 2017 Term Loan Agreement, consistent with the 2016 Credit Agreement. As defined, in both the 2017 Term Loan Agreement and the 2016 Credit Agreement, we are required to maintain an Interest Coverage Ratio of at least 3.00 to 1.00, and a Total Leverage Ratio of no higher than 3.75 to 1.00.</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April 30, 2018, we had $805.7 million available under the 2016 Credit Agreement. We are in compliance with our financial covenants including the Interest Coverage Ratio at 15.68 to 1.00 and the Total Leverage Ratio at 2.67 to 1.00 for both the 2017 Term Loan Agreement and the 2016 Credit Agreement.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2011, our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We did not repurchase any shares during the six months ended April 30, 2018. At April 30, 2018, we had remaining authorization to repurchase $563.5 million of our common stock.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Item 2. Management’s Discussion and Analysis of Financial Condition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Estimates and Critical Accounting Policies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regarding estimates and critical accounting policies is included in Management's Discussion and Analysis on Form 10-K for the fiscal year ended October 31, 2017. There have been no material changes in our policies from those previously discussed in our Form 10-K for the fiscal year October 31, 2017.</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Pronouncements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new accounting pronouncements is included in Note 1. General.</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Aquaform</w:t>
      </w:r>
      <w:r>
        <w:rPr>
          <w:rFonts w:ascii="Arial" w:cs="Arial" w:eastAsia="Arial" w:hAnsi="Arial"/>
          <w:sz w:val="25"/>
          <w:szCs w:val="25"/>
          <w:color w:val="auto"/>
          <w:vertAlign w:val="superscript"/>
        </w:rPr>
        <w:t>®</w:t>
      </w:r>
      <w:r>
        <w:rPr>
          <w:rFonts w:ascii="Arial" w:cs="Arial" w:eastAsia="Arial" w:hAnsi="Arial"/>
          <w:sz w:val="18"/>
          <w:szCs w:val="18"/>
          <w:color w:val="auto"/>
        </w:rPr>
        <w:t>, Avaira</w:t>
      </w:r>
      <w:r>
        <w:rPr>
          <w:rFonts w:ascii="Arial" w:cs="Arial" w:eastAsia="Arial" w:hAnsi="Arial"/>
          <w:sz w:val="25"/>
          <w:szCs w:val="25"/>
          <w:color w:val="auto"/>
          <w:vertAlign w:val="superscript"/>
        </w:rPr>
        <w:t>®</w:t>
      </w:r>
      <w:r>
        <w:rPr>
          <w:rFonts w:ascii="Arial" w:cs="Arial" w:eastAsia="Arial" w:hAnsi="Arial"/>
          <w:sz w:val="18"/>
          <w:szCs w:val="18"/>
          <w:color w:val="auto"/>
        </w:rPr>
        <w:t>, Avaira Vitality</w:t>
      </w:r>
      <w:r>
        <w:rPr>
          <w:rFonts w:ascii="Arial" w:cs="Arial" w:eastAsia="Arial" w:hAnsi="Arial"/>
          <w:sz w:val="25"/>
          <w:szCs w:val="25"/>
          <w:color w:val="auto"/>
          <w:vertAlign w:val="superscript"/>
        </w:rPr>
        <w:t>®</w:t>
      </w:r>
      <w:r>
        <w:rPr>
          <w:rFonts w:ascii="Arial" w:cs="Arial" w:eastAsia="Arial" w:hAnsi="Arial"/>
          <w:sz w:val="18"/>
          <w:szCs w:val="18"/>
          <w:color w:val="auto"/>
        </w:rPr>
        <w:t>, Biofinity</w:t>
      </w:r>
      <w:r>
        <w:rPr>
          <w:rFonts w:ascii="Arial" w:cs="Arial" w:eastAsia="Arial" w:hAnsi="Arial"/>
          <w:sz w:val="25"/>
          <w:szCs w:val="25"/>
          <w:color w:val="auto"/>
          <w:vertAlign w:val="superscript"/>
        </w:rPr>
        <w:t>®</w:t>
      </w:r>
      <w:r>
        <w:rPr>
          <w:rFonts w:ascii="Arial" w:cs="Arial" w:eastAsia="Arial" w:hAnsi="Arial"/>
          <w:sz w:val="18"/>
          <w:szCs w:val="18"/>
          <w:color w:val="auto"/>
        </w:rPr>
        <w:t>, MyDay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Proclear</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registered trademarks of The Cooper Companies, Inc., its affiliates and/or subsidiaries. PC Technology™, FIPS™, and A Quality of Life Company™ are trademarks of The Cooper Companies, Inc., its affiliates and/or subsidiaries. The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mark is a registered trademark of The Cooper Companies, Inc., its affiliates and/or subsidiaries worldwide except in the United States where the use of clariti</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licensed. PARAGARD</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is a registered trademark of CooperSurgical, Inc.</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Quantitative and Qualitative Disclosure About Market Risk</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Most of our operations outside the United States have their local currency as their functional currency. We are exposed to risks caused by changes in foreign exchange, principally our British pound sterling, euro, Japanese yen, Danish krone, Swedish krona and Australian dollar denominated debt and receivables denominated in currencies other than the United States dollar, and from operations in other foreign currencies. Although we may enter into foreign exchange agreements with financial institutions to reduce our exposure to fluctuations in foreign currency values relative to our debt or receivables obligations, these hedging transactions do not eliminate that risk entirely. We are also exposed to risks associated with changes in interest rates, as the interest rates on our revolving lines of credit and term loans may vary with the federal funds rate and Eurodollar rate. We may decrease this interest rate risk by hedging a portion of variable rate debt effectively converting it to fixed rate debt for varying periods. The Company did not have any derivative assets or liabilities that may include interest rate swaps, cross currency swaps or foreign currency forward contracts as of April 30, 2018 and October 31, 2017.</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March 1, 2016, we entered into a syndicated Revolving Credit and Term Loan Agreement (2016 Credit Agreement) with Keybank as administrative agent. The agreement provides for a multicurrency revolving credit facility in an aggregate principal amount of $1.0 billion and a term loan facility in the aggregate principal amount of $830.0 million. The 2016 Credit Agreement replaced our previous credit agreement and funds from the new term loan were used to repay the outstanding amounts under the previous credit agreement, to partially repay our other outstanding term loans and for general corporate purposes. At April 30, 2018, we had $805.7 million available under the revolving credit facility and $830.0 million outstanding under the term loan.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1, 2017, in connection with the PARAGARD acquisition, we entered into a new five-year, $1.425 billion, senior unsecured term loan agreement by and among the Company, the lenders party thereto and DNB Bank ASA, New York Branch, as administrative agent (2017 Term Loan Agreement) which matures on November 1, 2022. The Company used part of the facility to fund the PARAGARD acquisition and used the remainder of the funds to partially repay outstanding borrowings under our revolving credit agreement. At April 30, 2018, we had $1.425 billion outstanding under the term loan.</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If interest rates were to increase or decrease by 1% or 100 basis points, quarterly interest expense would increase or decrease by approximately $6.1 million based on average debt outstanding for the second fiscal quarter of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Note 5. Debt for additional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39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Controls and Procedures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management’s evaluation (with the participation of our Chief Executive Officer (our Principal Executive Officer) and Chief Financial Officer (our Principal Financial Officer)), as of the end of the period covered by this report, our Chief Executive Officer and Chief Financial Officer have concluded that our disclosure controls and procedures (as defined in Rules 13a-15(e) and 15d-15(e) under the Securities Exchange Act of 1934, as amended, (the “Exchange Act”)) are effective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management, including our Principal Executive Officer and Principal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November 1, 2017, the Company acquired PARAGARD. Management is reviewing and evaluating its internal control procedures and the design of those control procedures related to the PARAGARD acquisition and assessing when it will complete an evaluation and review of PARAGARD's internal controls over financial reporting.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as described above, there has been no change in our internal control over financial reporting that occurred during our second quarter of fiscal 2018,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9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Legal Proceedings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March 2015, over 50 putative class action complaints were filed by contact lens consumers alleging that contact lens manufacturers, in conjunction with their respective Unilateral Pricing Policy (UPP), conspired to reach agreements between each other and certain distributors and retailers regarding the prices at which certain contact lenses could be sold to consumers. The plaintiffs are seeking damages against CooperVision, Inc., other contact lens manufacturers, distributors and retailers, in various courts around the United States. In June 2015, all of the class action cases were consolidated and transferred to the United States District Court for the Middle District of Florida. In August 2017, CooperVision entered into a settlement agreement with the plaintiffs, without any admission of liability, to settle all claims against CooperVision. The Company recorded a settlement accrual of $3.0 million in the third quarter fiscal ended July 31, 2017. The settlement remains subject to Court approval, and the Court has set a June 19, 2018 hearing date for plaintiffs’ motion for preliminary approval of the settlement.</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Contingencies. Legal fees are expensed as incurred.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Risk factors describing the major risks to our business can be found under Item 1A. Risk Factors in our Annual Report on Form 10-K for the fiscal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October 31, 2017. Except for the risk factors set forth below, there have been no material changes in our risk factors from those previously discussed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10-K for the fiscal year October 31,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Reform</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22, 2017, the U.S. President signed The Tax Cuts and Jobs Act (“2017 Act”) into law. Consistent with SEC guidance, the Company has made a reasonable estimate of the effects of the 2017 Act and recorded provisional income tax expense of $202.0 million in the financial statements in the first quarter of fiscal 2018. Compliance with the 2017 Act may require the collection of information not regularly produced within the Company, the use of estimates in our financial statements, and the exercise of significant judgment in accounting for its provisions. As regulations and guidance evolve with respect to the 2017 Act, and as we gather more information and perform additional analysis, our results may differ from previous estimates and may materially affect our financial position. For additional information regarding the 2017 Act, see Note 6. Income Taxes.</w:t>
      </w:r>
    </w:p>
    <w:p>
      <w:pPr>
        <w:spacing w:after="0" w:line="174"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We manage our businesses utilizing complex integrated software and hardware information technology operating systems that are regularly maintained and upgraded; an interruption or disruption to these systems could disrupt our business or force us to expend excessive costs</w:t>
      </w:r>
      <w:r>
        <w:rPr>
          <w:rFonts w:ascii="Arial" w:cs="Arial" w:eastAsia="Arial" w:hAnsi="Arial"/>
          <w:sz w:val="17"/>
          <w:szCs w:val="17"/>
          <w:color w:val="auto"/>
        </w:rPr>
        <w:t>.</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utilize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assure that our systems will meet our future business needs or that upgrades will operate as designed. We cannot assure that there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391"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will not be associated excessive costs or disruptions in portions of our business in the course of our maintenance, support and/or upgrade of these systems.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in the midst of a multiyear process of implementing a new enterprise resource planning (ERP) system at CooperVision. Implementing a new ERP system is not only costly but complex and difficult. Implementing a new ERP system can negatively affect not only financial accounting and reporting processes but also external commercial activities such as order receipt and product delivery. There can be no assurance that we will successfully implement our new ERP system or that we will avoid these and other negative impacts from our implementation efforts.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size and complexity of our information systems make such systems potentially vulnerable to service interruptions or to security breaches from inadvertent or intentional actions by our employees or vendors, or from attacks by malicious third parties. Such attacks are of ever-increasing levels of sophistication and are made by groups and individuals with a wide range of motives and expertise. While we have invested in the protection of data and information technology, there can be no assurance that our efforts will prevent or quickly identify service interruptions or security breaches.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60"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Unregistered Sales of Equity Securities and Use of Proceeds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There was no share repurchase activity during the three-month period ended April 30, 2018.</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Share Repurchase Program was approved by the Company’s Board of Directors in December 2011 (2012 Share Repurchase Program). The program as amended in December 2012 and December 2013 provides authorization for a total of $500.0 million. In March 2017, the program was amended and approved by the Company's Board of Directors for an increase of $500.0 million, providing authorization for a total of $1.0 billion. Purchases under the 2012 Share Repurchase Program may be made from time-to-time on the open market at prevailing market prices or in privately negotiated transactions and are subject to a review of the circumstances in place at the time and will be made from time to time as permitted by securities laws and other legal requirements. This program has no expiration date and may be discontinued at any time.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At April 30, 2018, approximately $563.5 million remained authorized under the 2012 Share Repurchase Program.</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39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140" w:type="dxa"/>
            <w:vAlign w:val="bottom"/>
            <w:gridSpan w:val="5"/>
          </w:tcPr>
          <w:p>
            <w:pPr>
              <w:ind w:left="480"/>
              <w:spacing w:after="0"/>
              <w:rPr>
                <w:sz w:val="20"/>
                <w:szCs w:val="20"/>
                <w:color w:val="auto"/>
              </w:rPr>
            </w:pPr>
            <w:r>
              <w:rPr>
                <w:rFonts w:ascii="Arial" w:cs="Arial" w:eastAsia="Arial" w:hAnsi="Arial"/>
                <w:sz w:val="18"/>
                <w:szCs w:val="18"/>
                <w:color w:val="auto"/>
              </w:rPr>
              <w:t>THE COOPER COMPANIES, INC. AND SUBSIDIARIES</w:t>
            </w:r>
          </w:p>
        </w:tc>
      </w:tr>
      <w:tr>
        <w:trPr>
          <w:trHeight w:val="797"/>
        </w:trPr>
        <w:tc>
          <w:tcPr>
            <w:tcW w:w="1640" w:type="dxa"/>
            <w:vAlign w:val="bottom"/>
            <w:gridSpan w:val="4"/>
          </w:tcPr>
          <w:p>
            <w:pPr>
              <w:spacing w:after="0"/>
              <w:rPr>
                <w:sz w:val="20"/>
                <w:szCs w:val="20"/>
                <w:color w:val="auto"/>
              </w:rPr>
            </w:pPr>
            <w:r>
              <w:rPr>
                <w:rFonts w:ascii="Arial" w:cs="Arial" w:eastAsia="Arial" w:hAnsi="Arial"/>
                <w:sz w:val="18"/>
                <w:szCs w:val="18"/>
                <w:color w:val="auto"/>
              </w:rPr>
              <w:t>Item 6. Exhibits</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546"/>
        </w:trPr>
        <w:tc>
          <w:tcPr>
            <w:tcW w:w="11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Exhibit</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0"/>
        </w:trPr>
        <w:tc>
          <w:tcPr>
            <w:tcW w:w="1640" w:type="dxa"/>
            <w:vAlign w:val="bottom"/>
            <w:gridSpan w:val="4"/>
          </w:tcPr>
          <w:p>
            <w:pPr>
              <w:ind w:left="40"/>
              <w:spacing w:after="0" w:line="190" w:lineRule="exact"/>
              <w:rPr>
                <w:sz w:val="20"/>
                <w:szCs w:val="20"/>
                <w:color w:val="auto"/>
              </w:rPr>
            </w:pPr>
            <w:r>
              <w:rPr>
                <w:rFonts w:ascii="Arial" w:cs="Arial" w:eastAsia="Arial" w:hAnsi="Arial"/>
                <w:sz w:val="18"/>
                <w:szCs w:val="18"/>
                <w:color w:val="auto"/>
              </w:rPr>
              <w:t>Number</w:t>
            </w:r>
          </w:p>
        </w:tc>
        <w:tc>
          <w:tcPr>
            <w:tcW w:w="9580" w:type="dxa"/>
            <w:vAlign w:val="bottom"/>
            <w:gridSpan w:val="7"/>
          </w:tcPr>
          <w:p>
            <w:pPr>
              <w:spacing w:after="0" w:line="190" w:lineRule="exact"/>
              <w:rPr>
                <w:sz w:val="20"/>
                <w:szCs w:val="20"/>
                <w:color w:val="auto"/>
              </w:rPr>
            </w:pPr>
            <w:r>
              <w:rPr>
                <w:rFonts w:ascii="Arial" w:cs="Arial" w:eastAsia="Arial" w:hAnsi="Arial"/>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85"/>
        </w:trPr>
        <w:tc>
          <w:tcPr>
            <w:tcW w:w="4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8"/>
                <w:szCs w:val="18"/>
                <w:color w:val="auto"/>
                <w:w w:val="88"/>
              </w:rPr>
              <w:t>10.1#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tcBorders>
              <w:bottom w:val="single" w:sz="8" w:color="0000FF"/>
            </w:tcBorders>
            <w:gridSpan w:val="7"/>
          </w:tcPr>
          <w:p>
            <w:pPr>
              <w:spacing w:after="0"/>
              <w:rPr>
                <w:rFonts w:ascii="Arial" w:cs="Arial" w:eastAsia="Arial" w:hAnsi="Arial"/>
                <w:sz w:val="18"/>
                <w:szCs w:val="18"/>
                <w:color w:val="0000FF"/>
                <w:w w:val="89"/>
              </w:rPr>
            </w:pPr>
            <w:hyperlink w:anchor="page48">
              <w:r>
                <w:rPr>
                  <w:rFonts w:ascii="Arial" w:cs="Arial" w:eastAsia="Arial" w:hAnsi="Arial"/>
                  <w:sz w:val="18"/>
                  <w:szCs w:val="18"/>
                  <w:color w:val="0000FF"/>
                  <w:w w:val="89"/>
                </w:rPr>
                <w:t>Separation Agreement and Mutual General Release entered into by and between The Cooper Companies, Inc. and Carol R. Kaufman</w:t>
              </w:r>
            </w:hyperlink>
          </w:p>
        </w:tc>
      </w:tr>
      <w:tr>
        <w:trPr>
          <w:trHeight w:val="196"/>
        </w:trPr>
        <w:tc>
          <w:tcPr>
            <w:tcW w:w="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580" w:type="dxa"/>
            <w:vAlign w:val="bottom"/>
            <w:gridSpan w:val="7"/>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as of April 18, 2018</w:t>
              </w:r>
            </w:hyperlink>
          </w:p>
        </w:tc>
      </w:tr>
      <w:tr>
        <w:trPr>
          <w:trHeight w:val="20"/>
        </w:trPr>
        <w:tc>
          <w:tcPr>
            <w:tcW w:w="6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26"/>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gridSpan w:val="7"/>
          </w:tcPr>
          <w:p>
            <w:pPr>
              <w:spacing w:after="0"/>
              <w:rPr>
                <w:sz w:val="20"/>
                <w:szCs w:val="20"/>
                <w:color w:val="auto"/>
              </w:rPr>
            </w:pPr>
            <w:r>
              <w:rPr>
                <w:rFonts w:ascii="Arial" w:cs="Arial" w:eastAsia="Arial" w:hAnsi="Arial"/>
                <w:sz w:val="18"/>
                <w:szCs w:val="18"/>
                <w:color w:val="auto"/>
              </w:rPr>
              <w:t>Calculation of Earnings (Loss) Per Share</w:t>
            </w:r>
          </w:p>
        </w:tc>
      </w:tr>
      <w:tr>
        <w:trPr>
          <w:trHeight w:val="36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30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Certification of the Chief Executive Officer, pursuant to Rule 13a-14(a) under the Securities Exchange Act of 1934</w:t>
              </w:r>
            </w:hyperlink>
          </w:p>
        </w:tc>
        <w:tc>
          <w:tcPr>
            <w:tcW w:w="1280" w:type="dxa"/>
            <w:vAlign w:val="bottom"/>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31.2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gridSpan w:val="7"/>
          </w:tcPr>
          <w:p>
            <w:pPr>
              <w:spacing w:after="0"/>
              <w:rPr>
                <w:rFonts w:ascii="Arial" w:cs="Arial" w:eastAsia="Arial" w:hAnsi="Arial"/>
                <w:sz w:val="18"/>
                <w:szCs w:val="18"/>
                <w:color w:val="0000FF"/>
              </w:rPr>
            </w:pPr>
            <w:hyperlink w:anchor="page58">
              <w:r>
                <w:rPr>
                  <w:rFonts w:ascii="Arial" w:cs="Arial" w:eastAsia="Arial" w:hAnsi="Arial"/>
                  <w:sz w:val="18"/>
                  <w:szCs w:val="18"/>
                  <w:color w:val="0000FF"/>
                </w:rPr>
                <w:t>Certification of the Chief Financial Officer, pursuant to Rule 13a-14(a) under the Securities Exchange Act of 1934</w:t>
              </w:r>
            </w:hyperlink>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32.1</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78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1"/>
              </w:rPr>
            </w:pPr>
            <w:hyperlink w:anchor="page59">
              <w:r>
                <w:rPr>
                  <w:rFonts w:ascii="Arial" w:cs="Arial" w:eastAsia="Arial" w:hAnsi="Arial"/>
                  <w:sz w:val="18"/>
                  <w:szCs w:val="18"/>
                  <w:color w:val="0000FF"/>
                  <w:w w:val="91"/>
                </w:rPr>
                <w:t>Certification of the Chief Executive Officer, pursuant to 18 U.S.C. Section 1350</w:t>
              </w:r>
            </w:hyperlink>
          </w:p>
        </w:tc>
        <w:tc>
          <w:tcPr>
            <w:tcW w:w="2460" w:type="dxa"/>
            <w:vAlign w:val="bottom"/>
            <w:tcBorders>
              <w:top w:val="single" w:sz="8" w:color="0000FF"/>
            </w:tcBorders>
          </w:tcPr>
          <w:p>
            <w:pPr>
              <w:spacing w:after="0"/>
              <w:rPr>
                <w:sz w:val="24"/>
                <w:szCs w:val="24"/>
                <w:color w:val="auto"/>
              </w:rPr>
            </w:pPr>
          </w:p>
        </w:tc>
        <w:tc>
          <w:tcPr>
            <w:tcW w:w="1340" w:type="dxa"/>
            <w:vAlign w:val="bottom"/>
            <w:gridSpan w:val="2"/>
          </w:tcPr>
          <w:p>
            <w:pPr>
              <w:spacing w:after="0"/>
              <w:rPr>
                <w:sz w:val="24"/>
                <w:szCs w:val="24"/>
                <w:color w:val="auto"/>
              </w:rPr>
            </w:pPr>
          </w:p>
        </w:tc>
      </w:tr>
      <w:tr>
        <w:trPr>
          <w:trHeight w:val="385"/>
        </w:trPr>
        <w:tc>
          <w:tcPr>
            <w:tcW w:w="620" w:type="dxa"/>
            <w:vAlign w:val="bottom"/>
            <w:gridSpan w:val="2"/>
          </w:tcPr>
          <w:p>
            <w:pPr>
              <w:ind w:left="200"/>
              <w:spacing w:after="0"/>
              <w:rPr>
                <w:sz w:val="20"/>
                <w:szCs w:val="20"/>
                <w:color w:val="auto"/>
              </w:rPr>
            </w:pPr>
            <w:r>
              <w:rPr>
                <w:rFonts w:ascii="Arial" w:cs="Arial" w:eastAsia="Arial" w:hAnsi="Arial"/>
                <w:sz w:val="18"/>
                <w:szCs w:val="18"/>
                <w:color w:val="auto"/>
              </w:rPr>
              <w:t>32.2</w:t>
            </w: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580" w:type="dxa"/>
            <w:vAlign w:val="bottom"/>
            <w:gridSpan w:val="7"/>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Certification of the Chief Financial Officer, pursuant to 18 U.S.C. Section 1350</w:t>
              </w:r>
            </w:hyperlink>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left="1640" w:hanging="1443"/>
        <w:spacing w:after="0" w:line="255" w:lineRule="auto"/>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following materials from the Company's Quarterly Report on Form 10-Q for the three and six months periods ended April 30, 2018, formatted in Extensible Business Reporting Language (XBRL): (i) Consolidated Statements of Income for the three and six months ended April 30, 2018 and 2017, (ii) Consolidated Statements of Comprehensive Income (Loss) for the three and six months ended April 30, 2018 and 2017, (iii) Consolidated Condensed Balance Sheets at April 30, 2018 and October 31, 2017, (iv) Consolidated Condensed Statements of Cash Flows for the six months ended April 30, 2018 and 2017 and (v) related notes to consolidated condensed financial statements.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500" w:right="60" w:hanging="459"/>
        <w:spacing w:after="0" w:line="277" w:lineRule="auto"/>
        <w:rPr>
          <w:rFonts w:ascii="Arial" w:cs="Arial" w:eastAsia="Arial" w:hAnsi="Arial"/>
          <w:sz w:val="18"/>
          <w:szCs w:val="18"/>
          <w:color w:val="auto"/>
        </w:rPr>
      </w:pPr>
      <w:r>
        <w:rPr>
          <w:rFonts w:ascii="Arial" w:cs="Arial" w:eastAsia="Arial" w:hAnsi="Arial"/>
          <w:sz w:val="18"/>
          <w:szCs w:val="18"/>
          <w:color w:val="auto"/>
        </w:rPr>
        <w:t>*The information called for in this Exhibit is provided in Note 7. Earnings (Loss) Per Share to the Consolidated Condensed Financial Statements in this report</w:t>
      </w:r>
    </w:p>
    <w:p>
      <w:pPr>
        <w:spacing w:after="0" w:line="8" w:lineRule="exact"/>
        <w:rPr>
          <w:sz w:val="20"/>
          <w:szCs w:val="20"/>
          <w:color w:val="auto"/>
        </w:rPr>
      </w:pPr>
    </w:p>
    <w:p>
      <w:pPr>
        <w:ind w:left="500" w:hanging="465"/>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391"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SIGNATURE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The Cooper Companies,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Date: June 8, 2018</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Senior Vice President, Chief Financial Officer &amp; Treasurer</w:t>
      </w:r>
    </w:p>
    <w:p>
      <w:pPr>
        <w:spacing w:after="0" w:line="36"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40"/>
        <w:spacing w:after="0"/>
        <w:tabs>
          <w:tab w:leader="none" w:pos="7780" w:val="left"/>
        </w:tabs>
        <w:rPr>
          <w:sz w:val="20"/>
          <w:szCs w:val="20"/>
          <w:color w:val="auto"/>
        </w:rPr>
      </w:pPr>
      <w:r>
        <w:rPr>
          <w:rFonts w:ascii="Arial" w:cs="Arial" w:eastAsia="Arial" w:hAnsi="Arial"/>
          <w:sz w:val="18"/>
          <w:szCs w:val="18"/>
          <w:color w:val="auto"/>
        </w:rPr>
        <w:t>Date: June 8, 2018</w:t>
      </w:r>
      <w:r>
        <w:rPr>
          <w:sz w:val="20"/>
          <w:szCs w:val="20"/>
          <w:color w:val="auto"/>
        </w:rPr>
        <w:tab/>
      </w:r>
      <w:r>
        <w:rPr>
          <w:rFonts w:ascii="Arial" w:cs="Arial" w:eastAsia="Arial" w:hAnsi="Arial"/>
          <w:sz w:val="16"/>
          <w:szCs w:val="16"/>
          <w:color w:val="auto"/>
        </w:rPr>
        <w:t>/s/ Agostino Ricupati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7920"/>
        <w:spacing w:after="0"/>
        <w:rPr>
          <w:sz w:val="20"/>
          <w:szCs w:val="20"/>
          <w:color w:val="auto"/>
        </w:rPr>
      </w:pPr>
      <w:r>
        <w:rPr>
          <w:rFonts w:ascii="Arial" w:cs="Arial" w:eastAsia="Arial" w:hAnsi="Arial"/>
          <w:sz w:val="18"/>
          <w:szCs w:val="18"/>
          <w:color w:val="auto"/>
        </w:rPr>
        <w:t>Agostino Ricupati</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Chief Accounting Officer &amp; Senior Vice President, Finance &amp; Tax (Principal</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40"/>
          </w:cols>
          <w:pgMar w:left="240" w:top="391" w:right="319" w:bottom="1440" w:gutter="0" w:footer="0" w:header="0"/>
        </w:sectPr>
      </w:pPr>
    </w:p>
    <w:bookmarkStart w:id="47" w:name="page48"/>
    <w:bookmarkEnd w:id="47"/>
    <w:p>
      <w:pPr>
        <w:ind w:left="10420"/>
        <w:spacing w:after="0"/>
        <w:rPr>
          <w:sz w:val="20"/>
          <w:szCs w:val="20"/>
          <w:color w:val="auto"/>
        </w:rPr>
      </w:pPr>
      <w:r>
        <w:rPr>
          <w:rFonts w:ascii="Arial" w:cs="Arial" w:eastAsia="Arial" w:hAnsi="Arial"/>
          <w:sz w:val="16"/>
          <w:szCs w:val="16"/>
          <w:color w:val="auto"/>
        </w:rPr>
        <w:t>Exhibit 10.1</w:t>
      </w:r>
    </w:p>
    <w:p>
      <w:pPr>
        <w:spacing w:after="0" w:line="200" w:lineRule="exact"/>
        <w:rPr>
          <w:sz w:val="20"/>
          <w:szCs w:val="20"/>
          <w:color w:val="auto"/>
        </w:rPr>
      </w:pPr>
    </w:p>
    <w:p>
      <w:pPr>
        <w:spacing w:after="0" w:line="341" w:lineRule="exact"/>
        <w:rPr>
          <w:sz w:val="20"/>
          <w:szCs w:val="20"/>
          <w:color w:val="auto"/>
        </w:rPr>
      </w:pPr>
    </w:p>
    <w:p>
      <w:pPr>
        <w:jc w:val="center"/>
        <w:ind w:left="1040"/>
        <w:spacing w:after="0"/>
        <w:rPr>
          <w:sz w:val="20"/>
          <w:szCs w:val="20"/>
          <w:color w:val="auto"/>
        </w:rPr>
      </w:pPr>
      <w:r>
        <w:rPr>
          <w:rFonts w:ascii="Arial" w:cs="Arial" w:eastAsia="Arial" w:hAnsi="Arial"/>
          <w:sz w:val="18"/>
          <w:szCs w:val="18"/>
          <w:b w:val="1"/>
          <w:bCs w:val="1"/>
          <w:color w:val="auto"/>
        </w:rPr>
        <w:t>SEPARATION AGREEMENT AND MUTUAL GENERAL RELEASE</w:t>
      </w:r>
    </w:p>
    <w:p>
      <w:pPr>
        <w:spacing w:after="0" w:line="229" w:lineRule="exact"/>
        <w:rPr>
          <w:sz w:val="20"/>
          <w:szCs w:val="20"/>
          <w:color w:val="auto"/>
        </w:rPr>
      </w:pPr>
    </w:p>
    <w:p>
      <w:pPr>
        <w:jc w:val="both"/>
        <w:ind w:left="60" w:firstLine="648"/>
        <w:spacing w:after="0" w:line="226" w:lineRule="auto"/>
        <w:rPr>
          <w:sz w:val="20"/>
          <w:szCs w:val="20"/>
          <w:color w:val="auto"/>
        </w:rPr>
      </w:pPr>
      <w:r>
        <w:rPr>
          <w:rFonts w:ascii="Arial" w:cs="Arial" w:eastAsia="Arial" w:hAnsi="Arial"/>
          <w:sz w:val="18"/>
          <w:szCs w:val="18"/>
          <w:color w:val="auto"/>
        </w:rPr>
        <w:t>This Separation Agreement and Mutual General Release (this "</w:t>
      </w: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is made by and between The Cooper Companies, Inc., a Delaware corporation (the </w:t>
      </w:r>
      <w:r>
        <w:rPr>
          <w:rFonts w:ascii="Arial" w:cs="Arial" w:eastAsia="Arial" w:hAnsi="Arial"/>
          <w:sz w:val="18"/>
          <w:szCs w:val="18"/>
          <w:u w:val="single" w:color="auto"/>
          <w:color w:val="auto"/>
        </w:rPr>
        <w:t>" Company"),</w:t>
      </w:r>
      <w:r>
        <w:rPr>
          <w:rFonts w:ascii="Arial" w:cs="Arial" w:eastAsia="Arial" w:hAnsi="Arial"/>
          <w:sz w:val="18"/>
          <w:szCs w:val="18"/>
          <w:color w:val="auto"/>
        </w:rPr>
        <w:t xml:space="preserve"> and Carol R. Kaufman (the </w:t>
      </w: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effective as of the eight (8</w:t>
      </w:r>
      <w:r>
        <w:rPr>
          <w:rFonts w:ascii="Arial" w:cs="Arial" w:eastAsia="Arial" w:hAnsi="Arial"/>
          <w:sz w:val="25"/>
          <w:szCs w:val="25"/>
          <w:color w:val="auto"/>
          <w:vertAlign w:val="superscript"/>
        </w:rPr>
        <w:t>th</w:t>
      </w:r>
      <w:r>
        <w:rPr>
          <w:rFonts w:ascii="Arial" w:cs="Arial" w:eastAsia="Arial" w:hAnsi="Arial"/>
          <w:sz w:val="18"/>
          <w:szCs w:val="18"/>
          <w:color w:val="auto"/>
        </w:rPr>
        <w:t>) day following Employee's signature without revocation (the "Effective Date").</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exchange for the good and valuable consideration set forth herein, the adequacy of which is specifically acknowledged, Employee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hereby agree as follows:</w:t>
      </w:r>
    </w:p>
    <w:p>
      <w:pPr>
        <w:spacing w:after="0" w:line="238" w:lineRule="exact"/>
        <w:rPr>
          <w:sz w:val="20"/>
          <w:szCs w:val="20"/>
          <w:color w:val="auto"/>
        </w:rPr>
      </w:pPr>
    </w:p>
    <w:p>
      <w:pPr>
        <w:jc w:val="both"/>
        <w:ind w:left="600" w:firstLine="31"/>
        <w:spacing w:after="0" w:line="338" w:lineRule="auto"/>
        <w:tabs>
          <w:tab w:leader="none" w:pos="1424" w:val="left"/>
        </w:tabs>
        <w:numPr>
          <w:ilvl w:val="1"/>
          <w:numId w:val="20"/>
        </w:numPr>
        <w:rPr>
          <w:rFonts w:ascii="Arial" w:cs="Arial" w:eastAsia="Arial" w:hAnsi="Arial"/>
          <w:sz w:val="17"/>
          <w:szCs w:val="17"/>
          <w:color w:val="auto"/>
        </w:rPr>
      </w:pPr>
      <w:r>
        <w:rPr>
          <w:rFonts w:ascii="Arial" w:cs="Arial" w:eastAsia="Arial" w:hAnsi="Arial"/>
          <w:sz w:val="17"/>
          <w:szCs w:val="17"/>
          <w:u w:val="single" w:color="auto"/>
          <w:color w:val="auto"/>
        </w:rPr>
        <w:t>Separation Date.</w:t>
      </w:r>
      <w:r>
        <w:rPr>
          <w:rFonts w:ascii="Arial" w:cs="Arial" w:eastAsia="Arial" w:hAnsi="Arial"/>
          <w:sz w:val="17"/>
          <w:szCs w:val="17"/>
          <w:color w:val="auto"/>
        </w:rPr>
        <w:t xml:space="preserve"> Employee acknowledges that her status as Executive Vice President, Secretary, Chief Administrative Officer and Chief Governance Officer shall end on April 30, 2018 with her election to retire from, and relinquish, those titles and all duties and responsibilities associated with them. Further, from May 1, 2018 through December 31, 2018 (the "Separation Date"), Employee will remain an employee of the Company in an advisory and transitionary capacity as set forth herein and for services as requested by the Chief Executive Officer and will receive her current base salary through the Separation Date. No later than the Separation Date, Employee will receive a lump sum payment for all accrued but unused vacation days less applicable tax withholdings and other deductions. Upon January 1, 2019, Employee shall no longer be an employee of the Company, or of any subsidiary or affiliate of the Company.</w:t>
      </w:r>
    </w:p>
    <w:p>
      <w:pPr>
        <w:spacing w:after="0" w:line="179" w:lineRule="exact"/>
        <w:rPr>
          <w:rFonts w:ascii="Arial" w:cs="Arial" w:eastAsia="Arial" w:hAnsi="Arial"/>
          <w:sz w:val="17"/>
          <w:szCs w:val="17"/>
          <w:color w:val="auto"/>
        </w:rPr>
      </w:pPr>
    </w:p>
    <w:p>
      <w:pPr>
        <w:jc w:val="both"/>
        <w:ind w:left="600" w:firstLine="4"/>
        <w:spacing w:after="0" w:line="311" w:lineRule="auto"/>
        <w:tabs>
          <w:tab w:leader="none" w:pos="1437"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xml:space="preserve"> In consideration for signing this Agreement without revocation and a second General Release substantially similar to the General Release herein at the conclusion of her employment on December 31, 2018, and in compliance with the representations and promises made herein, the Company agrees:</w:t>
      </w:r>
    </w:p>
    <w:p>
      <w:pPr>
        <w:spacing w:after="0" w:line="154" w:lineRule="exact"/>
        <w:rPr>
          <w:rFonts w:ascii="Arial" w:cs="Arial" w:eastAsia="Arial" w:hAnsi="Arial"/>
          <w:sz w:val="18"/>
          <w:szCs w:val="18"/>
          <w:color w:val="auto"/>
        </w:rPr>
      </w:pPr>
    </w:p>
    <w:p>
      <w:pPr>
        <w:jc w:val="both"/>
        <w:ind w:left="600" w:firstLine="652"/>
        <w:spacing w:after="0" w:line="291" w:lineRule="auto"/>
        <w:tabs>
          <w:tab w:leader="none" w:pos="1660" w:val="left"/>
        </w:tabs>
        <w:numPr>
          <w:ilvl w:val="2"/>
          <w:numId w:val="21"/>
        </w:numPr>
        <w:rPr>
          <w:rFonts w:ascii="Arial" w:cs="Arial" w:eastAsia="Arial" w:hAnsi="Arial"/>
          <w:sz w:val="16"/>
          <w:szCs w:val="16"/>
          <w:color w:val="auto"/>
        </w:rPr>
      </w:pPr>
      <w:r>
        <w:rPr>
          <w:rFonts w:ascii="Arial" w:cs="Arial" w:eastAsia="Arial" w:hAnsi="Arial"/>
          <w:sz w:val="16"/>
          <w:szCs w:val="16"/>
          <w:color w:val="auto"/>
        </w:rPr>
        <w:t>To pay Employee on or before March 15, 2019, the gross amount of $711,810.60, which is equivalent to the combined amount of (i) ten (10) months of Employee's current base salary, (ii) an amount equal to the 2019 Incentive Payment Plan (IPP) bonus calculated at target achievement had Employee remained employed with Company through the end of Company's fiscal year 2019, and (iii) an amount equivalent to ten (10) months of Consolidated Omnibus Budget Reconciliation Act of 1985 ("COBRA") benefits continuation coverage premiums, currently calculated at fiscal 2018 premium rates, whether or not Employee elects to receive such continued healthcare coverage, less all tax withholdings and other deductions. Actual COBRA benefits continuation coverage premiums may vary for Company's fiscal year 2019 in which case the sum set forth above will be adjusted to reflect inclusion of an amount equal to ten (10) months at 2019 actual premium rates;</w:t>
      </w:r>
    </w:p>
    <w:p>
      <w:pPr>
        <w:spacing w:after="0" w:line="167" w:lineRule="exact"/>
        <w:rPr>
          <w:rFonts w:ascii="Arial" w:cs="Arial" w:eastAsia="Arial" w:hAnsi="Arial"/>
          <w:sz w:val="16"/>
          <w:szCs w:val="16"/>
          <w:color w:val="auto"/>
        </w:rPr>
      </w:pPr>
    </w:p>
    <w:p>
      <w:pPr>
        <w:jc w:val="both"/>
        <w:ind w:left="600" w:firstLine="652"/>
        <w:spacing w:after="0" w:line="312" w:lineRule="auto"/>
        <w:tabs>
          <w:tab w:leader="none" w:pos="1657" w:val="left"/>
        </w:tabs>
        <w:numPr>
          <w:ilvl w:val="2"/>
          <w:numId w:val="21"/>
        </w:numPr>
        <w:rPr>
          <w:rFonts w:ascii="Arial" w:cs="Arial" w:eastAsia="Arial" w:hAnsi="Arial"/>
          <w:sz w:val="16"/>
          <w:szCs w:val="16"/>
          <w:color w:val="auto"/>
        </w:rPr>
      </w:pPr>
      <w:r>
        <w:rPr>
          <w:rFonts w:ascii="Arial" w:cs="Arial" w:eastAsia="Arial" w:hAnsi="Arial"/>
          <w:sz w:val="16"/>
          <w:szCs w:val="16"/>
          <w:color w:val="auto"/>
        </w:rPr>
        <w:t>To pay Employee a gross amount which is equivalent to the combined amount of (i) one-half (1/2) of Employee's IPP bonus for 2018 at actual achievement, and (ii) one-half (1/2) of Employee's IPP bonus for 2018 at the greater of actual or target achievement, less all tax withholdings and other deductions, on the date the 2018 IPP bonus is paid to other eligible employees but in no event later than March 15, 2019;</w:t>
      </w:r>
    </w:p>
    <w:p>
      <w:pPr>
        <w:spacing w:after="0" w:line="173" w:lineRule="exact"/>
        <w:rPr>
          <w:rFonts w:ascii="Arial" w:cs="Arial" w:eastAsia="Arial" w:hAnsi="Arial"/>
          <w:sz w:val="16"/>
          <w:szCs w:val="16"/>
          <w:color w:val="auto"/>
        </w:rPr>
      </w:pPr>
    </w:p>
    <w:p>
      <w:pPr>
        <w:jc w:val="both"/>
        <w:ind w:left="600" w:firstLine="652"/>
        <w:spacing w:after="0" w:line="273" w:lineRule="auto"/>
        <w:tabs>
          <w:tab w:leader="none" w:pos="1652" w:val="left"/>
        </w:tabs>
        <w:numPr>
          <w:ilvl w:val="2"/>
          <w:numId w:val="21"/>
        </w:numPr>
        <w:rPr>
          <w:rFonts w:ascii="Arial" w:cs="Arial" w:eastAsia="Arial" w:hAnsi="Arial"/>
          <w:sz w:val="17"/>
          <w:szCs w:val="17"/>
          <w:color w:val="auto"/>
        </w:rPr>
      </w:pPr>
      <w:r>
        <w:rPr>
          <w:rFonts w:ascii="Arial" w:cs="Arial" w:eastAsia="Arial" w:hAnsi="Arial"/>
          <w:sz w:val="17"/>
          <w:szCs w:val="17"/>
          <w:color w:val="auto"/>
        </w:rPr>
        <w:t>To waive any right to forfeiture of performance shares awarded under the 2018 Performance Share Award Agreement for fiscal years 2018, 2019 and 2020 entered into between Company and Employee prior to the execution of this Agreement, with the result being all such performance shares awarded shall be non-forfeitable and not subject to proration despite the fact the Employee retired prior to the date some of such awards would otherwise have been earned. Other than the non-forfeiture provision, the earning of such performance shares awarded shall in all other respects remain subject to the terms of the 2016, 2017 and 2018 Performance Share Award Agreements. Except as set forth herein, Employee shall not be entitled to any new or additional performance share awards;</w:t>
      </w:r>
    </w:p>
    <w:p>
      <w:pPr>
        <w:spacing w:after="0" w:line="354" w:lineRule="exact"/>
        <w:rPr>
          <w:rFonts w:ascii="Arial" w:cs="Arial" w:eastAsia="Arial" w:hAnsi="Arial"/>
          <w:sz w:val="17"/>
          <w:szCs w:val="17"/>
          <w:color w:val="auto"/>
        </w:rPr>
      </w:pPr>
    </w:p>
    <w:p>
      <w:pPr>
        <w:jc w:val="both"/>
        <w:ind w:left="640" w:firstLine="653"/>
        <w:spacing w:after="0" w:line="257" w:lineRule="auto"/>
        <w:tabs>
          <w:tab w:leader="none" w:pos="1720" w:val="left"/>
        </w:tabs>
        <w:numPr>
          <w:ilvl w:val="3"/>
          <w:numId w:val="21"/>
        </w:numPr>
        <w:rPr>
          <w:rFonts w:ascii="Arial" w:cs="Arial" w:eastAsia="Arial" w:hAnsi="Arial"/>
          <w:sz w:val="18"/>
          <w:szCs w:val="18"/>
          <w:color w:val="auto"/>
        </w:rPr>
      </w:pPr>
      <w:r>
        <w:rPr>
          <w:rFonts w:ascii="Arial" w:cs="Arial" w:eastAsia="Arial" w:hAnsi="Arial"/>
          <w:sz w:val="18"/>
          <w:szCs w:val="18"/>
          <w:color w:val="auto"/>
        </w:rPr>
        <w:t>To waive any right the Company may have reserved to itself under the IPP, Second and Third Amended and Restated 2007 Long-Term Incentive Plans, any Long Term Performance Share Award Agreement, Deferred Stock Agreement, Non-Qualified Stock Option Agreement, any other agreement between the Company and Employee, or any Company policy to adjust any award or payment to avoid triggering the loss of the corporate tax deduction for compensation paid pursuant to Internal Revenue Code Section 162 (m), applicable Treasury Regulations, and any other agency guidance issued or court decision rendered thereunder;</w:t>
      </w:r>
    </w:p>
    <w:p>
      <w:pPr>
        <w:sectPr>
          <w:pgSz w:w="11900" w:h="16838" w:orient="portrait"/>
          <w:cols w:equalWidth="0" w:num="1">
            <w:col w:w="11300"/>
          </w:cols>
          <w:pgMar w:left="360" w:top="125" w:right="239" w:bottom="1440" w:gutter="0" w:footer="0" w:header="0"/>
        </w:sectPr>
      </w:pPr>
    </w:p>
    <w:bookmarkStart w:id="48" w:name="page49"/>
    <w:bookmarkEnd w:id="48"/>
    <w:p>
      <w:pPr>
        <w:ind w:left="9803"/>
        <w:spacing w:after="0"/>
        <w:rPr>
          <w:sz w:val="20"/>
          <w:szCs w:val="20"/>
          <w:color w:val="auto"/>
        </w:rPr>
      </w:pPr>
      <w:r>
        <w:rPr>
          <w:rFonts w:ascii="Arial" w:cs="Arial" w:eastAsia="Arial" w:hAnsi="Arial"/>
          <w:sz w:val="16"/>
          <w:szCs w:val="16"/>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63" w:hanging="387"/>
        <w:spacing w:after="0"/>
        <w:tabs>
          <w:tab w:leader="none" w:pos="1063" w:val="left"/>
        </w:tabs>
        <w:numPr>
          <w:ilvl w:val="3"/>
          <w:numId w:val="22"/>
        </w:numPr>
        <w:rPr>
          <w:rFonts w:ascii="Arial" w:cs="Arial" w:eastAsia="Arial" w:hAnsi="Arial"/>
          <w:sz w:val="16"/>
          <w:szCs w:val="16"/>
          <w:color w:val="auto"/>
        </w:rPr>
      </w:pPr>
      <w:r>
        <w:rPr>
          <w:rFonts w:ascii="Arial" w:cs="Arial" w:eastAsia="Arial" w:hAnsi="Arial"/>
          <w:sz w:val="16"/>
          <w:szCs w:val="16"/>
          <w:color w:val="auto"/>
        </w:rPr>
        <w:t>To reimburse Employee her reasonable attorney fees and expenses incurred in connection with the negotiation and preparation of this</w:t>
      </w:r>
    </w:p>
    <w:p>
      <w:pPr>
        <w:spacing w:after="0" w:line="59" w:lineRule="exact"/>
        <w:rPr>
          <w:rFonts w:ascii="Arial" w:cs="Arial" w:eastAsia="Arial" w:hAnsi="Arial"/>
          <w:sz w:val="16"/>
          <w:szCs w:val="16"/>
          <w:color w:val="auto"/>
        </w:rPr>
      </w:pPr>
    </w:p>
    <w:p>
      <w:pPr>
        <w:ind w:left="23"/>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jc w:val="both"/>
        <w:ind w:left="3" w:firstLine="659"/>
        <w:spacing w:after="0" w:line="269" w:lineRule="auto"/>
        <w:tabs>
          <w:tab w:leader="none" w:pos="1141" w:val="left"/>
        </w:tabs>
        <w:numPr>
          <w:ilvl w:val="2"/>
          <w:numId w:val="23"/>
        </w:numPr>
        <w:rPr>
          <w:rFonts w:ascii="Arial" w:cs="Arial" w:eastAsia="Arial" w:hAnsi="Arial"/>
          <w:sz w:val="17"/>
          <w:szCs w:val="17"/>
          <w:color w:val="auto"/>
        </w:rPr>
      </w:pPr>
      <w:r>
        <w:rPr>
          <w:rFonts w:ascii="Arial" w:cs="Arial" w:eastAsia="Arial" w:hAnsi="Arial"/>
          <w:sz w:val="17"/>
          <w:szCs w:val="17"/>
          <w:color w:val="auto"/>
        </w:rPr>
        <w:t>From May 1, 2018 through December 31, 2018, Employee shall act in an advisory capacity and the Company shall continue to pay her salary and benefits as of April 30, 2018, per the Company's usual and regular payroll schedule. Employee shall continue to have access to an office at Company's facilities but acknowledges and agrees that she shall have no formal day to day role or responsibility with Company but will be available for transition matters as may be reasonably requested by the Company, for example execution of authorizations and related delegations to resign Employee from boards of the Company and its affiliates. During the period of her advisory or transitionary role, Employee acknowledges and agrees that, absent a specific request by the Chief Executive Officer, she shall not bind the Company with respect to third parties in any regard nor incur any expenses subject to reimbursement by the Company unless such expenses have been preapproved by the Company. Employee shall return her corporate credit card(s), if any, on or before May 1, 2018. Further, Employee's network access for purposes of e-mail communication shall remain open provided Employee does not use the network access to engage in or influence ongoing business operations except as may be requested by the Company. The Company may limit or disconnect network access if it reasonably determines that Employee has used such access contrary to the scope set forth herein.</w:t>
      </w:r>
    </w:p>
    <w:p>
      <w:pPr>
        <w:spacing w:after="0" w:line="385" w:lineRule="exact"/>
        <w:rPr>
          <w:rFonts w:ascii="Arial" w:cs="Arial" w:eastAsia="Arial" w:hAnsi="Arial"/>
          <w:sz w:val="17"/>
          <w:szCs w:val="17"/>
          <w:color w:val="auto"/>
        </w:rPr>
      </w:pPr>
    </w:p>
    <w:p>
      <w:pPr>
        <w:jc w:val="both"/>
        <w:ind w:left="3" w:hanging="3"/>
        <w:spacing w:after="0" w:line="349" w:lineRule="auto"/>
        <w:tabs>
          <w:tab w:leader="none" w:pos="78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The Company will withhold applicable taxes from any payment of taxable income to Employee as required by law. To the extent any taxes may be payable by Employee for the benefits provided to Employee under this Agreement beyond those withheld by the Company, Employee agrees to pay such taxes. However, the Company agrees to hold Employee, the Employee's estate or beneficiaries, as the case may be, harmless for any tax penalties, interest, and associated attorney and accountant fees and costs, imposed under Section 409A of the Internal Revenue Code of 1986, as amended (the "Code") resulting from the Company's failure to make payments timely to Employee as set forth herein.</w:t>
      </w:r>
    </w:p>
    <w:p>
      <w:pPr>
        <w:spacing w:after="0" w:line="336" w:lineRule="exact"/>
        <w:rPr>
          <w:rFonts w:ascii="Arial" w:cs="Arial" w:eastAsia="Arial" w:hAnsi="Arial"/>
          <w:sz w:val="16"/>
          <w:szCs w:val="16"/>
          <w:color w:val="auto"/>
        </w:rPr>
      </w:pPr>
    </w:p>
    <w:p>
      <w:pPr>
        <w:jc w:val="both"/>
        <w:ind w:left="43" w:hanging="2"/>
        <w:spacing w:after="0" w:line="311" w:lineRule="auto"/>
        <w:tabs>
          <w:tab w:leader="none" w:pos="826"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Full Payment.</w:t>
      </w:r>
      <w:r>
        <w:rPr>
          <w:rFonts w:ascii="Arial" w:cs="Arial" w:eastAsia="Arial" w:hAnsi="Arial"/>
          <w:sz w:val="18"/>
          <w:szCs w:val="18"/>
          <w:color w:val="auto"/>
        </w:rPr>
        <w:t xml:space="preserve"> Employee acknowledges that the payment and arrangements herein shall constitute full and complete satisfaction of any and all amounts due and owing to Employee as a result of her employment with the Company and any subsidiary or affiliate thereof, and the separation thereof, including without limitation all wages and accrued and unused paid time-off benefits.</w:t>
      </w:r>
    </w:p>
    <w:p>
      <w:pPr>
        <w:spacing w:after="0" w:line="167" w:lineRule="exact"/>
        <w:rPr>
          <w:rFonts w:ascii="Arial" w:cs="Arial" w:eastAsia="Arial" w:hAnsi="Arial"/>
          <w:sz w:val="18"/>
          <w:szCs w:val="18"/>
          <w:color w:val="auto"/>
        </w:rPr>
      </w:pPr>
    </w:p>
    <w:p>
      <w:pPr>
        <w:ind w:left="683" w:hanging="642"/>
        <w:spacing w:after="0"/>
        <w:tabs>
          <w:tab w:leader="none" w:pos="683"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General Releases.</w:t>
      </w:r>
    </w:p>
    <w:p>
      <w:pPr>
        <w:spacing w:after="0" w:line="238" w:lineRule="exact"/>
        <w:rPr>
          <w:rFonts w:ascii="Arial" w:cs="Arial" w:eastAsia="Arial" w:hAnsi="Arial"/>
          <w:sz w:val="18"/>
          <w:szCs w:val="18"/>
          <w:color w:val="auto"/>
        </w:rPr>
      </w:pPr>
    </w:p>
    <w:p>
      <w:pPr>
        <w:jc w:val="both"/>
        <w:ind w:left="23" w:firstLine="666"/>
        <w:spacing w:after="0" w:line="286" w:lineRule="auto"/>
        <w:tabs>
          <w:tab w:leader="none" w:pos="1115" w:val="left"/>
        </w:tabs>
        <w:numPr>
          <w:ilvl w:val="4"/>
          <w:numId w:val="24"/>
        </w:numPr>
        <w:rPr>
          <w:rFonts w:ascii="Arial" w:cs="Arial" w:eastAsia="Arial" w:hAnsi="Arial"/>
          <w:sz w:val="16"/>
          <w:szCs w:val="16"/>
          <w:color w:val="auto"/>
        </w:rPr>
      </w:pPr>
      <w:r>
        <w:rPr>
          <w:rFonts w:ascii="Arial" w:cs="Arial" w:eastAsia="Arial" w:hAnsi="Arial"/>
          <w:sz w:val="16"/>
          <w:szCs w:val="16"/>
          <w:color w:val="auto"/>
        </w:rPr>
        <w:t xml:space="preserve">As a material inducement for the Company to enter into this Agreement, and in exchange for the Company's promises under this Agreement and except as otherwise provided for in (b) below, Employee knowingly and voluntarily waives and releases all rights and claims, known and unknown, which Employee may have against the Company and/or any of the Company's related or affiliated entities or successors, or any of their current or former officers, directors, managers, employees, agents, insurance carriers, auditors, accountants, attorneys or representatives (collectively, the "Company Released Parties"), including any and all charges, complaints, claims, liabilities, obligations, promises, agreements, contracts, controversies, damages, actions, causes of action, suits, rights, demands, costs, losses, debts and expenses of any kind. This includes, but is not limited to, claims for employment discrimination, harassment, wrongful separation, constructive separation, violation of public policy, breach of any express or implied contract, breach of any implied covenant, fraud, intentional or negligent misrepresentation, emotional distress, defamation or any other claims relating to Employee's relationship with the Company. This also includes a release of any claims under any federal, state or local laws or regulations, including, but not limited to: (i) Title VII of the Civil Rights Act of 1964, 42 U.S.C. § 2000(e) et </w:t>
      </w:r>
      <w:r>
        <w:rPr>
          <w:rFonts w:ascii="Arial" w:cs="Arial" w:eastAsia="Arial" w:hAnsi="Arial"/>
          <w:sz w:val="16"/>
          <w:szCs w:val="16"/>
          <w:u w:val="single" w:color="auto"/>
          <w:color w:val="auto"/>
        </w:rPr>
        <w:t>seq.</w:t>
      </w:r>
      <w:r>
        <w:rPr>
          <w:rFonts w:ascii="Arial" w:cs="Arial" w:eastAsia="Arial" w:hAnsi="Arial"/>
          <w:sz w:val="16"/>
          <w:szCs w:val="16"/>
          <w:color w:val="auto"/>
        </w:rPr>
        <w:t xml:space="preserve"> (race, color, religion, sex and national origin discrimination); (ii) the Age Discrimination in Employment Act, 29 U.S.C. § 621 et </w:t>
      </w:r>
      <w:r>
        <w:rPr>
          <w:rFonts w:ascii="Arial" w:cs="Arial" w:eastAsia="Arial" w:hAnsi="Arial"/>
          <w:sz w:val="16"/>
          <w:szCs w:val="16"/>
          <w:u w:val="single" w:color="auto"/>
          <w:color w:val="auto"/>
        </w:rPr>
        <w:t>seq</w:t>
      </w:r>
      <w:r>
        <w:rPr>
          <w:rFonts w:ascii="Arial" w:cs="Arial" w:eastAsia="Arial" w:hAnsi="Arial"/>
          <w:sz w:val="16"/>
          <w:szCs w:val="16"/>
          <w:color w:val="auto"/>
        </w:rPr>
        <w:t>. (the "</w:t>
      </w:r>
      <w:r>
        <w:rPr>
          <w:rFonts w:ascii="Arial" w:cs="Arial" w:eastAsia="Arial" w:hAnsi="Arial"/>
          <w:sz w:val="16"/>
          <w:szCs w:val="16"/>
          <w:u w:val="single" w:color="auto"/>
          <w:color w:val="auto"/>
        </w:rPr>
        <w:t>ADEA'</w:t>
      </w:r>
      <w:r>
        <w:rPr>
          <w:rFonts w:ascii="Arial" w:cs="Arial" w:eastAsia="Arial" w:hAnsi="Arial"/>
          <w:sz w:val="16"/>
          <w:szCs w:val="16"/>
          <w:color w:val="auto"/>
        </w:rPr>
        <w:t xml:space="preserve">') (age discrimination); (iii) Section 1981 of the Civil Rights Act of 1866, 42 U.S.C. 1981 (race discrimination); (iv) the Equal Pay Act of 1963, 29 U.S.C. § 206 (equal pay); (v) the Fair Labor Standards Act, 29 U.S.C. § 201, et seq. (wage and hour matters, including overtime pay); (vi) Executive Order 11141 (age discrimination); (vii) Section 503 of the Rehabilitation Act of 1973, 29 U.S.C. § 701, et </w:t>
      </w:r>
      <w:r>
        <w:rPr>
          <w:rFonts w:ascii="Arial" w:cs="Arial" w:eastAsia="Arial" w:hAnsi="Arial"/>
          <w:sz w:val="16"/>
          <w:szCs w:val="16"/>
          <w:u w:val="single" w:color="auto"/>
          <w:color w:val="auto"/>
        </w:rPr>
        <w:t>seq</w:t>
      </w:r>
      <w:r>
        <w:rPr>
          <w:rFonts w:ascii="Arial" w:cs="Arial" w:eastAsia="Arial" w:hAnsi="Arial"/>
          <w:sz w:val="16"/>
          <w:szCs w:val="16"/>
          <w:color w:val="auto"/>
        </w:rPr>
        <w:t>.</w:t>
      </w:r>
    </w:p>
    <w:p>
      <w:pPr>
        <w:sectPr>
          <w:pgSz w:w="11900" w:h="16838" w:orient="portrait"/>
          <w:cols w:equalWidth="0" w:num="1">
            <w:col w:w="10683"/>
          </w:cols>
          <w:pgMar w:left="977"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(disability discrimination); (viii) Employee Retirement Income Security Act of 1974, as amended, 29 U.S.C. § 1001, et </w:t>
      </w:r>
      <w:r>
        <w:rPr>
          <w:rFonts w:ascii="Arial" w:cs="Arial" w:eastAsia="Arial" w:hAnsi="Arial"/>
          <w:sz w:val="16"/>
          <w:szCs w:val="16"/>
          <w:u w:val="single" w:color="auto"/>
          <w:color w:val="auto"/>
        </w:rPr>
        <w:t>seq</w:t>
      </w:r>
      <w:r>
        <w:rPr>
          <w:rFonts w:ascii="Arial" w:cs="Arial" w:eastAsia="Arial" w:hAnsi="Arial"/>
          <w:sz w:val="16"/>
          <w:szCs w:val="16"/>
          <w:color w:val="auto"/>
        </w:rPr>
        <w:t>. (Employee benefits);</w:t>
      </w:r>
    </w:p>
    <w:p>
      <w:pPr>
        <w:spacing w:after="0" w:line="46" w:lineRule="exact"/>
        <w:rPr>
          <w:sz w:val="20"/>
          <w:szCs w:val="20"/>
          <w:color w:val="auto"/>
        </w:rPr>
      </w:pPr>
    </w:p>
    <w:p>
      <w:pPr>
        <w:jc w:val="both"/>
        <w:ind w:firstLine="4"/>
        <w:spacing w:after="0" w:line="254" w:lineRule="auto"/>
        <w:tabs>
          <w:tab w:leader="none" w:pos="3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Title I of the Americans with Disabilities Act (disability discrimination); and (x) any applicable state law counterpart of any of the foregoing, including the California Fair Employment and Housing Act, the California Family Rights Act and claims for wages under the California Labor Code. The matters that are the subject of the releases referred to in this Section 5(a) shall be referred to collectively as the </w:t>
      </w:r>
      <w:r>
        <w:rPr>
          <w:rFonts w:ascii="Arial" w:cs="Arial" w:eastAsia="Arial" w:hAnsi="Arial"/>
          <w:sz w:val="18"/>
          <w:szCs w:val="18"/>
          <w:u w:val="single" w:color="auto"/>
          <w:color w:val="auto"/>
        </w:rPr>
        <w:t>"Company Released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Matters."</w:t>
      </w:r>
    </w:p>
    <w:p>
      <w:pPr>
        <w:spacing w:after="0" w:line="189" w:lineRule="exact"/>
        <w:rPr>
          <w:rFonts w:ascii="Arial" w:cs="Arial" w:eastAsia="Arial" w:hAnsi="Arial"/>
          <w:sz w:val="18"/>
          <w:szCs w:val="18"/>
          <w:color w:val="auto"/>
        </w:rPr>
      </w:pPr>
    </w:p>
    <w:p>
      <w:pPr>
        <w:jc w:val="both"/>
        <w:ind w:firstLine="666"/>
        <w:spacing w:after="0" w:line="254" w:lineRule="auto"/>
        <w:tabs>
          <w:tab w:leader="none" w:pos="1074"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Notwithstanding the generality of the foregoing, Employee does not release (i) claims for unemployment compensation or any state disability insurance benefits pursuant to the terms of applicable state law; (ii) claims to continued participation in certain of the Company's group benefit plans pursuant to the terms and conditions of COBRA; (iii) claims to any benefit entitlements vested as the Separation Date, pursuant to written terms of any employee benefit plan of the Company or its subsidiaries, this Agreement or other written agreement between the Company and Employee; (iv) Employee's right to bring to the attention of the Equal Employment Opportunity Commission or similar state agency claims of discrimination; </w:t>
      </w:r>
      <w:r>
        <w:rPr>
          <w:rFonts w:ascii="Arial" w:cs="Arial" w:eastAsia="Arial" w:hAnsi="Arial"/>
          <w:sz w:val="18"/>
          <w:szCs w:val="18"/>
          <w:u w:val="single" w:color="auto"/>
          <w:color w:val="auto"/>
        </w:rPr>
        <w:t>provided, however,</w:t>
      </w:r>
      <w:r>
        <w:rPr>
          <w:rFonts w:ascii="Arial" w:cs="Arial" w:eastAsia="Arial" w:hAnsi="Arial"/>
          <w:sz w:val="18"/>
          <w:szCs w:val="18"/>
          <w:color w:val="auto"/>
        </w:rPr>
        <w:t xml:space="preserve"> that Employee does waive Employee's right to secure any damages for alleged discriminatory treatment; and (v) any obligation of the Company under California Labor Code Section 2802 or the indemnification provisions of the Company's Certificate of Incorporation or Bylaws.</w:t>
      </w:r>
    </w:p>
    <w:p>
      <w:pPr>
        <w:spacing w:after="0" w:line="219" w:lineRule="exact"/>
        <w:rPr>
          <w:rFonts w:ascii="Arial" w:cs="Arial" w:eastAsia="Arial" w:hAnsi="Arial"/>
          <w:sz w:val="18"/>
          <w:szCs w:val="18"/>
          <w:color w:val="auto"/>
        </w:rPr>
      </w:pPr>
    </w:p>
    <w:p>
      <w:pPr>
        <w:jc w:val="both"/>
        <w:ind w:firstLine="653"/>
        <w:spacing w:after="0" w:line="344" w:lineRule="auto"/>
        <w:tabs>
          <w:tab w:leader="none" w:pos="1408" w:val="left"/>
        </w:tabs>
        <w:numPr>
          <w:ilvl w:val="1"/>
          <w:numId w:val="25"/>
        </w:numPr>
        <w:rPr>
          <w:rFonts w:ascii="Arial" w:cs="Arial" w:eastAsia="Arial" w:hAnsi="Arial"/>
          <w:sz w:val="16"/>
          <w:szCs w:val="16"/>
          <w:color w:val="auto"/>
        </w:rPr>
      </w:pPr>
      <w:r>
        <w:rPr>
          <w:rFonts w:ascii="Arial" w:cs="Arial" w:eastAsia="Arial" w:hAnsi="Arial"/>
          <w:sz w:val="16"/>
          <w:szCs w:val="16"/>
          <w:color w:val="auto"/>
        </w:rPr>
        <w:t>As a material inducement for the Employee to enter into this Agreement, and in exchange for the Employee's promises under this Agreement, the Company knowingly and voluntarily waives and releases all rights and claims, known and unknown, which the Company may have against the Employee and/or any of the Employee's agents, insurance carriers, auditors, accountants, attorneys or representatives (collectively, the "Employee Released Parties"), including any and all charges, complaints, claims, liabilities, obligations, promises, agreements, contracts, controversies, damages, actions, causes of action, suits, rights, demands, costs, losses, debts and expenses of any kind. This includes, but is not limited to, all claims related to breach of any express or implied contract, breach of any implied covenant, fraud, intentional or negligent misrepresentation, defamation or any other claims relating to Employee's relationship with the Company.</w:t>
      </w:r>
    </w:p>
    <w:p>
      <w:pPr>
        <w:spacing w:after="0" w:line="341" w:lineRule="exact"/>
        <w:rPr>
          <w:rFonts w:ascii="Arial" w:cs="Arial" w:eastAsia="Arial" w:hAnsi="Arial"/>
          <w:sz w:val="16"/>
          <w:szCs w:val="16"/>
          <w:color w:val="auto"/>
        </w:rPr>
      </w:pPr>
    </w:p>
    <w:p>
      <w:pPr>
        <w:jc w:val="both"/>
        <w:ind w:firstLine="653"/>
        <w:spacing w:after="0" w:line="302" w:lineRule="auto"/>
        <w:tabs>
          <w:tab w:leader="none" w:pos="147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PARTIES ACKNOWLEDGE THAT THEY HAVE BEEN ADVISED OF AND ARE FAMILIAR WITH THE PROVISIONS OF CALIFORNIA CIVIL CODE SECTION 1542, WHICH PROVIDES AS FOLLOWS: "A GENERAL RELEASE DOES NOT EXTEND TO CLAIMS WHICH THE CREDITOR DOES NOT KNOW OR SUSPECT TO EXIST IN HIS OR HER FAVOR AT THE TIME OF EXECUTING THE RELEASE, WHICH IF KNOWN BY HIM OR HER MUST HAVE MATERIALLY AFFECTED HIS OR HER SETTLEMENT WITH THE DEBTOR." BEING AWARE OF SAID CODE SECTION, EMPLOYEE AND THE COMPANY EACH HEREBY EXPRESSLY WAIVES ANY RIGHTS SHE OR IT MAY HAVE THEREUNDER, AS WELL AS UNDER ANY OTHER STATUTES OR COMMON LAW PRINCIPLES OF SIMILAR EFFECT.</w:t>
      </w:r>
    </w:p>
    <w:p>
      <w:pPr>
        <w:spacing w:after="0" w:line="365" w:lineRule="exact"/>
        <w:rPr>
          <w:sz w:val="20"/>
          <w:szCs w:val="20"/>
          <w:color w:val="auto"/>
        </w:rPr>
      </w:pPr>
    </w:p>
    <w:p>
      <w:pPr>
        <w:jc w:val="both"/>
        <w:ind w:firstLine="4"/>
        <w:spacing w:after="0" w:line="311" w:lineRule="auto"/>
        <w:tabs>
          <w:tab w:leader="none" w:pos="756"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xml:space="preserve"> Employee agrees that neither this Agreement nor furnishing consideration under this Agreement shall be deemed or construed at any time for any purposes as an admission by the Company Released Parties of any liability, wrongdoing or unlawful conduct of any kind.</w:t>
      </w:r>
    </w:p>
    <w:p>
      <w:pPr>
        <w:spacing w:after="0" w:line="356" w:lineRule="exact"/>
        <w:rPr>
          <w:rFonts w:ascii="Arial" w:cs="Arial" w:eastAsia="Arial" w:hAnsi="Arial"/>
          <w:sz w:val="18"/>
          <w:szCs w:val="18"/>
          <w:color w:val="auto"/>
        </w:rPr>
      </w:pPr>
    </w:p>
    <w:p>
      <w:pPr>
        <w:ind w:left="660" w:hanging="656"/>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Other Agreements.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firstLine="653"/>
        <w:spacing w:after="0" w:line="257" w:lineRule="auto"/>
        <w:tabs>
          <w:tab w:leader="none" w:pos="1176"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Non-Solicitation and Non-Interference.</w:t>
      </w:r>
      <w:r>
        <w:rPr>
          <w:rFonts w:ascii="Arial" w:cs="Arial" w:eastAsia="Arial" w:hAnsi="Arial"/>
          <w:sz w:val="18"/>
          <w:szCs w:val="18"/>
          <w:color w:val="auto"/>
        </w:rPr>
        <w:t xml:space="preserve"> Employee shall not knowingly, directly or indirectly, (i) solicit, attempt to solicit or influence, any individual to leave the Company's employ or alter such person's employment or independent contractor relationship with the Company, or (ii) interfere in any other matter with the employment relationships or good will at the time existing between the Company and its current or prospective officers, employees, consultants, agents, independent contractors, advisors, suppliers, customers or any other person or entity that does business with the Company.</w:t>
      </w:r>
    </w:p>
    <w:p>
      <w:pPr>
        <w:sectPr>
          <w:pgSz w:w="11900" w:h="16838" w:orient="portrait"/>
          <w:cols w:equalWidth="0" w:num="1">
            <w:col w:w="10660"/>
          </w:cols>
          <w:pgMar w:left="100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68" w:lineRule="exact"/>
        <w:rPr>
          <w:sz w:val="20"/>
          <w:szCs w:val="20"/>
          <w:color w:val="auto"/>
        </w:rPr>
      </w:pPr>
    </w:p>
    <w:p>
      <w:pPr>
        <w:jc w:val="both"/>
        <w:ind w:left="2" w:firstLine="646"/>
        <w:spacing w:after="0" w:line="270" w:lineRule="auto"/>
        <w:tabs>
          <w:tab w:leader="none" w:pos="1148"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No Public Statements/Non-Disparagement.</w:t>
      </w:r>
      <w:r>
        <w:rPr>
          <w:rFonts w:ascii="Arial" w:cs="Arial" w:eastAsia="Arial" w:hAnsi="Arial"/>
          <w:sz w:val="17"/>
          <w:szCs w:val="17"/>
          <w:color w:val="auto"/>
        </w:rPr>
        <w:t xml:space="preserve"> Employee agrees that she shall make no public statements about the Company, its affiliates and their respective affiliates, directors, officers, agents, partners, shareholders or Employees, without the prior approval of the Company's Chief Executive Officer or General Counsel. Employee further agrees that she shall not disparage or defame the Company, its affiliates and their respective affiliates, directors, officers, agents, partners, shareholders or employees . The Company shall admonish its directors and Section 16 officers not to disparage or defame Employee. This section is not intended to prevent any member of the Company Control Group from making honest and accurate statements in the course of completing their duties on behalf of Company. This section shall not apply on occasions when a party is subpoenaed or ordered by a court or other governmental authority to testify or give evidence and must, of course, respond truthfully, to conduct otherwise protected by law, or to conduct or testimony in the context of enforcing the terms of this Agreement or other rights, powers, privileges, or claims not released by this Agreement. Further, nothing herein constitutes a waiver of, nor precludes, either party's right to assert a claim for libel, slander or defamation.</w:t>
      </w:r>
    </w:p>
    <w:p>
      <w:pPr>
        <w:spacing w:after="0" w:line="353" w:lineRule="exact"/>
        <w:rPr>
          <w:rFonts w:ascii="Arial" w:cs="Arial" w:eastAsia="Arial" w:hAnsi="Arial"/>
          <w:sz w:val="17"/>
          <w:szCs w:val="17"/>
          <w:color w:val="auto"/>
        </w:rPr>
      </w:pPr>
    </w:p>
    <w:p>
      <w:pPr>
        <w:jc w:val="both"/>
        <w:ind w:left="2" w:firstLine="660"/>
        <w:spacing w:after="0" w:line="272" w:lineRule="auto"/>
        <w:tabs>
          <w:tab w:leader="none" w:pos="1138" w:val="left"/>
        </w:tabs>
        <w:numPr>
          <w:ilvl w:val="2"/>
          <w:numId w:val="27"/>
        </w:numPr>
        <w:rPr>
          <w:rFonts w:ascii="Arial" w:cs="Arial" w:eastAsia="Arial" w:hAnsi="Arial"/>
          <w:sz w:val="17"/>
          <w:szCs w:val="17"/>
          <w:color w:val="auto"/>
        </w:rPr>
      </w:pPr>
      <w:r>
        <w:rPr>
          <w:rFonts w:ascii="Arial" w:cs="Arial" w:eastAsia="Arial" w:hAnsi="Arial"/>
          <w:sz w:val="17"/>
          <w:szCs w:val="17"/>
          <w:u w:val="single" w:color="auto"/>
          <w:color w:val="auto"/>
        </w:rPr>
        <w:t>Return of Company Property</w:t>
      </w:r>
      <w:r>
        <w:rPr>
          <w:rFonts w:ascii="Arial" w:cs="Arial" w:eastAsia="Arial" w:hAnsi="Arial"/>
          <w:sz w:val="17"/>
          <w:szCs w:val="17"/>
          <w:color w:val="auto"/>
        </w:rPr>
        <w:t>. Employee represents that she will return no later than December 31, 2018, to the Company any property still in Employee's possession, custody or control that belongs to the Company (such property includes, without limitation, keys, files, and other documents, computer disks and any other computer or electronic information) at which time any remaining network access will be disconnected. All property of the Company must be returned to the Company before Employee is eligible to receive the consideration set forth in Section 2 above. Notwithstanding the foregoing, Employee shall be entitled to retain possession of her mobile phone and Company-provided computer and peripheral equipment (e.g., printers, monitor(s), key board(s), mouse), to port her phone number to a personal service provider of her choice and to her computer, provided the hard drive has been wiped clean of any Company proprietary information.</w:t>
      </w:r>
    </w:p>
    <w:p>
      <w:pPr>
        <w:spacing w:after="0" w:line="353" w:lineRule="exact"/>
        <w:rPr>
          <w:rFonts w:ascii="Arial" w:cs="Arial" w:eastAsia="Arial" w:hAnsi="Arial"/>
          <w:sz w:val="17"/>
          <w:szCs w:val="17"/>
          <w:color w:val="auto"/>
        </w:rPr>
      </w:pPr>
    </w:p>
    <w:p>
      <w:pPr>
        <w:ind w:left="2" w:right="20" w:firstLine="646"/>
        <w:spacing w:after="0" w:line="308" w:lineRule="auto"/>
        <w:tabs>
          <w:tab w:leader="none" w:pos="1043" w:val="left"/>
        </w:tabs>
        <w:numPr>
          <w:ilvl w:val="2"/>
          <w:numId w:val="27"/>
        </w:numPr>
        <w:rPr>
          <w:rFonts w:ascii="Arial" w:cs="Arial" w:eastAsia="Arial" w:hAnsi="Arial"/>
          <w:sz w:val="17"/>
          <w:szCs w:val="17"/>
          <w:color w:val="auto"/>
        </w:rPr>
      </w:pPr>
      <w:r>
        <w:rPr>
          <w:rFonts w:ascii="Arial" w:cs="Arial" w:eastAsia="Arial" w:hAnsi="Arial"/>
          <w:sz w:val="17"/>
          <w:szCs w:val="17"/>
          <w:color w:val="auto"/>
        </w:rPr>
        <w:t>The parties agree that the Company is entitled to an injunction and attorney's fees in the event of a breach of this Agreement because any breach of Section 7 would cause the Company injury and damage, the actual amount of which would be hard to determine.</w:t>
      </w:r>
    </w:p>
    <w:p>
      <w:pPr>
        <w:spacing w:after="0" w:line="349" w:lineRule="exact"/>
        <w:rPr>
          <w:rFonts w:ascii="Arial" w:cs="Arial" w:eastAsia="Arial" w:hAnsi="Arial"/>
          <w:sz w:val="17"/>
          <w:szCs w:val="17"/>
          <w:color w:val="auto"/>
        </w:rPr>
      </w:pPr>
    </w:p>
    <w:p>
      <w:pPr>
        <w:ind w:left="642" w:hanging="642"/>
        <w:spacing w:after="0"/>
        <w:tabs>
          <w:tab w:leader="none" w:pos="642"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jc w:val="both"/>
        <w:ind w:left="2" w:firstLine="646"/>
        <w:spacing w:after="0" w:line="286" w:lineRule="auto"/>
        <w:tabs>
          <w:tab w:leader="none" w:pos="1030"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Employee acknowledges that, in the course of employment by the Company, Employee was given access to competitive, confidential information that is proprietary to the Company (the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including without limitation to (i) trade secrets and proprietary information of the Company, which shall include all of the inventions, processes, formulae, compositions and improvements developed, acquired, owned or produced at any time by the Company or its affiliates; (ii) information marked or designated by the Company as confidential; (iii) information, whether or not marked or designated by the Company as confidential, and whether or not in written form, that is known to Employee as being treated by the Company as confidential, which shall include all information and material relating to the business of the Company or any affiliate thereof, including information as to plans, policies, corporate developments, products, services, methods of doing business, procedures, suppliers and customers, that is competitively sensitive and is not generally available to the public; and (iv) information provided to the Company by third parties which the Company is obligated to keep confidential. The term "Confidential Information" shall also include, but is not limited to, all inventions, improvements, discoveries, devices, compositions, formulae, ideas, designs, drawings, specifications, techniques, data, computer programs, processes, know-how, customer lists, marketing, product development and other business plans, legal affairs and financial and technical information. Notwithstanding the foregoing, Confidential Information shall not include any information which is or hereafter becomes known to the public through no fault of Employee, from and after the date of such public disclosure.</w:t>
      </w:r>
    </w:p>
    <w:p>
      <w:pPr>
        <w:spacing w:after="0" w:line="350" w:lineRule="exact"/>
        <w:rPr>
          <w:rFonts w:ascii="Arial" w:cs="Arial" w:eastAsia="Arial" w:hAnsi="Arial"/>
          <w:sz w:val="16"/>
          <w:szCs w:val="16"/>
          <w:color w:val="auto"/>
        </w:rPr>
      </w:pPr>
    </w:p>
    <w:p>
      <w:pPr>
        <w:jc w:val="both"/>
        <w:ind w:left="2" w:firstLine="646"/>
        <w:spacing w:after="0" w:line="312" w:lineRule="auto"/>
        <w:tabs>
          <w:tab w:leader="none" w:pos="1062" w:val="left"/>
        </w:tabs>
        <w:numPr>
          <w:ilvl w:val="1"/>
          <w:numId w:val="28"/>
        </w:numPr>
        <w:rPr>
          <w:rFonts w:ascii="Arial" w:cs="Arial" w:eastAsia="Arial" w:hAnsi="Arial"/>
          <w:sz w:val="16"/>
          <w:szCs w:val="16"/>
          <w:color w:val="auto"/>
        </w:rPr>
      </w:pPr>
      <w:r>
        <w:rPr>
          <w:rFonts w:ascii="Arial" w:cs="Arial" w:eastAsia="Arial" w:hAnsi="Arial"/>
          <w:sz w:val="16"/>
          <w:szCs w:val="16"/>
          <w:color w:val="auto"/>
        </w:rPr>
        <w:t>Employee agrees: (i) that all Confidential Information shall remain a trade secret and the sole property of the Company; (ii) to keep in strict confidence all Confidential Information and not disclose or allow the disclosure of any Confidential Information to any third party; (iii) not to publish, disclose or allow disclosure to others of any Confidential Information, in whole or in part; and (iv) that the Company shall have</w:t>
      </w:r>
    </w:p>
    <w:p>
      <w:pPr>
        <w:sectPr>
          <w:pgSz w:w="11900" w:h="16838" w:orient="portrait"/>
          <w:cols w:equalWidth="0" w:num="1">
            <w:col w:w="10642"/>
          </w:cols>
          <w:pgMar w:left="1018" w:top="125"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68"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the right to such injunctive or other equitable relief from a court of competent jurisdiction as may be necessary or appropriate to prevent any use or disclosure of Confidential Information in any manner which has not been authorized by the Company and to such damages as are occasioned by such improper use or disclosure.</w:t>
      </w:r>
    </w:p>
    <w:p>
      <w:pPr>
        <w:spacing w:after="0" w:line="357" w:lineRule="exact"/>
        <w:rPr>
          <w:sz w:val="20"/>
          <w:szCs w:val="20"/>
          <w:color w:val="auto"/>
        </w:rPr>
      </w:pPr>
    </w:p>
    <w:p>
      <w:pPr>
        <w:jc w:val="both"/>
        <w:ind w:firstLine="666"/>
        <w:spacing w:after="0" w:line="254" w:lineRule="auto"/>
        <w:tabs>
          <w:tab w:leader="none" w:pos="1166" w:val="left"/>
        </w:tabs>
        <w:numPr>
          <w:ilvl w:val="2"/>
          <w:numId w:val="29"/>
        </w:numPr>
        <w:rPr>
          <w:rFonts w:ascii="Arial" w:cs="Arial" w:eastAsia="Arial" w:hAnsi="Arial"/>
          <w:sz w:val="18"/>
          <w:szCs w:val="18"/>
          <w:color w:val="auto"/>
        </w:rPr>
      </w:pPr>
      <w:r>
        <w:rPr>
          <w:rFonts w:ascii="Arial" w:cs="Arial" w:eastAsia="Arial" w:hAnsi="Arial"/>
          <w:sz w:val="18"/>
          <w:szCs w:val="18"/>
          <w:color w:val="auto"/>
        </w:rPr>
        <w:t>Notwithstanding the provisions of Section 8(a) and (b) above, Employee may disclose Confidential Information to the extent required by law, subpoena or other legal process or as otherwise requested by any court, governmental agency, regulatory authority or self-regulatory organization, or for evidentiary purposes in any action, proceeding or arbitration, provided Employee promptly notifies the Company of impending disclosure so as to enable it to object, file a motion to quash or for protective order or otherwise assert a right to protect its Confidential Information. The confidentiality obligations in this Agreement do not prohibit the reporting of possible violations of federal or state law or regulation to any governmental agency or entity or from making other disclosures that are protected under the whistleblower provisions of federal or state law or regulation, nor do any provisions require Employee to notify the Company regarding any such reporting, disclosure or cooperation with the government.</w:t>
      </w:r>
    </w:p>
    <w:p>
      <w:pPr>
        <w:spacing w:after="0" w:line="367" w:lineRule="exact"/>
        <w:rPr>
          <w:rFonts w:ascii="Arial" w:cs="Arial" w:eastAsia="Arial" w:hAnsi="Arial"/>
          <w:sz w:val="18"/>
          <w:szCs w:val="18"/>
          <w:color w:val="auto"/>
        </w:rPr>
      </w:pPr>
    </w:p>
    <w:p>
      <w:pPr>
        <w:ind w:right="20" w:firstLine="653"/>
        <w:spacing w:after="0" w:line="308" w:lineRule="auto"/>
        <w:tabs>
          <w:tab w:leader="none" w:pos="1043" w:val="left"/>
        </w:tabs>
        <w:numPr>
          <w:ilvl w:val="2"/>
          <w:numId w:val="29"/>
        </w:numPr>
        <w:rPr>
          <w:rFonts w:ascii="Arial" w:cs="Arial" w:eastAsia="Arial" w:hAnsi="Arial"/>
          <w:sz w:val="17"/>
          <w:szCs w:val="17"/>
          <w:color w:val="auto"/>
        </w:rPr>
      </w:pPr>
      <w:r>
        <w:rPr>
          <w:rFonts w:ascii="Arial" w:cs="Arial" w:eastAsia="Arial" w:hAnsi="Arial"/>
          <w:sz w:val="17"/>
          <w:szCs w:val="17"/>
          <w:color w:val="auto"/>
        </w:rPr>
        <w:t>The parties agree that the Company is entitled to an injunction and attorney's fees in the event of a breach of this Agreement because any breach of Section 8 would cause the Company injury and damage, the actual amount of which would be hard to determine.</w:t>
      </w:r>
    </w:p>
    <w:p>
      <w:pPr>
        <w:spacing w:after="0" w:line="349" w:lineRule="exact"/>
        <w:rPr>
          <w:rFonts w:ascii="Arial" w:cs="Arial" w:eastAsia="Arial" w:hAnsi="Arial"/>
          <w:sz w:val="17"/>
          <w:szCs w:val="17"/>
          <w:color w:val="auto"/>
        </w:rPr>
      </w:pPr>
    </w:p>
    <w:p>
      <w:pPr>
        <w:jc w:val="both"/>
        <w:ind w:firstLine="4"/>
        <w:spacing w:after="0" w:line="300" w:lineRule="auto"/>
        <w:tabs>
          <w:tab w:leader="none" w:pos="756"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Nothing in this Release (including but not limited to the release of claims, promise not to sue, and confidentiality, cooperation, non-disparagement, and return of property provisions, and any other limiting provisions herein) (a) limits or affects Employee's right to challenge the validity of this Release under the ADEA or the OWBPA or (b) prevents Employee from filing a charge or complaint with or from participating in an investigation or proceeding conducted by the EEOC, the National Labor Relations Board, the Securities and Exchange Commission, or any other federal, state or local agency charged with the enforcement of any laws, including providing documents or other information, or (c) prevents Employee from exercising her rights under Section 7 of the NLRA to engage in protected, concerted activity with other employees, although by signing this Release Employee is waiving her right to recover any individual relief (including backpay, frontpay, reinstatement or other legal or equitable relief) in any charge, complaint, or lawsuit or other proceeding brought by Employee or on her behalf by any third party, except for any right Employee may have to receive a payment from a government agency (and not the Company) for information provided to the government agency.</w:t>
      </w:r>
    </w:p>
    <w:p>
      <w:pPr>
        <w:spacing w:after="0" w:line="370" w:lineRule="exact"/>
        <w:rPr>
          <w:rFonts w:ascii="Arial" w:cs="Arial" w:eastAsia="Arial" w:hAnsi="Arial"/>
          <w:sz w:val="18"/>
          <w:szCs w:val="18"/>
          <w:color w:val="auto"/>
        </w:rPr>
      </w:pPr>
    </w:p>
    <w:p>
      <w:pPr>
        <w:jc w:val="both"/>
        <w:ind w:left="20" w:firstLine="11"/>
        <w:spacing w:after="0" w:line="306" w:lineRule="auto"/>
        <w:tabs>
          <w:tab w:leader="none" w:pos="88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OWBPA Notice.</w:t>
      </w:r>
      <w:r>
        <w:rPr>
          <w:rFonts w:ascii="Arial" w:cs="Arial" w:eastAsia="Arial" w:hAnsi="Arial"/>
          <w:sz w:val="18"/>
          <w:szCs w:val="18"/>
          <w:color w:val="auto"/>
        </w:rPr>
        <w:t xml:space="preserve"> In accordance with the Older Workers Benefit Protection Act of 1990, Employee agrees and expressly acknowledges that Employee is aware that this Agreement includes a waiver and release of all claims which Employee has or may have had under the ADEA. The following terms and conditions apply to and are part of the waiver and release of the ADEA claims under this Agreement, and are understood and agreed to by Employee:</w:t>
      </w:r>
    </w:p>
    <w:p>
      <w:pPr>
        <w:spacing w:after="0" w:line="335" w:lineRule="exact"/>
        <w:rPr>
          <w:rFonts w:ascii="Arial" w:cs="Arial" w:eastAsia="Arial" w:hAnsi="Arial"/>
          <w:sz w:val="18"/>
          <w:szCs w:val="18"/>
          <w:color w:val="auto"/>
        </w:rPr>
      </w:pPr>
    </w:p>
    <w:p>
      <w:pPr>
        <w:ind w:left="1040" w:hanging="374"/>
        <w:spacing w:after="0"/>
        <w:tabs>
          <w:tab w:leader="none" w:pos="1040" w:val="left"/>
        </w:tabs>
        <w:numPr>
          <w:ilvl w:val="2"/>
          <w:numId w:val="30"/>
        </w:numPr>
        <w:rPr>
          <w:rFonts w:ascii="Arial" w:cs="Arial" w:eastAsia="Arial" w:hAnsi="Arial"/>
          <w:sz w:val="18"/>
          <w:szCs w:val="18"/>
          <w:color w:val="auto"/>
        </w:rPr>
      </w:pPr>
      <w:r>
        <w:rPr>
          <w:rFonts w:ascii="Arial" w:cs="Arial" w:eastAsia="Arial" w:hAnsi="Arial"/>
          <w:sz w:val="18"/>
          <w:szCs w:val="18"/>
          <w:color w:val="auto"/>
        </w:rPr>
        <w:t>This Section and this Agreement are written in a manner calculated to be understood by Employee.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0" w:right="20" w:firstLine="646"/>
        <w:spacing w:after="0" w:line="277" w:lineRule="auto"/>
        <w:tabs>
          <w:tab w:leader="none" w:pos="1084" w:val="left"/>
        </w:tabs>
        <w:numPr>
          <w:ilvl w:val="3"/>
          <w:numId w:val="30"/>
        </w:numPr>
        <w:rPr>
          <w:rFonts w:ascii="Arial" w:cs="Arial" w:eastAsia="Arial" w:hAnsi="Arial"/>
          <w:sz w:val="18"/>
          <w:szCs w:val="18"/>
          <w:color w:val="auto"/>
        </w:rPr>
      </w:pPr>
      <w:r>
        <w:rPr>
          <w:rFonts w:ascii="Arial" w:cs="Arial" w:eastAsia="Arial" w:hAnsi="Arial"/>
          <w:sz w:val="18"/>
          <w:szCs w:val="18"/>
          <w:color w:val="auto"/>
        </w:rPr>
        <w:t>The waiver and release of claims under the ADEA contained in this Agreement does not cover rights or claims that may arise after the date on which Employee signs this Agreement.</w:t>
      </w:r>
    </w:p>
    <w:p>
      <w:pPr>
        <w:spacing w:after="0" w:line="346" w:lineRule="exact"/>
        <w:rPr>
          <w:rFonts w:ascii="Arial" w:cs="Arial" w:eastAsia="Arial" w:hAnsi="Arial"/>
          <w:sz w:val="18"/>
          <w:szCs w:val="18"/>
          <w:color w:val="auto"/>
        </w:rPr>
      </w:pPr>
    </w:p>
    <w:p>
      <w:pPr>
        <w:ind w:left="1040" w:hanging="374"/>
        <w:spacing w:after="0"/>
        <w:tabs>
          <w:tab w:leader="none" w:pos="1040" w:val="left"/>
        </w:tabs>
        <w:numPr>
          <w:ilvl w:val="3"/>
          <w:numId w:val="30"/>
        </w:numPr>
        <w:rPr>
          <w:rFonts w:ascii="Arial" w:cs="Arial" w:eastAsia="Arial" w:hAnsi="Arial"/>
          <w:sz w:val="18"/>
          <w:szCs w:val="18"/>
          <w:color w:val="auto"/>
        </w:rPr>
      </w:pPr>
      <w:r>
        <w:rPr>
          <w:rFonts w:ascii="Arial" w:cs="Arial" w:eastAsia="Arial" w:hAnsi="Arial"/>
          <w:sz w:val="18"/>
          <w:szCs w:val="18"/>
          <w:color w:val="auto"/>
        </w:rPr>
        <w:t>This Agreement provides for consideration in addition to anything of value to which Employee is already entitled.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060" w:hanging="394"/>
        <w:spacing w:after="0"/>
        <w:tabs>
          <w:tab w:leader="none" w:pos="1060" w:val="left"/>
        </w:tabs>
        <w:numPr>
          <w:ilvl w:val="3"/>
          <w:numId w:val="30"/>
        </w:numPr>
        <w:rPr>
          <w:rFonts w:ascii="Arial" w:cs="Arial" w:eastAsia="Arial" w:hAnsi="Arial"/>
          <w:sz w:val="18"/>
          <w:szCs w:val="18"/>
          <w:color w:val="auto"/>
        </w:rPr>
      </w:pPr>
      <w:r>
        <w:rPr>
          <w:rFonts w:ascii="Arial" w:cs="Arial" w:eastAsia="Arial" w:hAnsi="Arial"/>
          <w:sz w:val="18"/>
          <w:szCs w:val="18"/>
          <w:color w:val="auto"/>
        </w:rPr>
        <w:t>Employee has been advised and is hereby advised to consult an attorney before signing this Agreement.</w:t>
      </w:r>
    </w:p>
    <w:p>
      <w:pPr>
        <w:sectPr>
          <w:pgSz w:w="11900" w:h="16838" w:orient="portrait"/>
          <w:cols w:equalWidth="0" w:num="1">
            <w:col w:w="10660"/>
          </w:cols>
          <w:pgMar w:left="1000" w:top="12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20" w:firstLine="660"/>
        <w:spacing w:after="0" w:line="289" w:lineRule="auto"/>
        <w:tabs>
          <w:tab w:leader="none" w:pos="1109"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Employee has been granted </w:t>
      </w:r>
      <w:r>
        <w:rPr>
          <w:rFonts w:ascii="Arial" w:cs="Arial" w:eastAsia="Arial" w:hAnsi="Arial"/>
          <w:sz w:val="17"/>
          <w:szCs w:val="17"/>
          <w:b w:val="1"/>
          <w:bCs w:val="1"/>
          <w:color w:val="auto"/>
        </w:rPr>
        <w:t>twenty-one (21) days</w:t>
      </w:r>
      <w:r>
        <w:rPr>
          <w:rFonts w:ascii="Arial" w:cs="Arial" w:eastAsia="Arial" w:hAnsi="Arial"/>
          <w:sz w:val="17"/>
          <w:szCs w:val="17"/>
          <w:color w:val="auto"/>
        </w:rPr>
        <w:t xml:space="preserve"> after Employee was presented with this Agreement to decide whether or not to sign this Agreement. If Employee executes this Agreement prior to the expiration of such period, Employee does so voluntarily and after having had the opportunity to consult with an attorney, and hereby waives the remainder of the </w:t>
      </w:r>
      <w:r>
        <w:rPr>
          <w:rFonts w:ascii="Arial" w:cs="Arial" w:eastAsia="Arial" w:hAnsi="Arial"/>
          <w:sz w:val="17"/>
          <w:szCs w:val="17"/>
          <w:b w:val="1"/>
          <w:bCs w:val="1"/>
          <w:color w:val="auto"/>
        </w:rPr>
        <w:t>twenty-one (21) day period.</w:t>
      </w:r>
    </w:p>
    <w:p>
      <w:pPr>
        <w:spacing w:after="0" w:line="337" w:lineRule="exact"/>
        <w:rPr>
          <w:rFonts w:ascii="Arial" w:cs="Arial" w:eastAsia="Arial" w:hAnsi="Arial"/>
          <w:sz w:val="17"/>
          <w:szCs w:val="17"/>
          <w:color w:val="auto"/>
        </w:rPr>
      </w:pPr>
    </w:p>
    <w:p>
      <w:pPr>
        <w:ind w:left="20" w:right="20" w:firstLine="646"/>
        <w:spacing w:after="0" w:line="277" w:lineRule="auto"/>
        <w:tabs>
          <w:tab w:leader="none" w:pos="1106" w:val="left"/>
        </w:tabs>
        <w:numPr>
          <w:ilvl w:val="0"/>
          <w:numId w:val="32"/>
        </w:numPr>
        <w:rPr>
          <w:rFonts w:ascii="Arial" w:cs="Arial" w:eastAsia="Arial" w:hAnsi="Arial"/>
          <w:sz w:val="18"/>
          <w:szCs w:val="18"/>
          <w:color w:val="auto"/>
        </w:rPr>
      </w:pPr>
      <w:r>
        <w:rPr>
          <w:rFonts w:ascii="Arial" w:cs="Arial" w:eastAsia="Arial" w:hAnsi="Arial"/>
          <w:sz w:val="18"/>
          <w:szCs w:val="18"/>
          <w:color w:val="auto"/>
        </w:rPr>
        <w:t>Employee has the right to revoke this general release within seven (7) days of signing this Agreement. In the event this general release is revoked, this Agreement will be null and void in its entirety, and Employee will not receive any of its benefits.</w:t>
      </w:r>
    </w:p>
    <w:p>
      <w:pPr>
        <w:spacing w:after="0" w:line="360" w:lineRule="exact"/>
        <w:rPr>
          <w:sz w:val="20"/>
          <w:szCs w:val="20"/>
          <w:color w:val="auto"/>
        </w:rPr>
      </w:pPr>
    </w:p>
    <w:p>
      <w:pPr>
        <w:jc w:val="both"/>
        <w:ind w:left="20" w:firstLine="648"/>
        <w:spacing w:after="0" w:line="287" w:lineRule="auto"/>
        <w:rPr>
          <w:sz w:val="20"/>
          <w:szCs w:val="20"/>
          <w:color w:val="auto"/>
        </w:rPr>
      </w:pPr>
      <w:r>
        <w:rPr>
          <w:rFonts w:ascii="Arial" w:cs="Arial" w:eastAsia="Arial" w:hAnsi="Arial"/>
          <w:sz w:val="17"/>
          <w:szCs w:val="17"/>
          <w:color w:val="auto"/>
        </w:rPr>
        <w:t>If Employee wishes to revoke this Agreement, Employee must deliver written notice stating the intent to revoke this Agreement to Randal L. Golden, VP &amp; General Counsel, The Cooper Companies, Inc., 6140 Stoneridge Mall Road, Suite 590, Pleasanton, CA 94588-3772, on or before 5:00 p.m. Pacific Time on the seventh (7</w:t>
      </w:r>
      <w:r>
        <w:rPr>
          <w:rFonts w:ascii="Arial" w:cs="Arial" w:eastAsia="Arial" w:hAnsi="Arial"/>
          <w:sz w:val="24"/>
          <w:szCs w:val="24"/>
          <w:color w:val="auto"/>
          <w:vertAlign w:val="superscript"/>
        </w:rPr>
        <w:t>th</w:t>
      </w:r>
      <w:r>
        <w:rPr>
          <w:rFonts w:ascii="Arial" w:cs="Arial" w:eastAsia="Arial" w:hAnsi="Arial"/>
          <w:sz w:val="17"/>
          <w:szCs w:val="17"/>
          <w:color w:val="auto"/>
        </w:rPr>
        <w:t>) day after the date on which Employee signs this Agreement.</w:t>
      </w:r>
    </w:p>
    <w:p>
      <w:pPr>
        <w:spacing w:after="0" w:line="269" w:lineRule="exact"/>
        <w:rPr>
          <w:sz w:val="20"/>
          <w:szCs w:val="20"/>
          <w:color w:val="auto"/>
        </w:rPr>
      </w:pPr>
    </w:p>
    <w:p>
      <w:pPr>
        <w:jc w:val="both"/>
        <w:ind w:firstLine="18"/>
        <w:spacing w:after="0" w:line="319" w:lineRule="auto"/>
        <w:tabs>
          <w:tab w:leader="none" w:pos="85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Employee Representations.</w:t>
      </w:r>
      <w:r>
        <w:rPr>
          <w:rFonts w:ascii="Arial" w:cs="Arial" w:eastAsia="Arial" w:hAnsi="Arial"/>
          <w:sz w:val="17"/>
          <w:szCs w:val="17"/>
          <w:color w:val="auto"/>
        </w:rPr>
        <w:t xml:space="preserve"> Employee warrants and represents that (a) Employee has not filed or authorized the filing of any complaints, charges or lawsuits against the Company with any governmental agency or court, and that if, unbeknownst to Employee, such a complaint, charge or lawsuit has been filed on Employee's behalf, Employee shall immediately cause it to be withdrawn and dismissed, (b) Employee has reported all hours worked as of the date of this Agreement and has been paid all compensation, wages, bonuses, commissions and/or benefits to which Employee may be entitled and no other compensation, wages, bonuses, commissions and/or benefits are due to Employee, except as provided in this Agreement, (c) Employee has no known workplace injuries or occupational diseases and has been provided and/or has not been denied any leave requested under the Family and Medical Leave Act or any state law counterpart, (d) the execution, delivery and performance of this Agreement by Employee does not and will not conflict with, breach, violate or cause a default under any agreement, contract or instrument to which Employee is a party or any judgment, order or decree to which Employee is subject, and (e) upon the execution and delivery of this Agreement by the Company and Employee, this Agreement will be a valid and binding obligation of Employee, enforceable in accordance with its terms.</w:t>
      </w:r>
    </w:p>
    <w:p>
      <w:pPr>
        <w:spacing w:after="0" w:line="356" w:lineRule="exact"/>
        <w:rPr>
          <w:rFonts w:ascii="Arial" w:cs="Arial" w:eastAsia="Arial" w:hAnsi="Arial"/>
          <w:sz w:val="17"/>
          <w:szCs w:val="17"/>
          <w:color w:val="auto"/>
        </w:rPr>
      </w:pPr>
    </w:p>
    <w:p>
      <w:pPr>
        <w:jc w:val="both"/>
        <w:ind w:firstLine="18"/>
        <w:spacing w:after="0" w:line="349" w:lineRule="auto"/>
        <w:tabs>
          <w:tab w:leader="none" w:pos="846"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No Assignment.</w:t>
      </w:r>
      <w:r>
        <w:rPr>
          <w:rFonts w:ascii="Arial" w:cs="Arial" w:eastAsia="Arial" w:hAnsi="Arial"/>
          <w:sz w:val="16"/>
          <w:szCs w:val="16"/>
          <w:color w:val="auto"/>
        </w:rPr>
        <w:t xml:space="preserve"> Employee warrants and represents that no portion of any of the Company Released Matters, and no portion of any recovery or settlement to which Employee might be entitled, has been assigned or transferred to any other person, firm or corporation not a party to this Agreement, in any manner, including by way of subrogation or operation of law or otherwise. If any claim, action, demand or suit should be made or instituted against the Company because of any such purported assignment, subrogation or transfer, Employee agrees to indemnify and hold harmless the Company against such claim, action, suit or demand, including necessary expenses of investigation, attorneys' fees and costs.</w:t>
      </w:r>
    </w:p>
    <w:p>
      <w:pPr>
        <w:spacing w:after="0" w:line="336" w:lineRule="exact"/>
        <w:rPr>
          <w:rFonts w:ascii="Arial" w:cs="Arial" w:eastAsia="Arial" w:hAnsi="Arial"/>
          <w:sz w:val="16"/>
          <w:szCs w:val="16"/>
          <w:color w:val="auto"/>
        </w:rPr>
      </w:pPr>
    </w:p>
    <w:p>
      <w:pPr>
        <w:jc w:val="both"/>
        <w:ind w:firstLine="18"/>
        <w:spacing w:after="0" w:line="311" w:lineRule="auto"/>
        <w:tabs>
          <w:tab w:leader="none" w:pos="8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Company Representations</w:t>
      </w:r>
      <w:r>
        <w:rPr>
          <w:rFonts w:ascii="Arial" w:cs="Arial" w:eastAsia="Arial" w:hAnsi="Arial"/>
          <w:sz w:val="18"/>
          <w:szCs w:val="18"/>
          <w:color w:val="auto"/>
        </w:rPr>
        <w:t>. The Company warrants and represents that the execution, delivery and performance of this Agreement by the Company has been duly authorized and that this Agreement constitutes the valid and binding obligation of the Company, enforceable in accordance with its terms.</w:t>
      </w:r>
    </w:p>
    <w:p>
      <w:pPr>
        <w:spacing w:after="0" w:line="370" w:lineRule="exact"/>
        <w:rPr>
          <w:rFonts w:ascii="Arial" w:cs="Arial" w:eastAsia="Arial" w:hAnsi="Arial"/>
          <w:sz w:val="18"/>
          <w:szCs w:val="18"/>
          <w:color w:val="auto"/>
        </w:rPr>
      </w:pPr>
    </w:p>
    <w:p>
      <w:pPr>
        <w:jc w:val="both"/>
        <w:ind w:firstLine="18"/>
        <w:spacing w:after="0" w:line="344" w:lineRule="auto"/>
        <w:tabs>
          <w:tab w:leader="none" w:pos="86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Notwithstanding anything in this Agreement to the contrary, if payment of any amount or other benefit that is "deferred compensation" subject to Section 409A of the Code, at the time otherwise specified in this Agreement would subject such compensation to additional tax pursuant to Section 409A(a)(l) of the Code, the payment thereof shall be paid on or before the earliest date on which such amounts could be paid without incurring such additional tax. In the event a deferral of payment should be required, any payments that would have been made prior to such earliest commencement date but for Section 409A of the Code shall be accumulated and paid in a single lump sum on such earliest commencement date. If any benefits permitted or required under this Agreement are otherwise reasonably determined by the Company or Employee to be subject for any reason to a material risk of additional tax pursuant to Section 409A(a)(l ) of the Code, the</w:t>
      </w:r>
    </w:p>
    <w:p>
      <w:pPr>
        <w:sectPr>
          <w:pgSz w:w="11900" w:h="16838" w:orient="portrait"/>
          <w:cols w:equalWidth="0" w:num="1">
            <w:col w:w="10660"/>
          </w:cols>
          <w:pgMar w:left="1000" w:top="12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95" w:lineRule="exact"/>
        <w:rPr>
          <w:sz w:val="20"/>
          <w:szCs w:val="20"/>
          <w:color w:val="auto"/>
        </w:rPr>
      </w:pPr>
    </w:p>
    <w:p>
      <w:pPr>
        <w:jc w:val="both"/>
        <w:ind w:left="20"/>
        <w:spacing w:after="0" w:line="321" w:lineRule="auto"/>
        <w:rPr>
          <w:sz w:val="20"/>
          <w:szCs w:val="20"/>
          <w:color w:val="auto"/>
        </w:rPr>
      </w:pPr>
      <w:r>
        <w:rPr>
          <w:rFonts w:ascii="Arial" w:cs="Arial" w:eastAsia="Arial" w:hAnsi="Arial"/>
          <w:sz w:val="17"/>
          <w:szCs w:val="17"/>
          <w:color w:val="auto"/>
        </w:rPr>
        <w:t xml:space="preserve">Company and Employee agree to negotiate in good faith appropriate provisions to avoid such risk without materially changing the economic value of this Agreement to Employee or the economic value or financial effect of this Agreement on the Company. </w:t>
      </w:r>
      <w:r>
        <w:rPr>
          <w:rFonts w:ascii="Arial" w:cs="Arial" w:eastAsia="Arial" w:hAnsi="Arial"/>
          <w:sz w:val="17"/>
          <w:szCs w:val="17"/>
          <w:b w:val="1"/>
          <w:bCs w:val="1"/>
          <w:color w:val="auto"/>
        </w:rPr>
        <w:t>Employee has had an opportunity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to review this Agreement with her own legal and tax advisors and understands that, subject to Section 3 above, the Company does not guarantee any particular tax effect for income provided to Employee pursuant to this Agreement. </w:t>
      </w:r>
      <w:r>
        <w:rPr>
          <w:rFonts w:ascii="Arial" w:cs="Arial" w:eastAsia="Arial" w:hAnsi="Arial"/>
          <w:sz w:val="17"/>
          <w:szCs w:val="17"/>
          <w:color w:val="auto"/>
        </w:rPr>
        <w:t>In any event, except for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responsibility to withhold any applicable income and employment taxes from compensation paid or provided to Employee, Company shall not be responsible for the payment of any applicable taxes, penalties or interest on compensation paid or provided to Employee pursuant to this Agreement. In no event will the Company reimburse Employee for any penalties, taxes or interest that may be imposed on Employee as a result of Section 409A except as set forth in Section 3 above.</w:t>
      </w:r>
    </w:p>
    <w:p>
      <w:pPr>
        <w:spacing w:after="0" w:line="366" w:lineRule="exact"/>
        <w:rPr>
          <w:sz w:val="20"/>
          <w:szCs w:val="20"/>
          <w:color w:val="auto"/>
        </w:rPr>
      </w:pPr>
    </w:p>
    <w:p>
      <w:pPr>
        <w:jc w:val="both"/>
        <w:ind w:left="40" w:firstLine="11"/>
        <w:spacing w:after="0" w:line="329" w:lineRule="auto"/>
        <w:tabs>
          <w:tab w:leader="none" w:pos="886"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Beneficiaries.</w:t>
      </w:r>
      <w:r>
        <w:rPr>
          <w:rFonts w:ascii="Arial" w:cs="Arial" w:eastAsia="Arial" w:hAnsi="Arial"/>
          <w:sz w:val="17"/>
          <w:szCs w:val="17"/>
          <w:color w:val="auto"/>
        </w:rPr>
        <w:t xml:space="preserve"> Employee may designate one or more persons or entities as the primary and/or contingent beneficiaries of any amounts to be received under this Agreement that are unpaid if Employee dies prior to payment thereof, which obligation to render payment shall survive Employee's death. This designation must be written and presented in a form acceptable to the Company. Employee may make or change Employee's designation at any time, provided that such designation is written and presented in a form acceptable to the Company.</w:t>
      </w:r>
    </w:p>
    <w:p>
      <w:pPr>
        <w:spacing w:after="0" w:line="346" w:lineRule="exact"/>
        <w:rPr>
          <w:rFonts w:ascii="Arial" w:cs="Arial" w:eastAsia="Arial" w:hAnsi="Arial"/>
          <w:sz w:val="17"/>
          <w:szCs w:val="17"/>
          <w:color w:val="auto"/>
        </w:rPr>
      </w:pPr>
    </w:p>
    <w:p>
      <w:pPr>
        <w:jc w:val="both"/>
        <w:ind w:firstLine="51"/>
        <w:spacing w:after="0" w:line="344"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xml:space="preserve"> Except as otherwise specified below, should any portion of this Agreement be found void or unenforceable for any reason by a court of competent jurisdiction, the parties intend that such provision be limited or modified so as to make it enforceable, and if such provision cannot be modified to be enforceable, the unenforceable portion shall be deemed severed from the remaining portions of this Agreement, which shall otherwise remain in full force and effect. If any portion of this Agreement is so found to be void or unenforceable for any reason in regard to any one or more persons, entities, or subject matters, such portion shall remain in full force and effect with respect to all other persons, entities, and subject matters. This Section shall not operate, however, to sever Employee's obligation to provide the binding release to all entities intended to be released hereunder in exchange for the consideration paid to Employee under Section 2 of this Agreement.</w:t>
      </w:r>
    </w:p>
    <w:p>
      <w:pPr>
        <w:spacing w:after="0" w:line="341" w:lineRule="exact"/>
        <w:rPr>
          <w:rFonts w:ascii="Arial" w:cs="Arial" w:eastAsia="Arial" w:hAnsi="Arial"/>
          <w:sz w:val="16"/>
          <w:szCs w:val="16"/>
          <w:color w:val="auto"/>
        </w:rPr>
      </w:pPr>
    </w:p>
    <w:p>
      <w:pPr>
        <w:jc w:val="both"/>
        <w:ind w:left="20" w:firstLine="31"/>
        <w:spacing w:after="0" w:line="300"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Disputes; Arbitration; Remedies</w:t>
      </w:r>
      <w:r>
        <w:rPr>
          <w:rFonts w:ascii="Arial" w:cs="Arial" w:eastAsia="Arial" w:hAnsi="Arial"/>
          <w:sz w:val="18"/>
          <w:szCs w:val="18"/>
          <w:color w:val="auto"/>
        </w:rPr>
        <w:t>. All controversies, claims and disputes arising out of or relating to this Agreement, including without limitation any alleged violation of its terms, shall be resolved by final and binding arbitration before a single neutral arbitrator in San Francisco, California, in accordance with the applicable Arbitration Rules and Mediation of the American Arbitration Association ("AAA"). The arbitration shall be commenced by filing a demand for arbitration with AAA within 14 (fourteen) days after the filing party has given notice of such breach to the other party. Notwithstanding the foregoing, it is acknowledged that it will be impossible to measure in money the damages that would be suffered if the parties fail to comply with any of the obligations imposed on them under Sections 7 and 8 of this Agreement, and that in the event of any such failure, an aggrieved person will be irreparably damaged and will not have an adequate remedy at law. Any such person shall, therefore, be entitled to injunctive relief, including specific performance, to enforce such obligations, and if any action shall be brought in equity to enforce any of the provisions of Sections 7 and 8 of this Agreement, none of the parties hereto shall raise the defense that there is an adequate remedy at law.</w:t>
      </w:r>
    </w:p>
    <w:p>
      <w:pPr>
        <w:spacing w:after="0" w:line="370" w:lineRule="exact"/>
        <w:rPr>
          <w:rFonts w:ascii="Arial" w:cs="Arial" w:eastAsia="Arial" w:hAnsi="Arial"/>
          <w:sz w:val="18"/>
          <w:szCs w:val="18"/>
          <w:color w:val="auto"/>
        </w:rPr>
      </w:pPr>
    </w:p>
    <w:p>
      <w:pPr>
        <w:ind w:left="40" w:right="20" w:firstLine="11"/>
        <w:spacing w:after="0" w:line="324"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Choice of Law.</w:t>
      </w:r>
      <w:r>
        <w:rPr>
          <w:rFonts w:ascii="Arial" w:cs="Arial" w:eastAsia="Arial" w:hAnsi="Arial"/>
          <w:sz w:val="18"/>
          <w:szCs w:val="18"/>
          <w:color w:val="auto"/>
        </w:rPr>
        <w:t xml:space="preserve"> This Agreement shall in all respects be governed and construed in accordance with the laws of the State of California, including all matters of construction, validity and performance, without regard to conflicts of law principles.</w:t>
      </w:r>
    </w:p>
    <w:p>
      <w:pPr>
        <w:sectPr>
          <w:pgSz w:w="11900" w:h="16838" w:orient="portrait"/>
          <w:cols w:equalWidth="0" w:num="1">
            <w:col w:w="10680"/>
          </w:cols>
          <w:pgMar w:left="980" w:top="125"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95" w:lineRule="exact"/>
        <w:rPr>
          <w:sz w:val="20"/>
          <w:szCs w:val="20"/>
          <w:color w:val="auto"/>
        </w:rPr>
      </w:pPr>
    </w:p>
    <w:p>
      <w:pPr>
        <w:ind w:left="40" w:firstLine="11"/>
        <w:spacing w:after="0" w:line="324" w:lineRule="auto"/>
        <w:tabs>
          <w:tab w:leader="none" w:pos="886"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All notices, demands or other communications regarding this Agreement shall be in writing and shall be sufficiently given if either personally delivered or sent by facsimile or overnight courier, addressed as follows:</w:t>
      </w:r>
    </w:p>
    <w:p>
      <w:pPr>
        <w:spacing w:after="0" w:line="157" w:lineRule="exact"/>
        <w:rPr>
          <w:sz w:val="20"/>
          <w:szCs w:val="20"/>
          <w:color w:val="auto"/>
        </w:rPr>
      </w:pPr>
    </w:p>
    <w:p>
      <w:pPr>
        <w:ind w:left="680"/>
        <w:spacing w:after="0"/>
        <w:tabs>
          <w:tab w:leader="none" w:pos="10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If to the Company: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Cooper Companies,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6140 Stoneridge Mall Road, Suite 590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Pleasanton, CA 94588-3772</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Phone: (925) 460-3600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Fax: (925) 460-3623</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Attn: Randal L. Golden, VP &amp; General Counsel</w:t>
      </w:r>
    </w:p>
    <w:p>
      <w:pPr>
        <w:spacing w:after="0" w:line="211" w:lineRule="exact"/>
        <w:rPr>
          <w:sz w:val="20"/>
          <w:szCs w:val="20"/>
          <w:color w:val="auto"/>
        </w:rPr>
      </w:pPr>
    </w:p>
    <w:p>
      <w:pPr>
        <w:ind w:left="560" w:right="8560" w:firstLine="5"/>
        <w:spacing w:after="0" w:line="291" w:lineRule="auto"/>
        <w:tabs>
          <w:tab w:leader="none" w:pos="995" w:val="left"/>
        </w:tabs>
        <w:numPr>
          <w:ilvl w:val="2"/>
          <w:numId w:val="36"/>
        </w:numPr>
        <w:rPr>
          <w:rFonts w:ascii="Arial" w:cs="Arial" w:eastAsia="Arial" w:hAnsi="Arial"/>
          <w:sz w:val="16"/>
          <w:szCs w:val="16"/>
          <w:color w:val="auto"/>
        </w:rPr>
      </w:pPr>
      <w:r>
        <w:rPr>
          <w:rFonts w:ascii="Arial" w:cs="Arial" w:eastAsia="Arial" w:hAnsi="Arial"/>
          <w:sz w:val="16"/>
          <w:szCs w:val="16"/>
          <w:color w:val="auto"/>
        </w:rPr>
        <w:t>If to Employee: Carol R. Kaufman</w:t>
      </w:r>
    </w:p>
    <w:p>
      <w:pPr>
        <w:ind w:left="560" w:right="8440"/>
        <w:spacing w:after="0" w:line="302" w:lineRule="auto"/>
        <w:rPr>
          <w:rFonts w:ascii="Arial" w:cs="Arial" w:eastAsia="Arial" w:hAnsi="Arial"/>
          <w:sz w:val="16"/>
          <w:szCs w:val="16"/>
          <w:color w:val="auto"/>
        </w:rPr>
      </w:pPr>
      <w:r>
        <w:rPr>
          <w:rFonts w:ascii="Arial" w:cs="Arial" w:eastAsia="Arial" w:hAnsi="Arial"/>
          <w:sz w:val="16"/>
          <w:szCs w:val="16"/>
          <w:color w:val="auto"/>
        </w:rPr>
        <w:t>3400 Oakhill Court San Mateo, CA 94403 Phone: (415) 205-5662</w:t>
      </w:r>
    </w:p>
    <w:p>
      <w:pPr>
        <w:spacing w:after="0" w:line="398" w:lineRule="exact"/>
        <w:rPr>
          <w:rFonts w:ascii="Arial" w:cs="Arial" w:eastAsia="Arial" w:hAnsi="Arial"/>
          <w:sz w:val="16"/>
          <w:szCs w:val="16"/>
          <w:color w:val="auto"/>
        </w:rPr>
      </w:pPr>
    </w:p>
    <w:p>
      <w:pPr>
        <w:jc w:val="both"/>
        <w:ind w:left="20" w:firstLine="4"/>
        <w:spacing w:after="0" w:line="311" w:lineRule="auto"/>
        <w:tabs>
          <w:tab w:leader="none" w:pos="893" w:val="left"/>
        </w:tabs>
        <w:numPr>
          <w:ilvl w:val="1"/>
          <w:numId w:val="37"/>
        </w:numPr>
        <w:rPr>
          <w:rFonts w:ascii="Arial" w:cs="Arial" w:eastAsia="Arial" w:hAnsi="Arial"/>
          <w:sz w:val="18"/>
          <w:szCs w:val="18"/>
          <w:color w:val="auto"/>
        </w:rPr>
      </w:pPr>
      <w:r>
        <w:rPr>
          <w:rFonts w:ascii="Arial" w:cs="Arial" w:eastAsia="Arial" w:hAnsi="Arial"/>
          <w:sz w:val="18"/>
          <w:szCs w:val="18"/>
          <w:u w:val="single" w:color="auto"/>
          <w:color w:val="auto"/>
        </w:rPr>
        <w:t>ATTORNEY CONSULTATION.</w:t>
      </w:r>
      <w:r>
        <w:rPr>
          <w:rFonts w:ascii="Arial" w:cs="Arial" w:eastAsia="Arial" w:hAnsi="Arial"/>
          <w:sz w:val="18"/>
          <w:szCs w:val="18"/>
          <w:color w:val="auto"/>
        </w:rPr>
        <w:t xml:space="preserve"> BY SIGNING BELOW, EMPLOYEE ACKNOWLEDGES THAT EMPLOYEE HAS BEEN ADVISED TO CONSULT AN ATTORNEY OF EMPLOYEE'S CHOICE AND THAT EMPLOYEE HAS BEEN GIVEN THE OPPORTUNITY TO CONSULT AN ATTORNEY OF EMPLOYEE'S CHOICE BEFORE ENTERING INTO THIS AGREEMENT.</w:t>
      </w:r>
    </w:p>
    <w:p>
      <w:pPr>
        <w:spacing w:after="0" w:line="370" w:lineRule="exact"/>
        <w:rPr>
          <w:rFonts w:ascii="Arial" w:cs="Arial" w:eastAsia="Arial" w:hAnsi="Arial"/>
          <w:sz w:val="18"/>
          <w:szCs w:val="18"/>
          <w:color w:val="auto"/>
        </w:rPr>
      </w:pPr>
    </w:p>
    <w:p>
      <w:pPr>
        <w:jc w:val="both"/>
        <w:ind w:firstLine="11"/>
        <w:spacing w:after="0" w:line="340" w:lineRule="auto"/>
        <w:tabs>
          <w:tab w:leader="none" w:pos="88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This Agreement is the entire agreement between the parties and, with the exception of the Company's stock option plans, restricted stock plans, stock option agreements, restricted stock agreements, performance share award agreements, notices of grant governing Employee's stock options and/or restricted stock, employee benefit plans or programs, and confidentiality agreements and/or inventions assignment agreements between the Company and Employee, supersedes and replaces all prior and contemporaneous agreements or understandings, whether written or oral, between Employee and the Company. Whenever possible, each provision of this Agreement shall be interpreted in a manner as to be effective and valid under applicable law, but if any provision shall be held to be prohibited or invalid under applicable law, such provision shall be ineffective only to the extent of such prohibition or invalidity, without invalidating or affecting the remainder of such provision or any of the remaining provisions of this Agreement. Employee acknowledges that, except as expressly noted herein, there are no other agreements, written, oral or implied, and that Employee may not rely on any prior negotiations, discussions, representations or agreements. This Agreement may be modified only in writing, and such writing must be signed by both parties and recited that it is intended to modify this Agreement. This Agreement may be executed in separate counterparts, each of which is deemed to be an original and all of which taken together constitute one and the same agreement.</w:t>
      </w:r>
    </w:p>
    <w:p>
      <w:pPr>
        <w:spacing w:after="0" w:line="320"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0680"/>
          </w:cols>
          <w:pgMar w:left="980" w:top="125"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120" w:firstLine="648"/>
        <w:spacing w:after="0" w:line="277" w:lineRule="auto"/>
        <w:rPr>
          <w:sz w:val="20"/>
          <w:szCs w:val="20"/>
          <w:color w:val="auto"/>
        </w:rPr>
      </w:pPr>
      <w:r>
        <w:rPr>
          <w:rFonts w:ascii="Arial" w:cs="Arial" w:eastAsia="Arial" w:hAnsi="Arial"/>
          <w:sz w:val="18"/>
          <w:szCs w:val="18"/>
          <w:color w:val="2D2D2D"/>
        </w:rPr>
        <w:t xml:space="preserve">IN WITNESS </w:t>
      </w:r>
      <w:r>
        <w:rPr>
          <w:rFonts w:ascii="Arial" w:cs="Arial" w:eastAsia="Arial" w:hAnsi="Arial"/>
          <w:sz w:val="18"/>
          <w:szCs w:val="18"/>
          <w:color w:val="3F3F3F"/>
        </w:rPr>
        <w:t>WHEREOF, the</w:t>
      </w:r>
      <w:r>
        <w:rPr>
          <w:rFonts w:ascii="Arial" w:cs="Arial" w:eastAsia="Arial" w:hAnsi="Arial"/>
          <w:sz w:val="18"/>
          <w:szCs w:val="18"/>
          <w:color w:val="2D2D2D"/>
        </w:rPr>
        <w:t xml:space="preserve"> undersigned have caused this Separation Agreement and General Release to be duly executed and delivered as of the date indicated </w:t>
      </w:r>
      <w:r>
        <w:rPr>
          <w:rFonts w:ascii="Arial" w:cs="Arial" w:eastAsia="Arial" w:hAnsi="Arial"/>
          <w:sz w:val="18"/>
          <w:szCs w:val="18"/>
          <w:color w:val="181818"/>
        </w:rPr>
        <w:t>n</w:t>
      </w:r>
      <w:r>
        <w:rPr>
          <w:rFonts w:ascii="Arial" w:cs="Arial" w:eastAsia="Arial" w:hAnsi="Arial"/>
          <w:sz w:val="18"/>
          <w:szCs w:val="18"/>
          <w:color w:val="3F3F3F"/>
        </w:rPr>
        <w:t>ex</w:t>
      </w:r>
      <w:r>
        <w:rPr>
          <w:rFonts w:ascii="Arial" w:cs="Arial" w:eastAsia="Arial" w:hAnsi="Arial"/>
          <w:sz w:val="18"/>
          <w:szCs w:val="18"/>
          <w:color w:val="181818"/>
        </w:rPr>
        <w:t>t</w:t>
      </w:r>
      <w:r>
        <w:rPr>
          <w:rFonts w:ascii="Arial" w:cs="Arial" w:eastAsia="Arial" w:hAnsi="Arial"/>
          <w:sz w:val="18"/>
          <w:szCs w:val="18"/>
          <w:color w:val="2D2D2D"/>
        </w:rPr>
        <w:t xml:space="preserve"> to their respective </w:t>
      </w:r>
      <w:r>
        <w:rPr>
          <w:rFonts w:ascii="Arial" w:cs="Arial" w:eastAsia="Arial" w:hAnsi="Arial"/>
          <w:sz w:val="18"/>
          <w:szCs w:val="18"/>
          <w:color w:val="3F3F3F"/>
        </w:rPr>
        <w:t>signatures</w:t>
      </w:r>
      <w:r>
        <w:rPr>
          <w:rFonts w:ascii="Arial" w:cs="Arial" w:eastAsia="Arial" w:hAnsi="Arial"/>
          <w:sz w:val="18"/>
          <w:szCs w:val="18"/>
          <w:color w:val="2D2D2D"/>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100" w:val="left"/>
        </w:tabs>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4/10</w:t>
      </w:r>
      <w:r>
        <w:rPr>
          <w:rFonts w:ascii="Arial" w:cs="Arial" w:eastAsia="Arial" w:hAnsi="Arial"/>
          <w:sz w:val="18"/>
          <w:szCs w:val="18"/>
          <w:color w:val="auto"/>
        </w:rPr>
        <w:t xml:space="preserve"> , 2018</w:t>
      </w:r>
      <w:r>
        <w:rPr>
          <w:sz w:val="20"/>
          <w:szCs w:val="20"/>
          <w:color w:val="auto"/>
        </w:rPr>
        <w:tab/>
      </w:r>
      <w:r>
        <w:rPr>
          <w:rFonts w:ascii="Arial" w:cs="Arial" w:eastAsia="Arial" w:hAnsi="Arial"/>
          <w:sz w:val="16"/>
          <w:szCs w:val="16"/>
          <w:u w:val="single" w:color="auto"/>
          <w:color w:val="auto"/>
        </w:rPr>
        <w:t>/s/ Carol R. Kaufman</w:t>
      </w:r>
    </w:p>
    <w:p>
      <w:pPr>
        <w:spacing w:after="0" w:line="23"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Name: Carol R. Kaufman</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COOPER COMPANIES, INC.</w:t>
      </w:r>
    </w:p>
    <w:p>
      <w:pPr>
        <w:spacing w:after="0" w:line="225"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color w:val="auto"/>
        </w:rPr>
        <w:t xml:space="preserve">Dated: </w:t>
      </w:r>
      <w:r>
        <w:rPr>
          <w:rFonts w:ascii="Arial" w:cs="Arial" w:eastAsia="Arial" w:hAnsi="Arial"/>
          <w:sz w:val="18"/>
          <w:szCs w:val="18"/>
          <w:u w:val="single" w:color="auto"/>
          <w:color w:val="auto"/>
        </w:rPr>
        <w:t>4/10</w:t>
      </w:r>
      <w:r>
        <w:rPr>
          <w:rFonts w:ascii="Arial" w:cs="Arial" w:eastAsia="Arial" w:hAnsi="Arial"/>
          <w:sz w:val="18"/>
          <w:szCs w:val="18"/>
          <w:color w:val="auto"/>
        </w:rPr>
        <w:t xml:space="preserve"> , 2018</w:t>
      </w:r>
      <w:r>
        <w:rPr>
          <w:sz w:val="20"/>
          <w:szCs w:val="20"/>
          <w:color w:val="auto"/>
        </w:rPr>
        <w:tab/>
      </w:r>
      <w:r>
        <w:rPr>
          <w:rFonts w:ascii="Arial" w:cs="Arial" w:eastAsia="Arial" w:hAnsi="Arial"/>
          <w:sz w:val="16"/>
          <w:szCs w:val="16"/>
          <w:u w:val="single" w:color="auto"/>
          <w:color w:val="auto"/>
        </w:rPr>
        <w:t>/s/ Randal L. Golden</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Name: Randal L. Golden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VP &amp; General Counsel</w:t>
      </w:r>
    </w:p>
    <w:p>
      <w:pPr>
        <w:sectPr>
          <w:pgSz w:w="11900" w:h="16838" w:orient="portrait"/>
          <w:cols w:equalWidth="0" w:num="1">
            <w:col w:w="11420"/>
          </w:cols>
          <w:pgMar w:left="240" w:top="125"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25" w:lineRule="exact"/>
        <w:rPr>
          <w:sz w:val="20"/>
          <w:szCs w:val="20"/>
          <w:color w:val="auto"/>
        </w:rPr>
      </w:pPr>
    </w:p>
    <w:p>
      <w:pPr>
        <w:ind w:left="180" w:hanging="172"/>
        <w:spacing w:after="0"/>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June 8, 2018</w:t>
      </w:r>
    </w:p>
    <w:p>
      <w:pPr>
        <w:spacing w:after="0" w:line="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2337435</wp:posOffset>
            </wp:positionH>
            <wp:positionV relativeFrom="paragraph">
              <wp:posOffset>31750</wp:posOffset>
            </wp:positionV>
            <wp:extent cx="22555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57"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6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25"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Cooper Companies, Inc. (the “registrant”);</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340" w:right="180" w:hanging="8"/>
        <w:spacing w:after="0" w:line="264" w:lineRule="auto"/>
        <w:tabs>
          <w:tab w:leader="none" w:pos="5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340" w:right="160" w:hanging="8"/>
        <w:spacing w:after="0" w:line="264" w:lineRule="auto"/>
        <w:tabs>
          <w:tab w:leader="none" w:pos="5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340" w:right="40" w:hanging="8"/>
        <w:spacing w:after="0" w:line="277" w:lineRule="auto"/>
        <w:tabs>
          <w:tab w:leader="none" w:pos="5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40" w:right="280" w:hanging="8"/>
        <w:spacing w:after="0" w:line="264" w:lineRule="auto"/>
        <w:tabs>
          <w:tab w:leader="none" w:pos="5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660" w:firstLine="8"/>
        <w:spacing w:after="0" w:line="308" w:lineRule="auto"/>
        <w:tabs>
          <w:tab w:leader="none" w:pos="1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340" w:right="140" w:hanging="8"/>
        <w:spacing w:after="0" w:line="277" w:lineRule="auto"/>
        <w:tabs>
          <w:tab w:leader="none" w:pos="52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535"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 June 8, 2018</w:t>
      </w:r>
    </w:p>
    <w:p>
      <w:pPr>
        <w:spacing w:after="0" w:line="6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2466340</wp:posOffset>
            </wp:positionH>
            <wp:positionV relativeFrom="paragraph">
              <wp:posOffset>31750</wp:posOffset>
            </wp:positionV>
            <wp:extent cx="25387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5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Senior Vice President, Chief Financial Officer and</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Treasurer</w:t>
      </w:r>
    </w:p>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 Albert G. White III,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quarterly period ended April 30, 2018,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4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8, 2018</w:t>
      </w:r>
      <w:r>
        <w:rPr>
          <w:sz w:val="20"/>
          <w:szCs w:val="20"/>
          <w:color w:val="auto"/>
        </w:rPr>
        <w:tab/>
      </w:r>
      <w:r>
        <w:rPr>
          <w:rFonts w:ascii="Arial" w:cs="Arial" w:eastAsia="Arial" w:hAnsi="Arial"/>
          <w:sz w:val="17"/>
          <w:szCs w:val="17"/>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Albert G. White III</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 SECTION 906</w:t>
      </w:r>
    </w:p>
    <w:p>
      <w:pPr>
        <w:jc w:val="center"/>
        <w:spacing w:after="0"/>
        <w:rPr>
          <w:sz w:val="20"/>
          <w:szCs w:val="20"/>
          <w:color w:val="auto"/>
        </w:rPr>
      </w:pPr>
      <w:r>
        <w:rPr>
          <w:rFonts w:ascii="Arial" w:cs="Arial" w:eastAsia="Arial" w:hAnsi="Arial"/>
          <w:sz w:val="20"/>
          <w:szCs w:val="20"/>
          <w:b w:val="1"/>
          <w:bCs w:val="1"/>
          <w:color w:val="auto"/>
        </w:rPr>
        <w:t>OF THE SARBANES-OXLEY ACT OF 2002</w:t>
      </w:r>
    </w:p>
    <w:p>
      <w:pPr>
        <w:spacing w:after="0" w:line="200" w:lineRule="exact"/>
        <w:rPr>
          <w:sz w:val="20"/>
          <w:szCs w:val="20"/>
          <w:color w:val="auto"/>
        </w:rPr>
      </w:pPr>
    </w:p>
    <w:p>
      <w:pPr>
        <w:spacing w:after="0" w:line="216"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I, Brian G. Andrews, do hereby certify, pursuant to 18 U.S.C. Section 1350, as adopted pursuant to Section 906 of the Sarbanes-Oxley Act of 2002, that, to my knowledge:</w:t>
      </w:r>
    </w:p>
    <w:p>
      <w:pPr>
        <w:spacing w:after="0" w:line="177" w:lineRule="exact"/>
        <w:rPr>
          <w:sz w:val="20"/>
          <w:szCs w:val="20"/>
          <w:color w:val="auto"/>
        </w:rPr>
      </w:pPr>
    </w:p>
    <w:p>
      <w:pPr>
        <w:jc w:val="both"/>
        <w:ind w:left="340" w:hanging="332"/>
        <w:spacing w:after="0" w:line="25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20"/>
          <w:szCs w:val="20"/>
          <w:color w:val="auto"/>
        </w:rPr>
        <w:t>the Quarterly Report on Form 10-Q of the Company for the quarterly period ended April 30, 2018, as filed with the Securities and Exchange Commission (the “Report”), fully complies with the requirements of Section 13(a) or 15(d) of the Securities Exchange Act of 1934; and</w:t>
      </w:r>
    </w:p>
    <w:p>
      <w:pPr>
        <w:spacing w:after="0" w:line="186" w:lineRule="exact"/>
        <w:rPr>
          <w:rFonts w:ascii="Arial" w:cs="Arial" w:eastAsia="Arial" w:hAnsi="Arial"/>
          <w:sz w:val="18"/>
          <w:szCs w:val="18"/>
          <w:color w:val="auto"/>
        </w:rPr>
      </w:pPr>
    </w:p>
    <w:p>
      <w:pPr>
        <w:ind w:left="340" w:right="20" w:hanging="332"/>
        <w:spacing w:after="0" w:line="260"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June 8, 2018</w:t>
      </w:r>
      <w:r>
        <w:rPr>
          <w:sz w:val="20"/>
          <w:szCs w:val="20"/>
          <w:color w:val="auto"/>
        </w:rPr>
        <w:tab/>
      </w:r>
      <w:r>
        <w:rPr>
          <w:rFonts w:ascii="Arial" w:cs="Arial" w:eastAsia="Arial" w:hAnsi="Arial"/>
          <w:sz w:val="16"/>
          <w:szCs w:val="16"/>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Brian G. Andrews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Senior Vice President, Chief Financial Officer and Treasurer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decimal"/>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lowerRoman"/>
      <w:start w:val="2"/>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lvl w:ilvl="1">
      <w:lvlJc w:val="left"/>
      <w:lvlText w:val="%2"/>
      <w:numFmt w:val="decimal"/>
      <w:start w:val="10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0">
    <w:nsid w:val="737B8DDC"/>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Letter"/>
      <w:start w:val="4"/>
    </w:lvl>
  </w:abstractNum>
  <w:abstractNum w:abstractNumId="21">
    <w:nsid w:val="6CEAF08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5"/>
    </w:lvl>
    <w:lvl w:ilvl="4">
      <w:lvlJc w:val="left"/>
      <w:lvlText w:val="%5"/>
      <w:numFmt w:val="lowerLetter"/>
      <w:start w:val="1"/>
    </w:lvl>
  </w:abstractNum>
  <w:abstractNum w:abstractNumId="22">
    <w:nsid w:val="22221A70"/>
    <w:multiLevelType w:val="hybridMultilevel"/>
    <w:lvl w:ilvl="0">
      <w:lvlJc w:val="left"/>
      <w:lvlText w:val="%1"/>
      <w:numFmt w:val="decimal"/>
      <w:start w:val="1"/>
    </w:lvl>
    <w:lvl w:ilvl="1">
      <w:lvlJc w:val="left"/>
      <w:lvlText w:val="%2"/>
      <w:numFmt w:val="decimal"/>
      <w:start w:val="1"/>
    </w:lvl>
    <w:lvl w:ilvl="2">
      <w:lvlJc w:val="left"/>
      <w:lvlText w:val="(%3)"/>
      <w:numFmt w:val="lowerLetter"/>
      <w:start w:val="6"/>
    </w:lvl>
    <w:lvl w:ilvl="3">
      <w:lvlJc w:val="left"/>
      <w:lvlText w:val="%4"/>
      <w:numFmt w:val="lowerLetter"/>
      <w:start w:val="1"/>
    </w:lvl>
    <w:lvl w:ilvl="4">
      <w:lvlJc w:val="left"/>
      <w:lvlText w:val="%5"/>
      <w:numFmt w:val="lowerLetter"/>
      <w:start w:val="1"/>
    </w:lvl>
  </w:abstractNum>
  <w:abstractNum w:abstractNumId="23">
    <w:nsid w:val="4516DDE9"/>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24">
    <w:nsid w:val="3006C83E"/>
    <w:multiLevelType w:val="hybridMultilevel"/>
    <w:lvl w:ilvl="0">
      <w:lvlJc w:val="left"/>
      <w:lvlText w:val="(%1)"/>
      <w:numFmt w:val="lowerRoman"/>
      <w:start w:val="9"/>
    </w:lvl>
    <w:lvl w:ilvl="1">
      <w:lvlJc w:val="left"/>
      <w:lvlText w:val="(%2)"/>
      <w:numFmt w:val="lowerLetter"/>
      <w:start w:val="2"/>
    </w:lvl>
    <w:lvl w:ilvl="2">
      <w:lvlJc w:val="left"/>
      <w:lvlText w:val="(%3)"/>
      <w:numFmt w:val="lowerLetter"/>
      <w:start w:val="2"/>
    </w:lvl>
  </w:abstractNum>
  <w:abstractNum w:abstractNumId="25">
    <w:nsid w:val="614FD4A1"/>
    <w:multiLevelType w:val="hybridMultilevel"/>
    <w:lvl w:ilvl="0">
      <w:lvlJc w:val="left"/>
      <w:lvlText w:val="%1."/>
      <w:numFmt w:val="decimal"/>
      <w:start w:val="6"/>
    </w:lvl>
    <w:lvl w:ilvl="1">
      <w:lvlJc w:val="left"/>
      <w:lvlText w:val="(%2)"/>
      <w:numFmt w:val="lowerLetter"/>
      <w:start w:val="1"/>
    </w:lvl>
  </w:abstractNum>
  <w:abstractNum w:abstractNumId="26">
    <w:nsid w:val="419AC24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3"/>
    </w:lvl>
  </w:abstractNum>
  <w:abstractNum w:abstractNumId="27">
    <w:nsid w:val="5577F8E1"/>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28">
    <w:nsid w:val="440BAD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Letter"/>
      <w:start w:val="1"/>
    </w:lvl>
  </w:abstractNum>
  <w:abstractNum w:abstractNumId="29">
    <w:nsid w:val="5072367"/>
    <w:multiLevelType w:val="hybridMultilevel"/>
    <w:lvl w:ilvl="0">
      <w:lvlJc w:val="left"/>
      <w:lvlText w:val="%1."/>
      <w:numFmt w:val="decimal"/>
      <w:start w:val="9"/>
    </w:lvl>
    <w:lvl w:ilvl="1">
      <w:lvlJc w:val="left"/>
      <w:lvlText w:val="%2."/>
      <w:numFmt w:val="decimal"/>
      <w:start w:val="10"/>
    </w:lvl>
    <w:lvl w:ilvl="2">
      <w:lvlJc w:val="left"/>
      <w:lvlText w:val="(%3)"/>
      <w:numFmt w:val="lowerLetter"/>
      <w:start w:val="1"/>
    </w:lvl>
    <w:lvl w:ilvl="3">
      <w:lvlJc w:val="left"/>
      <w:lvlText w:val="(%4)"/>
      <w:numFmt w:val="lowerLetter"/>
      <w:start w:val="2"/>
    </w:lvl>
  </w:abstractNum>
  <w:abstractNum w:abstractNumId="30">
    <w:nsid w:val="3804823E"/>
    <w:multiLevelType w:val="hybridMultilevel"/>
    <w:lvl w:ilvl="0">
      <w:lvlJc w:val="left"/>
      <w:lvlText w:val="%1"/>
      <w:numFmt w:val="lowerLetter"/>
      <w:start w:val="1"/>
    </w:lvl>
    <w:lvl w:ilvl="1">
      <w:lvlJc w:val="left"/>
      <w:lvlText w:val="(%2)"/>
      <w:numFmt w:val="lowerLetter"/>
      <w:start w:val="5"/>
    </w:lvl>
  </w:abstractNum>
  <w:abstractNum w:abstractNumId="31">
    <w:nsid w:val="77465F01"/>
    <w:multiLevelType w:val="hybridMultilevel"/>
    <w:lvl w:ilvl="0">
      <w:lvlJc w:val="left"/>
      <w:lvlText w:val="(%1)"/>
      <w:numFmt w:val="lowerLetter"/>
      <w:start w:val="6"/>
    </w:lvl>
    <w:lvl w:ilvl="1">
      <w:lvlJc w:val="left"/>
      <w:lvlText w:val="%2"/>
      <w:numFmt w:val="lowerLetter"/>
      <w:start w:val="1"/>
    </w:lvl>
  </w:abstractNum>
  <w:abstractNum w:abstractNumId="32">
    <w:nsid w:val="7724C67E"/>
    <w:multiLevelType w:val="hybridMultilevel"/>
    <w:lvl w:ilvl="0">
      <w:lvlJc w:val="left"/>
      <w:lvlText w:val="%1."/>
      <w:numFmt w:val="decimal"/>
      <w:start w:val="11"/>
    </w:lvl>
  </w:abstractNum>
  <w:abstractNum w:abstractNumId="33">
    <w:nsid w:val="5C482A97"/>
    <w:multiLevelType w:val="hybridMultilevel"/>
    <w:lvl w:ilvl="0">
      <w:lvlJc w:val="left"/>
      <w:lvlText w:val="%1."/>
      <w:numFmt w:val="decimal"/>
      <w:start w:val="15"/>
    </w:lvl>
  </w:abstractNum>
  <w:abstractNum w:abstractNumId="34">
    <w:nsid w:val="2463B9EA"/>
    <w:multiLevelType w:val="hybridMultilevel"/>
    <w:lvl w:ilvl="0">
      <w:lvlJc w:val="left"/>
      <w:lvlText w:val="%1."/>
      <w:numFmt w:val="decimal"/>
      <w:start w:val="19"/>
    </w:lvl>
  </w:abstractNum>
  <w:abstractNum w:abstractNumId="35">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6">
    <w:nsid w:val="51EAD36B"/>
    <w:multiLevelType w:val="hybridMultilevel"/>
    <w:lvl w:ilvl="0">
      <w:lvlJc w:val="left"/>
      <w:lvlText w:val="%1"/>
      <w:numFmt w:val="decimal"/>
      <w:start w:val="1"/>
    </w:lvl>
    <w:lvl w:ilvl="1">
      <w:lvlJc w:val="left"/>
      <w:lvlText w:val="%2."/>
      <w:numFmt w:val="decimal"/>
      <w:start w:val="20"/>
    </w:lvl>
    <w:lvl w:ilvl="2">
      <w:lvlJc w:val="left"/>
      <w:lvlText w:val="%3"/>
      <w:numFmt w:val="lowerLetter"/>
      <w:start w:val="1"/>
    </w:lvl>
  </w:abstractNum>
  <w:abstractNum w:abstractNumId="37">
    <w:nsid w:val="2D517796"/>
    <w:multiLevelType w:val="hybridMultilevel"/>
    <w:lvl w:ilvl="0">
      <w:lvlJc w:val="left"/>
      <w:lvlText w:val="%1."/>
      <w:numFmt w:val="decimal"/>
      <w:start w:val="21"/>
    </w:lvl>
    <w:lvl w:ilvl="1">
      <w:lvlJc w:val="left"/>
      <w:lvlText w:val="%2"/>
      <w:numFmt w:val="decimal"/>
      <w:start w:val="1"/>
    </w:lvl>
    <w:lvl w:ilvl="2">
      <w:lvlJc w:val="left"/>
      <w:lvlText w:val="%3"/>
      <w:numFmt w:val="lowerLetter"/>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2019-12-28T21:36:18Z</dcterms:created>
  <dcterms:modified xsi:type="dcterms:W3CDTF">2019-12-28T21:36:18Z</dcterms:modified>
</cp:coreProperties>
</file>